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7FA67F4F" w:rsidR="00A64F41" w:rsidRPr="00123F51" w:rsidRDefault="002A0D4E" w:rsidP="003D6C12">
      <w:pPr>
        <w:jc w:val="center"/>
        <w:rPr>
          <w:rFonts w:ascii="Verdana" w:hAnsi="Verdana"/>
          <w:b/>
          <w:bCs/>
        </w:rPr>
      </w:pPr>
      <w:r w:rsidRPr="00123F51">
        <w:rPr>
          <w:rFonts w:ascii="Verdana" w:hAnsi="Verdana"/>
          <w:b/>
          <w:bCs/>
        </w:rPr>
        <w:t>ANEXO. CARTAS PARA EL FUTUTO</w:t>
      </w:r>
    </w:p>
    <w:p w14:paraId="4A78788F" w14:textId="67212E7B" w:rsidR="00CA1055" w:rsidRPr="00123F51" w:rsidRDefault="00CA1055" w:rsidP="00CA1055">
      <w:pPr>
        <w:jc w:val="both"/>
        <w:rPr>
          <w:rFonts w:ascii="Verdana" w:hAnsi="Verdana"/>
        </w:rPr>
      </w:pPr>
      <w:r w:rsidRPr="00123F51">
        <w:rPr>
          <w:rFonts w:ascii="Verdana" w:hAnsi="Verdana"/>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123F51" w:rsidRDefault="00CA1055" w:rsidP="00CA1055">
      <w:pPr>
        <w:jc w:val="both"/>
        <w:rPr>
          <w:rFonts w:ascii="Verdana" w:hAnsi="Verdana"/>
          <w:b/>
          <w:bCs/>
        </w:rPr>
      </w:pPr>
      <w:r w:rsidRPr="00123F51">
        <w:rPr>
          <w:rFonts w:ascii="Verdana" w:hAnsi="Verdana"/>
          <w:b/>
          <w:bCs/>
        </w:rPr>
        <w:t>Introducción</w:t>
      </w:r>
    </w:p>
    <w:p w14:paraId="29C06DA7" w14:textId="3B95C1C3" w:rsidR="004E6D4E" w:rsidRPr="00123F51" w:rsidRDefault="004E6D4E" w:rsidP="004E6D4E">
      <w:pPr>
        <w:jc w:val="both"/>
        <w:rPr>
          <w:rFonts w:ascii="Verdana" w:hAnsi="Verdana" w:cs="Calibri"/>
        </w:rPr>
      </w:pPr>
      <w:r w:rsidRPr="00123F51">
        <w:rPr>
          <w:rFonts w:ascii="Verdana" w:hAnsi="Verdana"/>
        </w:rPr>
        <w:t>Este anexo tiene como propósito e</w:t>
      </w:r>
      <w:r w:rsidRPr="00123F51">
        <w:rPr>
          <w:rFonts w:ascii="Verdana" w:hAnsi="Verdana" w:cs="Calibri"/>
        </w:rPr>
        <w:t xml:space="preserve">stablecer los lineamientos para llevar a cabo acciones de alcance o repercusión pública dirigidas a la construcción de la memoria histórica, la verdad de lo ocurrido y el reconocimiento de la dignidad de las víctimas como medida de reparación simbólica. </w:t>
      </w:r>
    </w:p>
    <w:p w14:paraId="4291A352" w14:textId="56AF99F7" w:rsidR="004E6D4E" w:rsidRPr="00123F51" w:rsidRDefault="004E6D4E" w:rsidP="004E6D4E">
      <w:pPr>
        <w:spacing w:line="276" w:lineRule="auto"/>
        <w:jc w:val="both"/>
        <w:rPr>
          <w:rFonts w:ascii="Verdana" w:hAnsi="Verdana" w:cs="Calibri"/>
          <w:lang w:val="es-MX"/>
        </w:rPr>
      </w:pPr>
      <w:r w:rsidRPr="00123F51">
        <w:rPr>
          <w:rFonts w:ascii="Verdana" w:hAnsi="Verdana" w:cs="Calibri"/>
          <w:lang w:val="es-MX"/>
        </w:rPr>
        <w:t>El conflicto armado en Colombia ha dejado más de 9 millones de víctimas registradas en el RUV. La Ley 1448 de 2011, junto con sus decretos reglamentarios (4633, 4634 y 4635), establece medidas de atención, asistencia y reparación integral, incluyendo la indemnización administrativa. A esto se suma la Ley 2421 de 202</w:t>
      </w:r>
      <w:r w:rsidR="00DC4DFC" w:rsidRPr="00123F51">
        <w:rPr>
          <w:rFonts w:ascii="Verdana" w:hAnsi="Verdana" w:cs="Calibri"/>
          <w:lang w:val="es-MX"/>
        </w:rPr>
        <w:t>4</w:t>
      </w:r>
      <w:r w:rsidRPr="00123F51">
        <w:rPr>
          <w:rFonts w:ascii="Verdana" w:hAnsi="Verdana" w:cs="Calibri"/>
          <w:lang w:val="es-MX"/>
        </w:rPr>
        <w:t>, que amplía el plazo para la inscripción de víctimas y fortalece los mecanismos de reparación, garantizando que más personas accedan a sus derechos. No obstante, persisten grandes desafíos principalmente en lo concerniente a las garantías de no repetición, especialmente en zonas con presencia de grupos armados.</w:t>
      </w:r>
    </w:p>
    <w:p w14:paraId="1622B8E9" w14:textId="77777777" w:rsidR="004E6D4E" w:rsidRPr="00123F51" w:rsidRDefault="004E6D4E" w:rsidP="004E6D4E">
      <w:pPr>
        <w:spacing w:line="276" w:lineRule="auto"/>
        <w:jc w:val="both"/>
        <w:rPr>
          <w:rFonts w:ascii="Verdana" w:hAnsi="Verdana" w:cs="Calibri"/>
        </w:rPr>
      </w:pPr>
      <w:r w:rsidRPr="00123F51">
        <w:rPr>
          <w:rFonts w:ascii="Verdana" w:hAnsi="Verdana" w:cs="Calibri"/>
        </w:rPr>
        <w:t>Los procesos de reparación integral</w:t>
      </w:r>
      <w:r w:rsidRPr="00123F51">
        <w:rPr>
          <w:rStyle w:val="Refdenotaalpie"/>
          <w:rFonts w:ascii="Verdana" w:hAnsi="Verdana" w:cs="Calibri"/>
        </w:rPr>
        <w:footnoteReference w:id="1"/>
      </w:r>
      <w:r w:rsidRPr="00123F51">
        <w:rPr>
          <w:rFonts w:ascii="Verdana" w:hAnsi="Verdana" w:cs="Calibri"/>
        </w:rPr>
        <w:t xml:space="preserve"> buscan el restablecimiento de la dignidad de las víctimas de violaciones a los Derechos Humanos e infracciones al Derecho </w:t>
      </w:r>
      <w:r w:rsidRPr="00123F51">
        <w:rPr>
          <w:rFonts w:ascii="Verdana" w:hAnsi="Verdana" w:cs="Calibri"/>
        </w:rPr>
        <w:lastRenderedPageBreak/>
        <w:t>Internacional Humanitario</w:t>
      </w:r>
      <w:r w:rsidRPr="00123F51">
        <w:rPr>
          <w:rStyle w:val="Refdenotaalpie"/>
          <w:rFonts w:ascii="Verdana" w:hAnsi="Verdana" w:cs="Calibri"/>
        </w:rPr>
        <w:footnoteReference w:id="2"/>
      </w:r>
      <w:r w:rsidRPr="00123F51">
        <w:rPr>
          <w:rFonts w:ascii="Verdana" w:hAnsi="Verdana" w:cs="Calibri"/>
        </w:rPr>
        <w:t xml:space="preserve"> en el marco del conflicto armado, quienes han sido vulneradas por las acciones directas de actores armados ilegales (en ocasiones con complicidad de terceros civiles), por acciones u omisiones de agentes del Estado, en un ambiente de silenciamiento o indiferencia de distintos segmentos de la sociedad.</w:t>
      </w:r>
      <w:r w:rsidRPr="00123F51">
        <w:rPr>
          <w:rStyle w:val="Refdenotaalpie"/>
          <w:rFonts w:ascii="Verdana" w:hAnsi="Verdana" w:cs="Calibri"/>
        </w:rPr>
        <w:footnoteReference w:id="3"/>
      </w:r>
    </w:p>
    <w:p w14:paraId="208D81D7" w14:textId="4D1C8EC5" w:rsidR="001F418B" w:rsidRPr="00123F51" w:rsidRDefault="004E6D4E" w:rsidP="004E6D4E">
      <w:pPr>
        <w:jc w:val="both"/>
        <w:rPr>
          <w:rFonts w:ascii="Verdana" w:hAnsi="Verdana"/>
        </w:rPr>
      </w:pPr>
      <w:r w:rsidRPr="00123F51">
        <w:rPr>
          <w:rFonts w:ascii="Verdana" w:hAnsi="Verdana" w:cs="Calibri"/>
          <w:lang w:val="es-MX"/>
        </w:rPr>
        <w:t>La reparación en tal sentido no puede ser únicamente de compensación económica, sino también avanzar en el restablecimiento de la dignidad de quienes sufrieron violaciones a los Derechos Humanos e infracciones al Derecho Internacional Humanitario. La reparación simbólica, reconocida como componente esencial, se materializa mediante actos públicos que visibilizan a las víctimas como sujetos de derechos y promueven la reconstrucción de la memoria histórica, en cumplimiento de lo establecido en el Decreto 4800 de 2011 y los lineamientos de la Corte Constitucional en la Sentencia T-025 de 2004.</w:t>
      </w:r>
    </w:p>
    <w:p w14:paraId="582FB7B9" w14:textId="77777777" w:rsidR="00FC1FA3" w:rsidRPr="00123F51" w:rsidRDefault="00FC1FA3" w:rsidP="00FC1FA3">
      <w:pPr>
        <w:jc w:val="both"/>
        <w:rPr>
          <w:rFonts w:ascii="Verdana" w:hAnsi="Verdana"/>
        </w:rPr>
      </w:pPr>
      <w:r w:rsidRPr="00123F51">
        <w:rPr>
          <w:rFonts w:ascii="Verdana" w:hAnsi="Verdana"/>
        </w:rPr>
        <w:t xml:space="preserve">El intercambio epistolar es una forma de diálogo mediado, es decir no directo, en el cual víctimas del conflicto armado dirigen su voz a través de cartas escritas, a otros ciudadanos en Colombia, con el fin de dar a conocer parte de su memoria, plantear una reflexión sobre lo ocurrido en el conflicto y la necesidad de avanzar conjuntamente (víctimas y sociedad), hacia la no repetición de la violencia. En respuesta, ciudadanos colombianos que han recibido dichas cartas escritas por las víctimas, les responden, con ello se busca que las víctimas sientan alivio la empatía de otros ciudadanos que expresan solidaridad, rechazan lo ocurrido y se sienten interpeladas a hacer algo en el futuro para que lo sucedido no se repita. </w:t>
      </w:r>
    </w:p>
    <w:p w14:paraId="6DAD76C7" w14:textId="39A82041" w:rsidR="001F418B" w:rsidRPr="00123F51" w:rsidRDefault="00FC1FA3" w:rsidP="00FC1FA3">
      <w:pPr>
        <w:jc w:val="both"/>
        <w:rPr>
          <w:rFonts w:ascii="Verdana" w:hAnsi="Verdana"/>
        </w:rPr>
      </w:pPr>
      <w:r w:rsidRPr="00123F51">
        <w:rPr>
          <w:rFonts w:ascii="Verdana" w:hAnsi="Verdana"/>
        </w:rPr>
        <w:t>La potencia de este intercambio epistolar es que genera un reconocimiento social sobre lo ocurrido a las víctimas, propicia la pregunta sobre la verdad de lo ocurrido: ¿por qué pasó? y plantea la necesidad de una transformación cultural profunda, en la perspectiva de la no repetición.</w:t>
      </w:r>
    </w:p>
    <w:p w14:paraId="388B6B6D" w14:textId="008E57E0" w:rsidR="00CA1055" w:rsidRPr="00123F51" w:rsidRDefault="001F418B" w:rsidP="00CA1055">
      <w:pPr>
        <w:jc w:val="both"/>
        <w:rPr>
          <w:rFonts w:ascii="Verdana" w:hAnsi="Verdana"/>
          <w:b/>
          <w:bCs/>
        </w:rPr>
      </w:pPr>
      <w:r w:rsidRPr="00123F51">
        <w:rPr>
          <w:rFonts w:ascii="Verdana" w:hAnsi="Verdana"/>
          <w:b/>
          <w:bCs/>
        </w:rPr>
        <w:t>Recomendaciones</w:t>
      </w:r>
    </w:p>
    <w:p w14:paraId="0C6BB325" w14:textId="2D190DA1" w:rsidR="001F418B" w:rsidRPr="00123F51" w:rsidRDefault="001F418B" w:rsidP="001F418B">
      <w:pPr>
        <w:jc w:val="both"/>
        <w:rPr>
          <w:rFonts w:ascii="Verdana" w:hAnsi="Verdana"/>
        </w:rPr>
      </w:pPr>
      <w:r w:rsidRPr="00123F51">
        <w:rPr>
          <w:rFonts w:ascii="Verdana" w:hAnsi="Verdana"/>
        </w:rPr>
        <w:t xml:space="preserve">El desarrollo de cada escenario de diálogo debe realizarse bajo una ética del cuidado, entendida como una práctica relacional que reconoce la dignidad, la historia y la sensibilidad de cada participante. Las siguientes recomendaciones </w:t>
      </w:r>
      <w:r w:rsidRPr="00123F51">
        <w:rPr>
          <w:rFonts w:ascii="Verdana" w:hAnsi="Verdana"/>
        </w:rPr>
        <w:lastRenderedPageBreak/>
        <w:t>buscan orientar a las y los facilitadores para garantizar entornos seguros, empáticos y transformadores:</w:t>
      </w:r>
    </w:p>
    <w:p w14:paraId="1AC4574C" w14:textId="77777777" w:rsidR="001F418B" w:rsidRPr="00123F51" w:rsidRDefault="001F418B" w:rsidP="001F418B">
      <w:pPr>
        <w:numPr>
          <w:ilvl w:val="0"/>
          <w:numId w:val="1"/>
        </w:numPr>
        <w:jc w:val="both"/>
        <w:rPr>
          <w:rFonts w:ascii="Verdana" w:hAnsi="Verdana"/>
        </w:rPr>
      </w:pPr>
      <w:r w:rsidRPr="00123F51">
        <w:rPr>
          <w:rFonts w:ascii="Verdana" w:hAnsi="Verdana"/>
          <w:u w:val="single"/>
        </w:rPr>
        <w:t>Cuidado con la palabra:</w:t>
      </w:r>
      <w:r w:rsidRPr="00123F51">
        <w:rPr>
          <w:rFonts w:ascii="Verdana" w:hAnsi="Verdana"/>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7955C28C" w14:textId="77777777" w:rsidR="001F418B" w:rsidRPr="00123F51" w:rsidRDefault="001F418B" w:rsidP="001F418B">
      <w:pPr>
        <w:numPr>
          <w:ilvl w:val="0"/>
          <w:numId w:val="1"/>
        </w:numPr>
        <w:jc w:val="both"/>
        <w:rPr>
          <w:rFonts w:ascii="Verdana" w:hAnsi="Verdana"/>
        </w:rPr>
      </w:pPr>
      <w:r w:rsidRPr="00123F51">
        <w:rPr>
          <w:rFonts w:ascii="Verdana" w:hAnsi="Verdana"/>
          <w:u w:val="single"/>
        </w:rPr>
        <w:t>Disposición de escucha:</w:t>
      </w:r>
      <w:r w:rsidRPr="00123F51">
        <w:rPr>
          <w:rFonts w:ascii="Verdana" w:hAnsi="Verdana"/>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6A157343" w14:textId="77777777" w:rsidR="001F418B" w:rsidRPr="00123F51" w:rsidRDefault="001F418B" w:rsidP="001F418B">
      <w:pPr>
        <w:numPr>
          <w:ilvl w:val="0"/>
          <w:numId w:val="1"/>
        </w:numPr>
        <w:jc w:val="both"/>
        <w:rPr>
          <w:rFonts w:ascii="Verdana" w:hAnsi="Verdana"/>
        </w:rPr>
      </w:pPr>
      <w:r w:rsidRPr="00123F51">
        <w:rPr>
          <w:rFonts w:ascii="Verdana" w:hAnsi="Verdana"/>
          <w:u w:val="single"/>
        </w:rPr>
        <w:t>Respeto por los ritmos y silencios:</w:t>
      </w:r>
      <w:r w:rsidRPr="00123F51">
        <w:rPr>
          <w:rFonts w:ascii="Verdana" w:hAnsi="Verdana"/>
        </w:rPr>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53F3BBAA" w14:textId="77777777" w:rsidR="001F418B" w:rsidRPr="00123F51" w:rsidRDefault="001F418B" w:rsidP="001F418B">
      <w:pPr>
        <w:numPr>
          <w:ilvl w:val="0"/>
          <w:numId w:val="1"/>
        </w:numPr>
        <w:jc w:val="both"/>
        <w:rPr>
          <w:rFonts w:ascii="Verdana" w:hAnsi="Verdana"/>
        </w:rPr>
      </w:pPr>
      <w:r w:rsidRPr="00123F51">
        <w:rPr>
          <w:rFonts w:ascii="Verdana" w:hAnsi="Verdana"/>
          <w:u w:val="single"/>
        </w:rPr>
        <w:t>Acción sin daño:</w:t>
      </w:r>
      <w:r w:rsidRPr="00123F51">
        <w:rPr>
          <w:rFonts w:ascii="Verdana" w:hAnsi="Verdana"/>
        </w:rPr>
        <w:t xml:space="preserve"> Garantizar que ninguna dinámica, palabra o símbolo revictimice o exponga a las personas. Antes de iniciar cada actividad, se debe revisar el contexto emocional y establecer acuerdos de confianza, confidencialidad y contención.</w:t>
      </w:r>
    </w:p>
    <w:p w14:paraId="487338EE" w14:textId="77777777" w:rsidR="001F418B" w:rsidRPr="00123F51" w:rsidRDefault="001F418B" w:rsidP="001F418B">
      <w:pPr>
        <w:numPr>
          <w:ilvl w:val="0"/>
          <w:numId w:val="1"/>
        </w:numPr>
        <w:jc w:val="both"/>
        <w:rPr>
          <w:rFonts w:ascii="Verdana" w:hAnsi="Verdana"/>
        </w:rPr>
      </w:pPr>
      <w:r w:rsidRPr="00123F51">
        <w:rPr>
          <w:rFonts w:ascii="Verdana" w:hAnsi="Verdana"/>
          <w:u w:val="single"/>
        </w:rPr>
        <w:t>Cuidado del entorno:</w:t>
      </w:r>
      <w:r w:rsidRPr="00123F51">
        <w:rPr>
          <w:rFonts w:ascii="Verdana" w:hAnsi="Verdana"/>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075BE9F1" w14:textId="77777777" w:rsidR="001F418B" w:rsidRPr="00123F51" w:rsidRDefault="001F418B" w:rsidP="001F418B">
      <w:pPr>
        <w:numPr>
          <w:ilvl w:val="0"/>
          <w:numId w:val="1"/>
        </w:numPr>
        <w:jc w:val="both"/>
        <w:rPr>
          <w:rFonts w:ascii="Verdana" w:hAnsi="Verdana"/>
        </w:rPr>
      </w:pPr>
      <w:r w:rsidRPr="00123F51">
        <w:rPr>
          <w:rFonts w:ascii="Verdana" w:hAnsi="Verdana"/>
          <w:u w:val="single"/>
        </w:rPr>
        <w:t>Reconocimiento de los saberes:</w:t>
      </w:r>
      <w:r w:rsidRPr="00123F51">
        <w:rPr>
          <w:rFonts w:ascii="Verdana" w:hAnsi="Verdana"/>
        </w:rPr>
        <w:t xml:space="preserve"> Cada participante es portador de conocimientos valiosos. Fomentar el intercambio horizontal, reconociendo las experiencias de vida como fuente de aprendizaje colectivo y reparación simbólica.</w:t>
      </w:r>
    </w:p>
    <w:p w14:paraId="6C2A701B" w14:textId="77777777" w:rsidR="001F418B" w:rsidRPr="00123F51" w:rsidRDefault="001F418B" w:rsidP="001F418B">
      <w:pPr>
        <w:numPr>
          <w:ilvl w:val="0"/>
          <w:numId w:val="1"/>
        </w:numPr>
        <w:jc w:val="both"/>
        <w:rPr>
          <w:rFonts w:ascii="Verdana" w:hAnsi="Verdana"/>
        </w:rPr>
      </w:pPr>
      <w:r w:rsidRPr="00123F51">
        <w:rPr>
          <w:rFonts w:ascii="Verdana" w:hAnsi="Verdana"/>
          <w:u w:val="single"/>
        </w:rPr>
        <w:t>Cuidado con el cuerpo:</w:t>
      </w:r>
      <w:r w:rsidRPr="00123F51">
        <w:rPr>
          <w:rFonts w:ascii="Verdana" w:hAnsi="Verdana"/>
        </w:rPr>
        <w:t xml:space="preserve"> Promover el movimiento, la respiración y la conexión corporal como formas de liberar tensiones y fortalecer la presencia. El cuerpo es memoria y también posibilidad de transformación.</w:t>
      </w:r>
    </w:p>
    <w:p w14:paraId="29054AEE" w14:textId="77777777" w:rsidR="00CA1055" w:rsidRPr="00123F51" w:rsidRDefault="00CA1055" w:rsidP="00CA1055">
      <w:pPr>
        <w:jc w:val="both"/>
        <w:rPr>
          <w:rFonts w:ascii="Verdana" w:hAnsi="Verdana"/>
        </w:rPr>
      </w:pPr>
      <w:r w:rsidRPr="00123F51">
        <w:rPr>
          <w:rFonts w:ascii="Verdana" w:hAnsi="Verdana"/>
        </w:rPr>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2A6A1B54" w14:textId="48FC75C7" w:rsidR="00B42BCF" w:rsidRPr="00123F51" w:rsidRDefault="00F67F90" w:rsidP="00B80F2F">
      <w:pPr>
        <w:jc w:val="both"/>
        <w:rPr>
          <w:rFonts w:ascii="Verdana" w:hAnsi="Verdana"/>
        </w:rPr>
      </w:pPr>
      <w:r w:rsidRPr="00123F51">
        <w:rPr>
          <w:rFonts w:ascii="Verdana" w:hAnsi="Verdana"/>
        </w:rPr>
        <w:lastRenderedPageBreak/>
        <w:t xml:space="preserve"> </w:t>
      </w:r>
    </w:p>
    <w:tbl>
      <w:tblPr>
        <w:tblStyle w:val="Tablaconcuadrcula"/>
        <w:tblW w:w="0" w:type="auto"/>
        <w:tblLook w:val="04A0" w:firstRow="1" w:lastRow="0" w:firstColumn="1" w:lastColumn="0" w:noHBand="0" w:noVBand="1"/>
      </w:tblPr>
      <w:tblGrid>
        <w:gridCol w:w="8828"/>
      </w:tblGrid>
      <w:tr w:rsidR="00AD20DC" w:rsidRPr="00123F51" w14:paraId="00BCC409" w14:textId="77777777" w:rsidTr="003D6C12">
        <w:tc>
          <w:tcPr>
            <w:tcW w:w="8828" w:type="dxa"/>
            <w:shd w:val="clear" w:color="auto" w:fill="FFC000" w:themeFill="accent4"/>
          </w:tcPr>
          <w:p w14:paraId="34B112B0" w14:textId="7A0FFC96" w:rsidR="00FC1FA3" w:rsidRPr="00123F51" w:rsidRDefault="00942CB5" w:rsidP="00FC1FA3">
            <w:pPr>
              <w:jc w:val="center"/>
              <w:rPr>
                <w:rFonts w:ascii="Verdana" w:hAnsi="Verdana"/>
                <w:b/>
                <w:bCs/>
              </w:rPr>
            </w:pPr>
            <w:r w:rsidRPr="00123F51">
              <w:rPr>
                <w:rFonts w:ascii="Verdana" w:hAnsi="Verdana"/>
                <w:b/>
                <w:bCs/>
              </w:rPr>
              <w:t xml:space="preserve">Momento </w:t>
            </w:r>
            <w:r w:rsidR="00AD20DC" w:rsidRPr="00123F51">
              <w:rPr>
                <w:rFonts w:ascii="Verdana" w:hAnsi="Verdana"/>
                <w:b/>
                <w:bCs/>
              </w:rPr>
              <w:t xml:space="preserve">1 </w:t>
            </w:r>
          </w:p>
          <w:p w14:paraId="28C3F5E3" w14:textId="3A6048F9" w:rsidR="00AD20DC" w:rsidRPr="00123F51" w:rsidRDefault="003D5C33" w:rsidP="00FC1FA3">
            <w:pPr>
              <w:jc w:val="center"/>
              <w:rPr>
                <w:rFonts w:ascii="Verdana" w:hAnsi="Verdana"/>
                <w:b/>
                <w:bCs/>
              </w:rPr>
            </w:pPr>
            <w:r w:rsidRPr="00123F51">
              <w:rPr>
                <w:rFonts w:ascii="Verdana" w:hAnsi="Verdana"/>
                <w:b/>
                <w:bCs/>
              </w:rPr>
              <w:t>Intercambio ep</w:t>
            </w:r>
            <w:r w:rsidR="00942CB5" w:rsidRPr="00123F51">
              <w:rPr>
                <w:rFonts w:ascii="Verdana" w:hAnsi="Verdana"/>
                <w:b/>
                <w:bCs/>
              </w:rPr>
              <w:t>i</w:t>
            </w:r>
            <w:r w:rsidRPr="00123F51">
              <w:rPr>
                <w:rFonts w:ascii="Verdana" w:hAnsi="Verdana"/>
                <w:b/>
                <w:bCs/>
              </w:rPr>
              <w:t>stolar con víctimas</w:t>
            </w:r>
            <w:r w:rsidR="00A31838" w:rsidRPr="00123F51">
              <w:rPr>
                <w:rFonts w:ascii="Verdana" w:hAnsi="Verdana"/>
                <w:b/>
                <w:bCs/>
              </w:rPr>
              <w:t xml:space="preserve"> </w:t>
            </w:r>
          </w:p>
        </w:tc>
      </w:tr>
      <w:tr w:rsidR="00B80F2F" w:rsidRPr="00123F51" w14:paraId="5B7FCCBD" w14:textId="77777777" w:rsidTr="00AD20DC">
        <w:tc>
          <w:tcPr>
            <w:tcW w:w="8828" w:type="dxa"/>
          </w:tcPr>
          <w:p w14:paraId="7EFA7300" w14:textId="16AECB75" w:rsidR="00B675A5" w:rsidRPr="00123F51" w:rsidRDefault="00B80F2F" w:rsidP="00A31838">
            <w:pPr>
              <w:rPr>
                <w:rFonts w:ascii="Verdana" w:hAnsi="Verdana"/>
                <w:b/>
                <w:bCs/>
              </w:rPr>
            </w:pPr>
            <w:r w:rsidRPr="00123F51">
              <w:rPr>
                <w:rFonts w:ascii="Verdana" w:hAnsi="Verdana"/>
                <w:b/>
                <w:bCs/>
              </w:rPr>
              <w:t>Encuadre:</w:t>
            </w:r>
          </w:p>
          <w:p w14:paraId="465C0F32" w14:textId="77777777" w:rsidR="00B675A5" w:rsidRPr="00123F51" w:rsidRDefault="00B675A5" w:rsidP="00A31838">
            <w:pPr>
              <w:rPr>
                <w:rFonts w:ascii="Verdana" w:hAnsi="Verdana"/>
                <w:b/>
                <w:bCs/>
              </w:rPr>
            </w:pPr>
          </w:p>
          <w:p w14:paraId="098ED357" w14:textId="77777777" w:rsidR="002719CF" w:rsidRPr="00123F51" w:rsidRDefault="00B675A5" w:rsidP="00B675A5">
            <w:pPr>
              <w:jc w:val="both"/>
              <w:rPr>
                <w:rFonts w:ascii="Verdana" w:hAnsi="Verdana"/>
              </w:rPr>
            </w:pPr>
            <w:r w:rsidRPr="00123F51">
              <w:rPr>
                <w:rFonts w:ascii="Verdana" w:hAnsi="Verdana"/>
              </w:rPr>
              <w:t xml:space="preserve">El encuentro inicia con una breve introducción sobre la importancia de crear un espacio seguro, amable y respetuosa para compartir experiencias.  Se pautan acuerdos de convivencia: respeto mutuo, escucha sin interrupciones, confidencialidad y valoración de todas las voces. </w:t>
            </w:r>
          </w:p>
          <w:p w14:paraId="24E3D0FE" w14:textId="77777777" w:rsidR="002719CF" w:rsidRPr="00123F51" w:rsidRDefault="002719CF" w:rsidP="00B675A5">
            <w:pPr>
              <w:jc w:val="both"/>
              <w:rPr>
                <w:rFonts w:ascii="Verdana" w:hAnsi="Verdana"/>
              </w:rPr>
            </w:pPr>
          </w:p>
          <w:p w14:paraId="024119AC" w14:textId="111EEE88" w:rsidR="00B675A5" w:rsidRPr="00123F51" w:rsidRDefault="00B675A5" w:rsidP="00B675A5">
            <w:pPr>
              <w:jc w:val="both"/>
              <w:rPr>
                <w:rFonts w:ascii="Verdana" w:hAnsi="Verdana"/>
              </w:rPr>
            </w:pPr>
            <w:r w:rsidRPr="00123F51">
              <w:rPr>
                <w:rFonts w:ascii="Verdana" w:hAnsi="Verdana"/>
              </w:rPr>
              <w:t>A continuación, se realiza la dinámica de presentación del grupo “Lo que traigo en el corazón”: La persona dinamizadora solicita a los y las participantes que conformen un círculo y vayan presentándose, mencionando su nombre, lugar de origen, lo que más valora de su territorio</w:t>
            </w:r>
            <w:r w:rsidR="002719CF" w:rsidRPr="00123F51">
              <w:rPr>
                <w:rFonts w:ascii="Verdana" w:hAnsi="Verdana"/>
              </w:rPr>
              <w:t>,</w:t>
            </w:r>
            <w:r w:rsidRPr="00123F51">
              <w:rPr>
                <w:rFonts w:ascii="Verdana" w:hAnsi="Verdana"/>
              </w:rPr>
              <w:t xml:space="preserve"> de ser campesino o campesinas,</w:t>
            </w:r>
            <w:r w:rsidR="002719CF" w:rsidRPr="00123F51">
              <w:rPr>
                <w:rFonts w:ascii="Verdana" w:hAnsi="Verdana"/>
              </w:rPr>
              <w:t xml:space="preserve"> y</w:t>
            </w:r>
            <w:r w:rsidRPr="00123F51">
              <w:rPr>
                <w:rFonts w:ascii="Verdana" w:hAnsi="Verdana"/>
              </w:rPr>
              <w:t xml:space="preserve"> lo que traen en el corazón para el presente espacio. </w:t>
            </w:r>
          </w:p>
          <w:p w14:paraId="168290E9" w14:textId="77777777" w:rsidR="00B675A5" w:rsidRPr="00123F51" w:rsidRDefault="00B675A5" w:rsidP="00B675A5">
            <w:pPr>
              <w:jc w:val="both"/>
              <w:rPr>
                <w:rFonts w:ascii="Verdana" w:hAnsi="Verdana"/>
                <w:b/>
                <w:bCs/>
              </w:rPr>
            </w:pPr>
          </w:p>
          <w:p w14:paraId="29FE01AE" w14:textId="77777777" w:rsidR="00B675A5" w:rsidRPr="00123F51" w:rsidRDefault="00B675A5" w:rsidP="00B675A5">
            <w:pPr>
              <w:jc w:val="both"/>
              <w:rPr>
                <w:rFonts w:ascii="Verdana" w:hAnsi="Verdana"/>
              </w:rPr>
            </w:pPr>
            <w:r w:rsidRPr="00123F51">
              <w:rPr>
                <w:rFonts w:ascii="Verdana" w:hAnsi="Verdana"/>
              </w:rPr>
              <w:t>Esta actividad permite generar un círculo de la confianza y de escucha mutua, promoviendo pautas de convivencia y conocimiento entre los facilitadores y los participantes del diálogo transformador.</w:t>
            </w:r>
          </w:p>
          <w:p w14:paraId="7C5ED3F8" w14:textId="77777777" w:rsidR="00B675A5" w:rsidRPr="00123F51" w:rsidRDefault="00B675A5" w:rsidP="00A31838">
            <w:pPr>
              <w:rPr>
                <w:rFonts w:ascii="Verdana" w:hAnsi="Verdana"/>
                <w:b/>
                <w:bCs/>
              </w:rPr>
            </w:pPr>
          </w:p>
          <w:p w14:paraId="6D5F000C" w14:textId="1952C07A" w:rsidR="00B80F2F" w:rsidRPr="00123F51" w:rsidRDefault="00B675A5" w:rsidP="00A31838">
            <w:pPr>
              <w:jc w:val="both"/>
              <w:rPr>
                <w:rFonts w:ascii="Verdana" w:hAnsi="Verdana"/>
              </w:rPr>
            </w:pPr>
            <w:r w:rsidRPr="00123F51">
              <w:rPr>
                <w:rFonts w:ascii="Verdana" w:hAnsi="Verdana"/>
              </w:rPr>
              <w:t>Posteriormente, el</w:t>
            </w:r>
            <w:r w:rsidR="00A31838" w:rsidRPr="00123F51">
              <w:rPr>
                <w:rFonts w:ascii="Verdana" w:hAnsi="Verdana"/>
              </w:rPr>
              <w:t xml:space="preserve"> o la dinamizadora realiza un breve encuadre de la actividad haciendo referencia la explicación de las medidas de satisfacción y garantías de no repetición en la estrategia de Diálogos Transformadores</w:t>
            </w:r>
            <w:commentRangeStart w:id="0"/>
            <w:r w:rsidR="00A31838" w:rsidRPr="00123F51">
              <w:rPr>
                <w:rFonts w:ascii="Verdana" w:hAnsi="Verdana"/>
              </w:rPr>
              <w:t>, así como realizar una breve introducción de elementos del campesinado descrito en el anterior apartado.</w:t>
            </w:r>
            <w:commentRangeEnd w:id="0"/>
            <w:r w:rsidR="00A31838" w:rsidRPr="00123F51">
              <w:rPr>
                <w:rStyle w:val="Refdecomentario"/>
                <w:rFonts w:ascii="Verdana" w:hAnsi="Verdana"/>
                <w:sz w:val="22"/>
                <w:szCs w:val="22"/>
              </w:rPr>
              <w:commentReference w:id="0"/>
            </w:r>
          </w:p>
          <w:p w14:paraId="214DE57F" w14:textId="77777777" w:rsidR="00A31838" w:rsidRPr="00123F51" w:rsidRDefault="00A31838" w:rsidP="00A31838">
            <w:pPr>
              <w:jc w:val="both"/>
              <w:rPr>
                <w:rFonts w:ascii="Verdana" w:hAnsi="Verdana"/>
              </w:rPr>
            </w:pPr>
          </w:p>
          <w:p w14:paraId="1D7F4D93" w14:textId="77777777" w:rsidR="00A31838" w:rsidRPr="00123F51" w:rsidRDefault="00A31838" w:rsidP="00A31838">
            <w:pPr>
              <w:jc w:val="both"/>
              <w:rPr>
                <w:rFonts w:ascii="Verdana" w:hAnsi="Verdana"/>
              </w:rPr>
            </w:pPr>
            <w:r w:rsidRPr="00123F51">
              <w:rPr>
                <w:rFonts w:ascii="Verdana" w:hAnsi="Verdana"/>
              </w:rPr>
              <w:t xml:space="preserve">Para la explicación de las medidas de reparación, el o la dinamizadora se podrá apoyar de las imágenes dispuestas del procedimiento para dicho propósito. </w:t>
            </w:r>
          </w:p>
          <w:p w14:paraId="77643CDC" w14:textId="198D8AF0" w:rsidR="00E13BD8" w:rsidRPr="00123F51" w:rsidRDefault="00E13BD8" w:rsidP="00A31838">
            <w:pPr>
              <w:jc w:val="both"/>
              <w:rPr>
                <w:rFonts w:ascii="Verdana" w:hAnsi="Verdana"/>
              </w:rPr>
            </w:pPr>
          </w:p>
        </w:tc>
      </w:tr>
      <w:tr w:rsidR="00D93B1B" w:rsidRPr="00123F51" w14:paraId="7F8BB848" w14:textId="77777777" w:rsidTr="00C101F2">
        <w:tc>
          <w:tcPr>
            <w:tcW w:w="8828" w:type="dxa"/>
            <w:shd w:val="clear" w:color="auto" w:fill="FFF2CC" w:themeFill="accent4" w:themeFillTint="33"/>
          </w:tcPr>
          <w:p w14:paraId="01283BD3" w14:textId="3823D586" w:rsidR="00D93B1B" w:rsidRPr="00123F51" w:rsidRDefault="00D93B1B" w:rsidP="00D93B1B">
            <w:pPr>
              <w:jc w:val="both"/>
              <w:rPr>
                <w:rFonts w:ascii="Verdana" w:hAnsi="Verdana"/>
              </w:rPr>
            </w:pPr>
            <w:r w:rsidRPr="00123F51">
              <w:rPr>
                <w:rFonts w:ascii="Verdana" w:hAnsi="Verdana"/>
                <w:b/>
                <w:bCs/>
              </w:rPr>
              <w:t>Actividad 1.</w:t>
            </w:r>
            <w:r w:rsidR="00B675A5" w:rsidRPr="00123F51">
              <w:rPr>
                <w:rFonts w:ascii="Verdana" w:hAnsi="Verdana"/>
                <w:b/>
                <w:bCs/>
              </w:rPr>
              <w:t>1</w:t>
            </w:r>
            <w:r w:rsidR="00325D6A" w:rsidRPr="00123F51">
              <w:rPr>
                <w:rFonts w:ascii="Verdana" w:hAnsi="Verdana"/>
                <w:b/>
                <w:bCs/>
              </w:rPr>
              <w:t>.</w:t>
            </w:r>
            <w:r w:rsidRPr="00123F51">
              <w:rPr>
                <w:rFonts w:ascii="Verdana" w:hAnsi="Verdana"/>
                <w:b/>
                <w:bCs/>
              </w:rPr>
              <w:t xml:space="preserve"> </w:t>
            </w:r>
            <w:r w:rsidR="00942CB5" w:rsidRPr="00123F51">
              <w:rPr>
                <w:rFonts w:ascii="Verdana" w:hAnsi="Verdana"/>
                <w:b/>
                <w:bCs/>
              </w:rPr>
              <w:t xml:space="preserve">Escritura </w:t>
            </w:r>
            <w:r w:rsidR="006560EC" w:rsidRPr="00123F51">
              <w:rPr>
                <w:rFonts w:ascii="Verdana" w:hAnsi="Verdana"/>
                <w:b/>
                <w:bCs/>
              </w:rPr>
              <w:t>y herramientas de afrontamiento</w:t>
            </w:r>
          </w:p>
        </w:tc>
      </w:tr>
      <w:tr w:rsidR="002E2AC5" w:rsidRPr="00123F51" w14:paraId="5D5D0E79" w14:textId="77777777" w:rsidTr="00AD20DC">
        <w:tc>
          <w:tcPr>
            <w:tcW w:w="8828" w:type="dxa"/>
          </w:tcPr>
          <w:p w14:paraId="27F782AE" w14:textId="3B80AFB8" w:rsidR="002E2AC5" w:rsidRPr="00123F51" w:rsidRDefault="002E2AC5" w:rsidP="002E2AC5">
            <w:pPr>
              <w:jc w:val="both"/>
              <w:rPr>
                <w:rFonts w:ascii="Verdana" w:hAnsi="Verdana"/>
                <w:b/>
                <w:bCs/>
              </w:rPr>
            </w:pPr>
            <w:r w:rsidRPr="00123F51">
              <w:rPr>
                <w:rFonts w:ascii="Verdana" w:hAnsi="Verdana"/>
                <w:b/>
                <w:bCs/>
              </w:rPr>
              <w:t>Duración: 45 minutos</w:t>
            </w:r>
          </w:p>
        </w:tc>
      </w:tr>
      <w:tr w:rsidR="002E2AC5" w:rsidRPr="00123F51" w14:paraId="0171645A" w14:textId="77777777" w:rsidTr="00AD20DC">
        <w:tc>
          <w:tcPr>
            <w:tcW w:w="8828" w:type="dxa"/>
          </w:tcPr>
          <w:p w14:paraId="034822F3" w14:textId="6EE8EFE6" w:rsidR="002E2AC5" w:rsidRPr="00123F51" w:rsidRDefault="002E2AC5" w:rsidP="002E2AC5">
            <w:pPr>
              <w:jc w:val="both"/>
              <w:rPr>
                <w:rFonts w:ascii="Verdana" w:hAnsi="Verdana"/>
              </w:rPr>
            </w:pPr>
            <w:r w:rsidRPr="00123F51">
              <w:rPr>
                <w:rFonts w:ascii="Verdana" w:hAnsi="Verdana"/>
                <w:b/>
                <w:bCs/>
              </w:rPr>
              <w:t xml:space="preserve">Materiales: </w:t>
            </w:r>
            <w:r w:rsidR="003E1277" w:rsidRPr="00123F51">
              <w:rPr>
                <w:rFonts w:ascii="Verdana" w:hAnsi="Verdana"/>
                <w:b/>
                <w:bCs/>
              </w:rPr>
              <w:t>Sillas, mesas, p</w:t>
            </w:r>
            <w:r w:rsidR="003E1277" w:rsidRPr="00123F51">
              <w:rPr>
                <w:rFonts w:ascii="Verdana" w:hAnsi="Verdana"/>
              </w:rPr>
              <w:t>apel, lapiceros</w:t>
            </w:r>
          </w:p>
        </w:tc>
      </w:tr>
      <w:tr w:rsidR="002E2AC5" w:rsidRPr="00123F51" w14:paraId="28C5F781" w14:textId="77777777" w:rsidTr="00AD20DC">
        <w:tc>
          <w:tcPr>
            <w:tcW w:w="8828" w:type="dxa"/>
          </w:tcPr>
          <w:p w14:paraId="67E073C3" w14:textId="2BB05B10" w:rsidR="002E2AC5" w:rsidRPr="00123F51" w:rsidRDefault="002E2AC5" w:rsidP="003E1277">
            <w:pPr>
              <w:rPr>
                <w:rFonts w:ascii="Verdana" w:hAnsi="Verdana"/>
              </w:rPr>
            </w:pPr>
            <w:r w:rsidRPr="00123F51">
              <w:rPr>
                <w:rFonts w:ascii="Verdana" w:hAnsi="Verdana"/>
                <w:b/>
                <w:bCs/>
              </w:rPr>
              <w:t>Objetivo:</w:t>
            </w:r>
            <w:r w:rsidRPr="00123F51">
              <w:rPr>
                <w:rFonts w:ascii="Verdana" w:hAnsi="Verdana"/>
              </w:rPr>
              <w:t xml:space="preserve"> </w:t>
            </w:r>
            <w:r w:rsidR="003E1277" w:rsidRPr="00123F51">
              <w:rPr>
                <w:rFonts w:ascii="Verdana" w:hAnsi="Verdana"/>
              </w:rPr>
              <w:t>Propiciar un diálogo mediado entre víctimas y sociedad, a través de cartas y acciones simbólicas, que promueva la memoria, la verdad y la construcción de paz.</w:t>
            </w:r>
          </w:p>
        </w:tc>
      </w:tr>
      <w:tr w:rsidR="002E2AC5" w:rsidRPr="00123F51" w14:paraId="4B650E08" w14:textId="77777777" w:rsidTr="00AD20DC">
        <w:tc>
          <w:tcPr>
            <w:tcW w:w="8828" w:type="dxa"/>
          </w:tcPr>
          <w:p w14:paraId="14F286BE" w14:textId="04664D6B" w:rsidR="002E2AC5" w:rsidRPr="00123F51" w:rsidRDefault="002E2AC5" w:rsidP="002E2AC5">
            <w:pPr>
              <w:jc w:val="both"/>
              <w:rPr>
                <w:rFonts w:ascii="Verdana" w:hAnsi="Verdana"/>
                <w:b/>
                <w:bCs/>
              </w:rPr>
            </w:pPr>
            <w:r w:rsidRPr="00123F51">
              <w:rPr>
                <w:rFonts w:ascii="Verdana" w:hAnsi="Verdana"/>
                <w:b/>
                <w:bCs/>
              </w:rPr>
              <w:t>Desarrollo:</w:t>
            </w:r>
          </w:p>
          <w:p w14:paraId="13396205" w14:textId="77777777" w:rsidR="00F44DD6" w:rsidRPr="00123F51" w:rsidRDefault="00F44DD6" w:rsidP="00F44DD6">
            <w:pPr>
              <w:pStyle w:val="paragraph"/>
              <w:spacing w:after="0"/>
              <w:textAlignment w:val="baseline"/>
              <w:rPr>
                <w:rFonts w:ascii="Verdana" w:eastAsiaTheme="minorHAnsi" w:hAnsi="Verdana" w:cs="Calibri"/>
                <w:b/>
                <w:bCs/>
                <w:i/>
                <w:iCs/>
                <w:sz w:val="22"/>
                <w:szCs w:val="22"/>
                <w:lang w:val="es-ES" w:eastAsia="en-US"/>
              </w:rPr>
            </w:pPr>
            <w:r w:rsidRPr="00123F51">
              <w:rPr>
                <w:rFonts w:ascii="Verdana" w:eastAsiaTheme="minorHAnsi" w:hAnsi="Verdana" w:cs="Calibri"/>
                <w:b/>
                <w:bCs/>
                <w:i/>
                <w:iCs/>
                <w:sz w:val="22"/>
                <w:szCs w:val="22"/>
                <w:lang w:val="es-ES" w:eastAsia="en-US"/>
              </w:rPr>
              <w:t xml:space="preserve">Acogida y orientación  </w:t>
            </w:r>
          </w:p>
          <w:p w14:paraId="1B722892" w14:textId="77777777" w:rsidR="00F44DD6" w:rsidRPr="00123F51" w:rsidRDefault="00F44DD6" w:rsidP="00F44DD6">
            <w:pPr>
              <w:pStyle w:val="paragraph"/>
              <w:numPr>
                <w:ilvl w:val="0"/>
                <w:numId w:val="17"/>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Se presenta el propósito del intercambio epistolar y se invita a las estaciones de escritura. </w:t>
            </w:r>
          </w:p>
          <w:p w14:paraId="058B18D9" w14:textId="77777777" w:rsidR="00F44DD6" w:rsidRPr="00123F51" w:rsidRDefault="00F44DD6" w:rsidP="00F44DD6">
            <w:pPr>
              <w:pStyle w:val="paragraph"/>
              <w:numPr>
                <w:ilvl w:val="0"/>
                <w:numId w:val="17"/>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lastRenderedPageBreak/>
              <w:t xml:space="preserve">Explicación del proceso con ejemplos de cartas anónimas.   </w:t>
            </w:r>
          </w:p>
          <w:p w14:paraId="4444EBF6" w14:textId="77777777" w:rsidR="00F44DD6" w:rsidRPr="00123F51" w:rsidRDefault="00F44DD6" w:rsidP="00F44DD6">
            <w:pPr>
              <w:pStyle w:val="paragraph"/>
              <w:spacing w:after="0"/>
              <w:ind w:left="1416"/>
              <w:jc w:val="both"/>
              <w:textAlignment w:val="baseline"/>
              <w:rPr>
                <w:rFonts w:ascii="Verdana" w:eastAsiaTheme="minorHAnsi" w:hAnsi="Verdana" w:cs="Calibri"/>
                <w:i/>
                <w:iCs/>
                <w:sz w:val="22"/>
                <w:szCs w:val="22"/>
                <w:lang w:val="es-ES" w:eastAsia="en-US"/>
              </w:rPr>
            </w:pPr>
            <w:r w:rsidRPr="00123F51">
              <w:rPr>
                <w:rFonts w:ascii="Verdana" w:eastAsiaTheme="minorHAnsi" w:hAnsi="Verdana" w:cs="Calibri"/>
                <w:sz w:val="22"/>
                <w:szCs w:val="22"/>
                <w:lang w:val="es-ES" w:eastAsia="en-US"/>
              </w:rPr>
              <w:t>*”</w:t>
            </w:r>
            <w:r w:rsidRPr="00123F51">
              <w:rPr>
                <w:rFonts w:ascii="Verdana" w:eastAsiaTheme="minorHAnsi" w:hAnsi="Verdana" w:cs="Calibri"/>
                <w:i/>
                <w:iCs/>
                <w:sz w:val="22"/>
                <w:szCs w:val="22"/>
                <w:lang w:val="es-ES" w:eastAsia="en-US"/>
              </w:rPr>
              <w:t>No es fácil contar lo vivido, pero lo hago porque alguien debe escuchar esta historia que no es solo mía, sino de muchos como yo. Recuerdo ese día como si fuera ayer. El sol apenas comenzaba a calentar cuando el miedo llegó sin avisar. Los sonidos que nunca deberían escucharse en un pueblo como el nuestro sonaron por todas partes. Corrimos sin saber dónde refugiarnos, dejando atrás todo. Los años siguientes fueron de silencio y rabia contenida. Pero también de pequeños gestos que mantuvieron viva la esperanza: la vecina que compartió su plato de comida, el maestro que nos ayudó con los papeles, las manos que nos tendieron puentes cuando más los necesitábamos. Por eso hoy escribo, no para revivir el dolor, sino para recordarles que cada uno de ustedes puede ser esa mano tendida. Que, en sus decisiones, en el trato a los demás, está la semilla de un país diferente. No pido venganza, sino compromiso. Que cuando lean esto, se pregunten honestamente: ¿Qué estoy haciendo para que nadie más tenga que escribir cartas como esta? ¿Cómo puedo ser parte de la solución?”</w:t>
            </w:r>
          </w:p>
          <w:p w14:paraId="231D1FE0" w14:textId="51DFD362" w:rsidR="00F44DD6" w:rsidRPr="00123F51" w:rsidRDefault="00F44DD6" w:rsidP="00F44DD6">
            <w:pPr>
              <w:pStyle w:val="paragraph"/>
              <w:spacing w:after="0"/>
              <w:textAlignment w:val="baseline"/>
              <w:rPr>
                <w:rFonts w:ascii="Verdana" w:eastAsiaTheme="minorHAnsi" w:hAnsi="Verdana" w:cs="Calibri"/>
                <w:b/>
                <w:bCs/>
                <w:i/>
                <w:iCs/>
                <w:sz w:val="22"/>
                <w:szCs w:val="22"/>
                <w:lang w:val="es-ES" w:eastAsia="en-US"/>
              </w:rPr>
            </w:pPr>
            <w:r w:rsidRPr="00123F51">
              <w:rPr>
                <w:rFonts w:ascii="Verdana" w:eastAsiaTheme="minorHAnsi" w:hAnsi="Verdana" w:cs="Calibri"/>
                <w:b/>
                <w:bCs/>
                <w:i/>
                <w:iCs/>
                <w:sz w:val="22"/>
                <w:szCs w:val="22"/>
                <w:lang w:val="es-ES" w:eastAsia="en-US"/>
              </w:rPr>
              <w:t xml:space="preserve">Escritura colectiva  </w:t>
            </w:r>
          </w:p>
          <w:p w14:paraId="2F5C903E" w14:textId="77777777" w:rsidR="00F44DD6" w:rsidRPr="00123F51" w:rsidRDefault="00F44DD6" w:rsidP="00F44DD6">
            <w:pPr>
              <w:pStyle w:val="paragraph"/>
              <w:spacing w:after="0"/>
              <w:jc w:val="both"/>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De acuerdo con la convocatoria realizada se procurará el desarrollo de dos espacios diferenciados durante la jornada, iniciando con el espacio de escritura por parte de las víctimas y con posterioridad de los sectores sociales. </w:t>
            </w:r>
          </w:p>
          <w:p w14:paraId="0D167963" w14:textId="5855B986" w:rsidR="00F44DD6" w:rsidRPr="00123F51" w:rsidRDefault="00A727DF" w:rsidP="00F44DD6">
            <w:pPr>
              <w:pStyle w:val="paragraph"/>
              <w:spacing w:after="0"/>
              <w:jc w:val="both"/>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En este</w:t>
            </w:r>
            <w:r w:rsidR="00D7594B" w:rsidRPr="00123F51">
              <w:rPr>
                <w:rFonts w:ascii="Verdana" w:eastAsiaTheme="minorHAnsi" w:hAnsi="Verdana" w:cs="Calibri"/>
                <w:sz w:val="22"/>
                <w:szCs w:val="22"/>
                <w:lang w:val="es-ES" w:eastAsia="en-US"/>
              </w:rPr>
              <w:t xml:space="preserve"> primer</w:t>
            </w:r>
            <w:r w:rsidRPr="00123F51">
              <w:rPr>
                <w:rFonts w:ascii="Verdana" w:eastAsiaTheme="minorHAnsi" w:hAnsi="Verdana" w:cs="Calibri"/>
                <w:sz w:val="22"/>
                <w:szCs w:val="22"/>
                <w:lang w:val="es-ES" w:eastAsia="en-US"/>
              </w:rPr>
              <w:t xml:space="preserve"> escenario se posibilitará la escritura dirigida </w:t>
            </w:r>
            <w:r w:rsidR="00F44DD6" w:rsidRPr="00123F51">
              <w:rPr>
                <w:rFonts w:ascii="Verdana" w:eastAsiaTheme="minorHAnsi" w:hAnsi="Verdana" w:cs="Calibri"/>
                <w:sz w:val="22"/>
                <w:szCs w:val="22"/>
                <w:lang w:val="es-ES" w:eastAsia="en-US"/>
              </w:rPr>
              <w:t>a la sociedad (¿Qué deben saber? ¿Qué no debe repetirse? ¿Qué deben hacer?). En caso de que haya casos puntuales en que no se quieran divulgar, generar una reflexión acerca de las memorias que quedan guardadas a nivel individual por temor u otras razones que puedan exponer las víctimas.</w:t>
            </w:r>
            <w:r w:rsidR="00F44DD6" w:rsidRPr="00123F51" w:rsidDel="009613EB">
              <w:rPr>
                <w:rFonts w:ascii="Verdana" w:eastAsiaTheme="minorHAnsi" w:hAnsi="Verdana" w:cs="Calibri"/>
                <w:sz w:val="22"/>
                <w:szCs w:val="22"/>
                <w:lang w:val="es-ES" w:eastAsia="en-US"/>
              </w:rPr>
              <w:t xml:space="preserve"> </w:t>
            </w:r>
          </w:p>
          <w:p w14:paraId="323B7CCB" w14:textId="77777777" w:rsidR="00F44DD6" w:rsidRPr="00123F51" w:rsidRDefault="00F44DD6" w:rsidP="00F44DD6">
            <w:pPr>
              <w:pStyle w:val="paragraph"/>
              <w:spacing w:after="0"/>
              <w:jc w:val="both"/>
              <w:textAlignment w:val="baseline"/>
              <w:rPr>
                <w:rFonts w:ascii="Verdana" w:hAnsi="Verdana" w:cs="Calibri"/>
                <w:sz w:val="22"/>
                <w:szCs w:val="22"/>
                <w:lang w:val="es-MX"/>
              </w:rPr>
            </w:pPr>
            <w:r w:rsidRPr="00123F51">
              <w:rPr>
                <w:rFonts w:ascii="Verdana" w:eastAsiaTheme="minorHAnsi" w:hAnsi="Verdana" w:cs="Calibri"/>
                <w:sz w:val="22"/>
                <w:szCs w:val="22"/>
                <w:lang w:val="es-ES" w:eastAsia="en-US"/>
              </w:rPr>
              <w:t>La conversación para la escritura se plantea respecto a las siguientes preguntas orientadoras: ¿A qué persona quiere dirigir esta carta? ¿Qué quisiera c</w:t>
            </w:r>
            <w:proofErr w:type="spellStart"/>
            <w:r w:rsidRPr="00123F51">
              <w:rPr>
                <w:rFonts w:ascii="Verdana" w:hAnsi="Verdana" w:cs="Calibri"/>
                <w:sz w:val="22"/>
                <w:szCs w:val="22"/>
                <w:lang w:val="es-MX"/>
              </w:rPr>
              <w:t>ontar</w:t>
            </w:r>
            <w:proofErr w:type="spellEnd"/>
            <w:r w:rsidRPr="00123F51">
              <w:rPr>
                <w:rFonts w:ascii="Verdana" w:hAnsi="Verdana" w:cs="Calibri"/>
                <w:sz w:val="22"/>
                <w:szCs w:val="22"/>
                <w:lang w:val="es-MX"/>
              </w:rPr>
              <w:t xml:space="preserve"> de su historia para que no se repita? ¿Qué ha hecho para continuar a pesar de lo vivido? ¿Qué mensaje quisiera dejarle a su destinatario, qué reflexiones, qué preguntas? ¿Cómo podemos parar la violencia y que no se </w:t>
            </w:r>
            <w:proofErr w:type="gramStart"/>
            <w:r w:rsidRPr="00123F51">
              <w:rPr>
                <w:rFonts w:ascii="Verdana" w:hAnsi="Verdana" w:cs="Calibri"/>
                <w:sz w:val="22"/>
                <w:szCs w:val="22"/>
                <w:lang w:val="es-MX"/>
              </w:rPr>
              <w:t>vuelva a repetir</w:t>
            </w:r>
            <w:proofErr w:type="gramEnd"/>
            <w:r w:rsidRPr="00123F51">
              <w:rPr>
                <w:rFonts w:ascii="Verdana" w:hAnsi="Verdana" w:cs="Calibri"/>
                <w:sz w:val="22"/>
                <w:szCs w:val="22"/>
                <w:lang w:val="es-MX"/>
              </w:rPr>
              <w:t xml:space="preserve">? En la parte posterior de la carta ubicar el nombre de la persona, municipio de residencia y su teléfono de contacto. </w:t>
            </w:r>
          </w:p>
          <w:p w14:paraId="3ACFA7CC" w14:textId="34B245A0" w:rsidR="000B70D2" w:rsidRPr="00123F51" w:rsidRDefault="00F44DD6" w:rsidP="00A727DF">
            <w:pPr>
              <w:pStyle w:val="paragraph"/>
              <w:spacing w:after="0"/>
              <w:jc w:val="both"/>
              <w:textAlignment w:val="baseline"/>
              <w:rPr>
                <w:rFonts w:ascii="Verdana" w:hAnsi="Verdana"/>
                <w:b/>
                <w:bCs/>
                <w:sz w:val="22"/>
                <w:szCs w:val="22"/>
              </w:rPr>
            </w:pPr>
            <w:r w:rsidRPr="00123F51">
              <w:rPr>
                <w:rFonts w:ascii="Verdana" w:hAnsi="Verdana" w:cs="Calibri"/>
                <w:sz w:val="22"/>
                <w:szCs w:val="22"/>
                <w:lang w:val="es-MX"/>
              </w:rPr>
              <w:lastRenderedPageBreak/>
              <w:t xml:space="preserve">En cuanto se culmine el ejercicio se pide de forma voluntaria la socialización o lectura a viva voz de estas. En medio de esta lectura identifican los facilitadores aquellas cartas que pueden ser leídas con posterioridad en el acto simbólico central. </w:t>
            </w:r>
          </w:p>
        </w:tc>
      </w:tr>
    </w:tbl>
    <w:p w14:paraId="46E2807E" w14:textId="77777777" w:rsidR="00AD20DC" w:rsidRPr="00123F51"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123F51" w14:paraId="33D392D0" w14:textId="77777777" w:rsidTr="00C101F2">
        <w:tc>
          <w:tcPr>
            <w:tcW w:w="8828" w:type="dxa"/>
            <w:shd w:val="clear" w:color="auto" w:fill="5B9BD5" w:themeFill="accent5"/>
          </w:tcPr>
          <w:p w14:paraId="1D327588" w14:textId="013D5B16" w:rsidR="00AD20DC" w:rsidRPr="00123F51" w:rsidRDefault="003E7BF3" w:rsidP="00602A26">
            <w:pPr>
              <w:jc w:val="center"/>
              <w:rPr>
                <w:rFonts w:ascii="Verdana" w:hAnsi="Verdana"/>
                <w:b/>
                <w:bCs/>
              </w:rPr>
            </w:pPr>
            <w:r w:rsidRPr="00123F51">
              <w:rPr>
                <w:rFonts w:ascii="Verdana" w:hAnsi="Verdana"/>
                <w:b/>
                <w:bCs/>
              </w:rPr>
              <w:t>Momento</w:t>
            </w:r>
            <w:r w:rsidR="00AD20DC" w:rsidRPr="00123F51">
              <w:rPr>
                <w:rFonts w:ascii="Verdana" w:hAnsi="Verdana"/>
                <w:b/>
                <w:bCs/>
              </w:rPr>
              <w:t xml:space="preserve"> 2 –</w:t>
            </w:r>
            <w:r w:rsidR="003D5C33" w:rsidRPr="00123F51">
              <w:rPr>
                <w:rFonts w:ascii="Verdana" w:hAnsi="Verdana"/>
                <w:b/>
                <w:bCs/>
              </w:rPr>
              <w:t xml:space="preserve"> Intercambio epistolar con </w:t>
            </w:r>
            <w:r w:rsidR="00647FE7" w:rsidRPr="00123F51">
              <w:rPr>
                <w:rFonts w:ascii="Verdana" w:hAnsi="Verdana"/>
                <w:b/>
                <w:bCs/>
              </w:rPr>
              <w:t>sectores sociales</w:t>
            </w:r>
          </w:p>
        </w:tc>
      </w:tr>
      <w:tr w:rsidR="003B5159" w:rsidRPr="00123F51" w14:paraId="7875A090" w14:textId="77777777" w:rsidTr="00602A26">
        <w:tc>
          <w:tcPr>
            <w:tcW w:w="8828" w:type="dxa"/>
          </w:tcPr>
          <w:p w14:paraId="4DB0CD1C" w14:textId="77777777" w:rsidR="003B5159" w:rsidRPr="00123F51" w:rsidRDefault="003B5159" w:rsidP="003B5159">
            <w:pPr>
              <w:rPr>
                <w:rFonts w:ascii="Verdana" w:hAnsi="Verdana"/>
                <w:b/>
                <w:bCs/>
              </w:rPr>
            </w:pPr>
            <w:r w:rsidRPr="00123F51">
              <w:rPr>
                <w:rFonts w:ascii="Verdana" w:hAnsi="Verdana"/>
                <w:b/>
                <w:bCs/>
              </w:rPr>
              <w:t>Encuadre:</w:t>
            </w:r>
          </w:p>
          <w:p w14:paraId="1A5B5FED" w14:textId="5DB1C7D4" w:rsidR="003B5159" w:rsidRPr="00123F51" w:rsidRDefault="003B5159" w:rsidP="003B5159">
            <w:pPr>
              <w:jc w:val="both"/>
              <w:rPr>
                <w:rFonts w:ascii="Verdana" w:hAnsi="Verdana"/>
              </w:rPr>
            </w:pPr>
            <w:r w:rsidRPr="00123F51">
              <w:rPr>
                <w:rFonts w:ascii="Verdana" w:hAnsi="Verdana"/>
              </w:rPr>
              <w:t xml:space="preserve">El </w:t>
            </w:r>
            <w:r w:rsidR="00D7594B" w:rsidRPr="00123F51">
              <w:rPr>
                <w:rFonts w:ascii="Verdana" w:hAnsi="Verdana"/>
              </w:rPr>
              <w:t xml:space="preserve">momento </w:t>
            </w:r>
            <w:r w:rsidRPr="00123F51">
              <w:rPr>
                <w:rFonts w:ascii="Verdana" w:hAnsi="Verdana"/>
              </w:rPr>
              <w:t>2 inicia con una actividad para fomentar la confianza y una pedagogía sobre el propósito y la importancia de la convocatoria, además de una explicación concisa sobre las medidas de satisfacción. También, se aclara el significado simbólico de las acciones colectivas que se proponen definir, presentando un repertorio de posibilidades.</w:t>
            </w:r>
          </w:p>
          <w:p w14:paraId="5304C13A" w14:textId="60D03633" w:rsidR="00615630" w:rsidRPr="00123F51" w:rsidRDefault="00615630" w:rsidP="00A62F3D">
            <w:pPr>
              <w:jc w:val="both"/>
              <w:rPr>
                <w:rFonts w:ascii="Verdana" w:hAnsi="Verdana"/>
              </w:rPr>
            </w:pPr>
          </w:p>
        </w:tc>
      </w:tr>
      <w:tr w:rsidR="00AD20DC" w:rsidRPr="00123F51" w14:paraId="50F41FCD" w14:textId="77777777" w:rsidTr="00AD20DC">
        <w:tc>
          <w:tcPr>
            <w:tcW w:w="8828" w:type="dxa"/>
            <w:shd w:val="clear" w:color="auto" w:fill="D9E2F3" w:themeFill="accent1" w:themeFillTint="33"/>
          </w:tcPr>
          <w:p w14:paraId="56B3F613" w14:textId="714CA4D3" w:rsidR="00AD20DC" w:rsidRPr="00123F51" w:rsidRDefault="00AD20DC" w:rsidP="00602A26">
            <w:pPr>
              <w:jc w:val="both"/>
              <w:rPr>
                <w:rFonts w:ascii="Verdana" w:hAnsi="Verdana"/>
                <w:b/>
                <w:bCs/>
              </w:rPr>
            </w:pPr>
            <w:r w:rsidRPr="00123F51">
              <w:rPr>
                <w:rFonts w:ascii="Verdana" w:hAnsi="Verdana"/>
                <w:b/>
                <w:bCs/>
              </w:rPr>
              <w:t xml:space="preserve">Actividad 2.1. </w:t>
            </w:r>
            <w:r w:rsidR="007B0A18" w:rsidRPr="00123F51">
              <w:rPr>
                <w:rFonts w:ascii="Verdana" w:hAnsi="Verdana"/>
                <w:b/>
                <w:bCs/>
              </w:rPr>
              <w:t>Escritura</w:t>
            </w:r>
            <w:r w:rsidR="00D864CD" w:rsidRPr="00123F51">
              <w:rPr>
                <w:rFonts w:ascii="Verdana" w:hAnsi="Verdana"/>
                <w:b/>
                <w:bCs/>
              </w:rPr>
              <w:t xml:space="preserve"> colectiva y empática</w:t>
            </w:r>
          </w:p>
        </w:tc>
      </w:tr>
      <w:tr w:rsidR="00AD20DC" w:rsidRPr="00123F51" w14:paraId="5EDD1C13" w14:textId="77777777" w:rsidTr="00602A26">
        <w:tc>
          <w:tcPr>
            <w:tcW w:w="8828" w:type="dxa"/>
          </w:tcPr>
          <w:p w14:paraId="4074E0B3" w14:textId="596EDCFC" w:rsidR="00AD20DC" w:rsidRPr="00123F51" w:rsidRDefault="00AD20DC" w:rsidP="00602A26">
            <w:pPr>
              <w:jc w:val="both"/>
              <w:rPr>
                <w:rFonts w:ascii="Verdana" w:hAnsi="Verdana"/>
                <w:b/>
                <w:bCs/>
                <w:i/>
                <w:iCs/>
              </w:rPr>
            </w:pPr>
            <w:r w:rsidRPr="00123F51">
              <w:rPr>
                <w:rFonts w:ascii="Verdana" w:hAnsi="Verdana"/>
                <w:b/>
                <w:bCs/>
              </w:rPr>
              <w:t xml:space="preserve">Duración: </w:t>
            </w:r>
            <w:r w:rsidR="00AF6998" w:rsidRPr="00123F51">
              <w:rPr>
                <w:rFonts w:ascii="Verdana" w:hAnsi="Verdana"/>
                <w:b/>
                <w:bCs/>
              </w:rPr>
              <w:t>40 minutos</w:t>
            </w:r>
          </w:p>
        </w:tc>
      </w:tr>
      <w:tr w:rsidR="00AD20DC" w:rsidRPr="00123F51" w14:paraId="655B84FB" w14:textId="77777777" w:rsidTr="00602A26">
        <w:tc>
          <w:tcPr>
            <w:tcW w:w="8828" w:type="dxa"/>
          </w:tcPr>
          <w:p w14:paraId="638AF811" w14:textId="5A4662CE" w:rsidR="00AD20DC" w:rsidRPr="00123F51" w:rsidRDefault="00AD20DC" w:rsidP="00602A26">
            <w:pPr>
              <w:jc w:val="both"/>
              <w:rPr>
                <w:rFonts w:ascii="Verdana" w:hAnsi="Verdana"/>
                <w:b/>
                <w:bCs/>
              </w:rPr>
            </w:pPr>
            <w:r w:rsidRPr="00123F51">
              <w:rPr>
                <w:rFonts w:ascii="Verdana" w:hAnsi="Verdana"/>
                <w:b/>
                <w:bCs/>
              </w:rPr>
              <w:t xml:space="preserve">Materiales: </w:t>
            </w:r>
            <w:r w:rsidR="00AF6998" w:rsidRPr="00123F51">
              <w:rPr>
                <w:rFonts w:ascii="Verdana" w:hAnsi="Verdana"/>
              </w:rPr>
              <w:t>Papelógrafo y marcadores</w:t>
            </w:r>
            <w:r w:rsidR="00AF6998" w:rsidRPr="00123F51">
              <w:rPr>
                <w:rFonts w:ascii="Verdana" w:hAnsi="Verdana"/>
                <w:b/>
                <w:bCs/>
              </w:rPr>
              <w:t xml:space="preserve"> </w:t>
            </w:r>
          </w:p>
        </w:tc>
      </w:tr>
      <w:tr w:rsidR="00AD20DC" w:rsidRPr="00123F51" w14:paraId="1F43E9D9" w14:textId="77777777" w:rsidTr="00602A26">
        <w:tc>
          <w:tcPr>
            <w:tcW w:w="8828" w:type="dxa"/>
          </w:tcPr>
          <w:p w14:paraId="0309851A" w14:textId="2A840099" w:rsidR="00AD20DC" w:rsidRPr="00123F51" w:rsidRDefault="00AD20DC" w:rsidP="00602A26">
            <w:pPr>
              <w:jc w:val="both"/>
              <w:rPr>
                <w:rFonts w:ascii="Verdana" w:hAnsi="Verdana"/>
                <w:b/>
                <w:bCs/>
              </w:rPr>
            </w:pPr>
            <w:r w:rsidRPr="00123F51">
              <w:rPr>
                <w:rFonts w:ascii="Verdana" w:hAnsi="Verdana"/>
                <w:b/>
                <w:bCs/>
              </w:rPr>
              <w:t>Objetivo:</w:t>
            </w:r>
            <w:r w:rsidR="00A62F3D" w:rsidRPr="00123F51">
              <w:rPr>
                <w:rFonts w:ascii="Verdana" w:hAnsi="Verdana"/>
                <w:b/>
                <w:bCs/>
              </w:rPr>
              <w:t xml:space="preserve"> </w:t>
            </w:r>
            <w:r w:rsidR="00A62F3D" w:rsidRPr="00123F51">
              <w:rPr>
                <w:rFonts w:ascii="Verdana" w:hAnsi="Verdana"/>
              </w:rPr>
              <w:t>Invitar a los sectores sociales a dialogar sobre los impactos intangibles del conflicto, a partir de las memorias propias identificadas, las estrategias de afrontamiento y resistencia.</w:t>
            </w:r>
          </w:p>
        </w:tc>
      </w:tr>
      <w:tr w:rsidR="00AD20DC" w:rsidRPr="00123F51" w14:paraId="3AA82049" w14:textId="77777777" w:rsidTr="00602A26">
        <w:tc>
          <w:tcPr>
            <w:tcW w:w="8828" w:type="dxa"/>
          </w:tcPr>
          <w:p w14:paraId="2ECC1D32" w14:textId="37AFA9CF" w:rsidR="00A62F3D" w:rsidRPr="00123F51" w:rsidRDefault="00AD20DC" w:rsidP="00A62F3D">
            <w:pPr>
              <w:jc w:val="both"/>
              <w:rPr>
                <w:rFonts w:ascii="Verdana" w:hAnsi="Verdana"/>
                <w:b/>
                <w:bCs/>
              </w:rPr>
            </w:pPr>
            <w:r w:rsidRPr="00123F51">
              <w:rPr>
                <w:rFonts w:ascii="Verdana" w:hAnsi="Verdana"/>
                <w:b/>
                <w:bCs/>
              </w:rPr>
              <w:t>Desarrollo:</w:t>
            </w:r>
          </w:p>
          <w:p w14:paraId="79861B60" w14:textId="77777777" w:rsidR="003E7BF3" w:rsidRPr="00123F51" w:rsidRDefault="00615630" w:rsidP="00615630">
            <w:pPr>
              <w:pStyle w:val="paragraph"/>
              <w:spacing w:after="0"/>
              <w:jc w:val="both"/>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Espacio de escritura con sectores sociales: </w:t>
            </w:r>
          </w:p>
          <w:p w14:paraId="6A8EC128" w14:textId="7E03F976" w:rsidR="00615630" w:rsidRPr="00123F51" w:rsidRDefault="00615630" w:rsidP="00615630">
            <w:pPr>
              <w:pStyle w:val="paragraph"/>
              <w:spacing w:after="0"/>
              <w:jc w:val="both"/>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En este espacio se retoman claves centrales del desarrollo epistolar y su propósito en relación con las medidas de satisfacción y las garantías de no repetición. Se suscita una lectura activa y empática para dar respuesta a todas las cartas que se encuentran en el canasto, cada actor tomará una de las cartas, las cuáles, se orienta sean recibidas a la luz de su sentir, su experiencia y posibilidad de hacer compromisos concretos como sociedad para que estas historias no se repitan. Una vez se haya dado respuesta a cada carta, se unirán las dos cartas (carta realizada por la víctima y carta en respuesta por parte de algún actor social) a través de un tejido sencillo y se depositarán nuevamente en el canasto. </w:t>
            </w:r>
          </w:p>
          <w:p w14:paraId="6C2086DF" w14:textId="651C935E" w:rsidR="00D864CD" w:rsidRPr="00123F51" w:rsidRDefault="00D864CD" w:rsidP="00D864CD">
            <w:pPr>
              <w:pStyle w:val="paragraph"/>
              <w:numPr>
                <w:ilvl w:val="0"/>
                <w:numId w:val="19"/>
              </w:numPr>
              <w:jc w:val="both"/>
              <w:textAlignment w:val="baseline"/>
              <w:rPr>
                <w:rFonts w:ascii="Verdana" w:hAnsi="Verdana" w:cs="Calibri"/>
                <w:sz w:val="22"/>
                <w:szCs w:val="22"/>
                <w:lang w:val="es-MX"/>
              </w:rPr>
            </w:pPr>
            <w:r w:rsidRPr="00123F51">
              <w:rPr>
                <w:rFonts w:ascii="Verdana" w:hAnsi="Verdana" w:cs="Calibri"/>
                <w:sz w:val="22"/>
                <w:szCs w:val="22"/>
                <w:lang w:val="es-MX"/>
              </w:rPr>
              <w:t xml:space="preserve">Lectura empática de las cartas. </w:t>
            </w:r>
          </w:p>
          <w:p w14:paraId="36E2F76C" w14:textId="18A6B1A2" w:rsidR="00D864CD" w:rsidRPr="00123F51" w:rsidRDefault="00D864CD" w:rsidP="00D864CD">
            <w:pPr>
              <w:pStyle w:val="paragraph"/>
              <w:numPr>
                <w:ilvl w:val="0"/>
                <w:numId w:val="19"/>
              </w:numPr>
              <w:jc w:val="both"/>
              <w:textAlignment w:val="baseline"/>
              <w:rPr>
                <w:rFonts w:ascii="Verdana" w:hAnsi="Verdana" w:cs="Calibri"/>
                <w:sz w:val="22"/>
                <w:szCs w:val="22"/>
                <w:lang w:val="es-MX"/>
              </w:rPr>
            </w:pPr>
            <w:r w:rsidRPr="00123F51">
              <w:rPr>
                <w:rFonts w:ascii="Verdana" w:hAnsi="Verdana" w:cs="Calibri"/>
                <w:sz w:val="22"/>
                <w:szCs w:val="22"/>
                <w:lang w:val="es-MX"/>
              </w:rPr>
              <w:t xml:space="preserve">Respuesta con compromisos concretos: “Me comprometo a…” </w:t>
            </w:r>
          </w:p>
          <w:p w14:paraId="3C3ABEFB" w14:textId="5FE4C055" w:rsidR="00D864CD" w:rsidRPr="00123F51" w:rsidRDefault="00D864CD" w:rsidP="00D864CD">
            <w:pPr>
              <w:pStyle w:val="paragraph"/>
              <w:numPr>
                <w:ilvl w:val="0"/>
                <w:numId w:val="19"/>
              </w:numPr>
              <w:jc w:val="both"/>
              <w:textAlignment w:val="baseline"/>
              <w:rPr>
                <w:rFonts w:ascii="Verdana" w:hAnsi="Verdana" w:cs="Calibri"/>
                <w:sz w:val="22"/>
                <w:szCs w:val="22"/>
                <w:lang w:val="es-MX"/>
              </w:rPr>
            </w:pPr>
            <w:r w:rsidRPr="00123F51">
              <w:rPr>
                <w:rFonts w:ascii="Verdana" w:hAnsi="Verdana" w:cs="Calibri"/>
                <w:sz w:val="22"/>
                <w:szCs w:val="22"/>
                <w:lang w:val="es-MX"/>
              </w:rPr>
              <w:t>Unión simbólica de ambas cartas con un lazo o tejido sencillo.</w:t>
            </w:r>
          </w:p>
          <w:p w14:paraId="0195051C" w14:textId="77777777" w:rsidR="00615630" w:rsidRPr="00123F51" w:rsidRDefault="00615630" w:rsidP="00615630">
            <w:pPr>
              <w:pStyle w:val="paragraph"/>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b/>
                <w:bCs/>
                <w:i/>
                <w:iCs/>
                <w:sz w:val="22"/>
                <w:szCs w:val="22"/>
                <w:lang w:val="es-ES" w:eastAsia="en-US"/>
              </w:rPr>
              <w:t>Nota:</w:t>
            </w:r>
            <w:r w:rsidRPr="00123F51">
              <w:rPr>
                <w:rFonts w:ascii="Verdana" w:eastAsiaTheme="minorHAnsi" w:hAnsi="Verdana" w:cs="Calibri"/>
                <w:sz w:val="22"/>
                <w:szCs w:val="22"/>
                <w:lang w:val="es-ES" w:eastAsia="en-US"/>
              </w:rPr>
              <w:t xml:space="preserve"> Se pueden desarrollar alternativas en caso de tener con dificultades para la escritura, se puede hacer mediante dibujos o audios.  </w:t>
            </w:r>
          </w:p>
          <w:p w14:paraId="0B6EF48B" w14:textId="73A0D831" w:rsidR="00A62F3D" w:rsidRPr="00123F51" w:rsidRDefault="00A62F3D" w:rsidP="00A62F3D">
            <w:pPr>
              <w:pStyle w:val="Prrafodelista"/>
              <w:jc w:val="both"/>
              <w:rPr>
                <w:rFonts w:ascii="Verdana" w:hAnsi="Verdana"/>
                <w:b/>
                <w:bCs/>
              </w:rPr>
            </w:pPr>
          </w:p>
        </w:tc>
      </w:tr>
    </w:tbl>
    <w:p w14:paraId="366712A9" w14:textId="77777777" w:rsidR="00AD20DC" w:rsidRPr="00123F51" w:rsidRDefault="00AD20DC" w:rsidP="00CA1055">
      <w:pPr>
        <w:jc w:val="both"/>
        <w:rPr>
          <w:rFonts w:ascii="Verdana" w:hAnsi="Verdana"/>
        </w:rPr>
      </w:pPr>
    </w:p>
    <w:tbl>
      <w:tblPr>
        <w:tblStyle w:val="Tablaconcuadrcula"/>
        <w:tblW w:w="0" w:type="auto"/>
        <w:tblLook w:val="04A0" w:firstRow="1" w:lastRow="0" w:firstColumn="1" w:lastColumn="0" w:noHBand="0" w:noVBand="1"/>
      </w:tblPr>
      <w:tblGrid>
        <w:gridCol w:w="8828"/>
      </w:tblGrid>
      <w:tr w:rsidR="00AD20DC" w:rsidRPr="00123F51" w14:paraId="69A8F91B" w14:textId="77777777" w:rsidTr="00C101F2">
        <w:tc>
          <w:tcPr>
            <w:tcW w:w="8828" w:type="dxa"/>
            <w:shd w:val="clear" w:color="auto" w:fill="70AD47" w:themeFill="accent6"/>
          </w:tcPr>
          <w:p w14:paraId="7674608D" w14:textId="43F7883B" w:rsidR="00AD20DC" w:rsidRPr="00123F51" w:rsidRDefault="003E7BF3" w:rsidP="00602A26">
            <w:pPr>
              <w:jc w:val="center"/>
              <w:rPr>
                <w:rFonts w:ascii="Verdana" w:hAnsi="Verdana"/>
                <w:b/>
                <w:bCs/>
              </w:rPr>
            </w:pPr>
            <w:r w:rsidRPr="00123F51">
              <w:rPr>
                <w:rFonts w:ascii="Verdana" w:hAnsi="Verdana"/>
                <w:b/>
                <w:bCs/>
              </w:rPr>
              <w:t>Momento</w:t>
            </w:r>
            <w:r w:rsidR="00AD20DC" w:rsidRPr="00123F51">
              <w:rPr>
                <w:rFonts w:ascii="Verdana" w:hAnsi="Verdana"/>
                <w:b/>
                <w:bCs/>
              </w:rPr>
              <w:t xml:space="preserve"> 3 – </w:t>
            </w:r>
            <w:r w:rsidR="00737926" w:rsidRPr="00123F51">
              <w:rPr>
                <w:rFonts w:ascii="Verdana" w:hAnsi="Verdana"/>
                <w:b/>
                <w:bCs/>
              </w:rPr>
              <w:t>A</w:t>
            </w:r>
            <w:r w:rsidRPr="00123F51">
              <w:rPr>
                <w:rFonts w:ascii="Verdana" w:hAnsi="Verdana"/>
                <w:b/>
                <w:bCs/>
              </w:rPr>
              <w:t>cción simbólica</w:t>
            </w:r>
          </w:p>
        </w:tc>
      </w:tr>
      <w:tr w:rsidR="00BE3A8A" w:rsidRPr="00123F51" w14:paraId="6C916CBF" w14:textId="77777777" w:rsidTr="00BE3A8A">
        <w:tc>
          <w:tcPr>
            <w:tcW w:w="8828" w:type="dxa"/>
            <w:shd w:val="clear" w:color="auto" w:fill="FFFFFF" w:themeFill="background1"/>
          </w:tcPr>
          <w:p w14:paraId="1546FDF0" w14:textId="1FCD2397" w:rsidR="00BE3A8A" w:rsidRPr="00123F51" w:rsidRDefault="009A0635" w:rsidP="00BE3A8A">
            <w:pPr>
              <w:jc w:val="both"/>
              <w:rPr>
                <w:rFonts w:ascii="Verdana" w:hAnsi="Verdana"/>
              </w:rPr>
            </w:pPr>
            <w:r w:rsidRPr="00123F51">
              <w:rPr>
                <w:rFonts w:ascii="Verdana" w:hAnsi="Verdana"/>
              </w:rPr>
              <w:t xml:space="preserve">La acción colectiva es un acto simbólico que es el resultado </w:t>
            </w:r>
            <w:r w:rsidR="00BE3A8A" w:rsidRPr="00123F51">
              <w:rPr>
                <w:rFonts w:ascii="Verdana" w:hAnsi="Verdana"/>
              </w:rPr>
              <w:t xml:space="preserve">de la planeación conjunta de víctimas y diferentes sectores sociales que han sido partícipes del diálogo transformador, con el propósito de impactar </w:t>
            </w:r>
            <w:proofErr w:type="spellStart"/>
            <w:r w:rsidR="00BE3A8A" w:rsidRPr="00123F51">
              <w:rPr>
                <w:rFonts w:ascii="Verdana" w:hAnsi="Verdana"/>
              </w:rPr>
              <w:t>societalmente</w:t>
            </w:r>
            <w:proofErr w:type="spellEnd"/>
            <w:r w:rsidR="00BE3A8A" w:rsidRPr="00123F51">
              <w:rPr>
                <w:rFonts w:ascii="Verdana" w:hAnsi="Verdana"/>
              </w:rPr>
              <w:t xml:space="preserve"> y hacer parte a toda la comunidad de los aprendizajes adquiridos y dar cierre a los encuentros.  </w:t>
            </w:r>
          </w:p>
          <w:p w14:paraId="5F889430" w14:textId="77777777" w:rsidR="00BE3A8A" w:rsidRPr="00123F51" w:rsidRDefault="00BE3A8A" w:rsidP="00BE3A8A">
            <w:pPr>
              <w:jc w:val="both"/>
              <w:rPr>
                <w:rFonts w:ascii="Verdana" w:hAnsi="Verdana"/>
                <w:b/>
                <w:bCs/>
              </w:rPr>
            </w:pPr>
          </w:p>
          <w:p w14:paraId="023486D6" w14:textId="3B01BFB8" w:rsidR="00BE3A8A" w:rsidRPr="00123F51" w:rsidRDefault="00BE3A8A" w:rsidP="00BE3A8A">
            <w:pPr>
              <w:jc w:val="both"/>
              <w:rPr>
                <w:rFonts w:ascii="Verdana" w:hAnsi="Verdana"/>
              </w:rPr>
            </w:pPr>
            <w:r w:rsidRPr="00123F51">
              <w:rPr>
                <w:rFonts w:ascii="Verdana" w:hAnsi="Verdana"/>
              </w:rPr>
              <w:t xml:space="preserve">Estas acciones pueden responder a los repertorios propuestos toda vez que apunten a los temas abordados y </w:t>
            </w:r>
            <w:r w:rsidR="00AC6948" w:rsidRPr="00123F51">
              <w:rPr>
                <w:rFonts w:ascii="Verdana" w:hAnsi="Verdana"/>
              </w:rPr>
              <w:t xml:space="preserve">aporten </w:t>
            </w:r>
            <w:r w:rsidRPr="00123F51">
              <w:rPr>
                <w:rFonts w:ascii="Verdana" w:hAnsi="Verdana"/>
              </w:rPr>
              <w:t xml:space="preserve">a las medidas de satisfacción y las medidas de garantías de no repetición, pueden ser en un plano de incidencia política, práctica social y/o cultural.  </w:t>
            </w:r>
          </w:p>
          <w:p w14:paraId="1AE20974" w14:textId="15A9D187" w:rsidR="00AC6948" w:rsidRPr="00123F51" w:rsidRDefault="00AC6948" w:rsidP="00BE3A8A">
            <w:pPr>
              <w:jc w:val="both"/>
              <w:rPr>
                <w:rFonts w:ascii="Verdana" w:hAnsi="Verdana"/>
                <w:b/>
                <w:bCs/>
              </w:rPr>
            </w:pPr>
          </w:p>
        </w:tc>
      </w:tr>
      <w:tr w:rsidR="00AC6948" w:rsidRPr="00123F51" w14:paraId="3B6553CC" w14:textId="77777777" w:rsidTr="00602A26">
        <w:tc>
          <w:tcPr>
            <w:tcW w:w="8828" w:type="dxa"/>
          </w:tcPr>
          <w:p w14:paraId="7EFA080A" w14:textId="77777777" w:rsidR="00AC6948" w:rsidRPr="00123F51" w:rsidRDefault="00AC6948" w:rsidP="00AC6948">
            <w:pPr>
              <w:tabs>
                <w:tab w:val="left" w:pos="1680"/>
              </w:tabs>
              <w:jc w:val="both"/>
              <w:rPr>
                <w:rFonts w:ascii="Verdana" w:hAnsi="Verdana"/>
                <w:b/>
                <w:bCs/>
              </w:rPr>
            </w:pPr>
            <w:r w:rsidRPr="00123F51">
              <w:rPr>
                <w:rFonts w:ascii="Verdana" w:hAnsi="Verdana"/>
                <w:b/>
                <w:bCs/>
              </w:rPr>
              <w:t>Desarrollo:</w:t>
            </w:r>
          </w:p>
          <w:p w14:paraId="686EF1F3" w14:textId="77777777" w:rsidR="00287005" w:rsidRPr="00123F51" w:rsidRDefault="00287005" w:rsidP="00287005">
            <w:pPr>
              <w:pStyle w:val="paragraph"/>
              <w:spacing w:after="0"/>
              <w:textAlignment w:val="baseline"/>
              <w:rPr>
                <w:rFonts w:ascii="Verdana" w:eastAsiaTheme="minorHAnsi" w:hAnsi="Verdana" w:cs="Calibri"/>
                <w:b/>
                <w:bCs/>
                <w:i/>
                <w:iCs/>
                <w:sz w:val="22"/>
                <w:szCs w:val="22"/>
                <w:lang w:val="es-ES" w:eastAsia="en-US"/>
              </w:rPr>
            </w:pPr>
            <w:r w:rsidRPr="00123F51">
              <w:rPr>
                <w:rFonts w:ascii="Verdana" w:eastAsiaTheme="minorHAnsi" w:hAnsi="Verdana" w:cs="Calibri"/>
                <w:b/>
                <w:bCs/>
                <w:i/>
                <w:iCs/>
                <w:sz w:val="22"/>
                <w:szCs w:val="22"/>
                <w:lang w:val="es-ES" w:eastAsia="en-US"/>
              </w:rPr>
              <w:t xml:space="preserve">Acto simbólico central  </w:t>
            </w:r>
          </w:p>
          <w:p w14:paraId="0344DFF5" w14:textId="77777777" w:rsidR="00287005" w:rsidRPr="00123F51" w:rsidRDefault="00287005" w:rsidP="00287005">
            <w:pPr>
              <w:pStyle w:val="paragraph"/>
              <w:numPr>
                <w:ilvl w:val="0"/>
                <w:numId w:val="18"/>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Lectura pública de cartas seleccionadas, que han sido entregadas con el respectivo consentimiento para hacer público lo allí escrito (no divulgar datos de contacto o información personal o sensible).   </w:t>
            </w:r>
          </w:p>
          <w:p w14:paraId="045063F8" w14:textId="77777777" w:rsidR="00287005" w:rsidRPr="00123F51" w:rsidRDefault="00287005" w:rsidP="00287005">
            <w:pPr>
              <w:pStyle w:val="paragraph"/>
              <w:numPr>
                <w:ilvl w:val="0"/>
                <w:numId w:val="18"/>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Ritual de entrega: se ubica en un espacio visible para poner el canasto de la memoria. </w:t>
            </w:r>
          </w:p>
          <w:p w14:paraId="1B17C9C9" w14:textId="7C35CB58" w:rsidR="00287005" w:rsidRPr="00123F51" w:rsidRDefault="00287005" w:rsidP="00287005">
            <w:pPr>
              <w:pStyle w:val="paragraph"/>
              <w:spacing w:after="0"/>
              <w:textAlignment w:val="baseline"/>
              <w:rPr>
                <w:rFonts w:ascii="Verdana" w:eastAsiaTheme="minorHAnsi" w:hAnsi="Verdana" w:cs="Calibri"/>
                <w:b/>
                <w:bCs/>
                <w:sz w:val="22"/>
                <w:szCs w:val="22"/>
                <w:lang w:val="es-ES" w:eastAsia="en-US"/>
              </w:rPr>
            </w:pPr>
            <w:r w:rsidRPr="00123F51">
              <w:rPr>
                <w:rFonts w:ascii="Verdana" w:eastAsiaTheme="minorHAnsi" w:hAnsi="Verdana" w:cs="Calibri"/>
                <w:b/>
                <w:bCs/>
                <w:sz w:val="22"/>
                <w:szCs w:val="22"/>
                <w:lang w:val="es-ES" w:eastAsia="en-US"/>
              </w:rPr>
              <w:t xml:space="preserve">Post-Jornada     </w:t>
            </w:r>
          </w:p>
          <w:p w14:paraId="58FE438B" w14:textId="77777777" w:rsidR="001E00A9" w:rsidRPr="00123F51" w:rsidRDefault="00287005" w:rsidP="00287005">
            <w:pPr>
              <w:pStyle w:val="paragraph"/>
              <w:numPr>
                <w:ilvl w:val="0"/>
                <w:numId w:val="20"/>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Sistematización inicial: fotos de cartas para memoria visual y difusión de los testimonios.</w:t>
            </w:r>
          </w:p>
          <w:p w14:paraId="223EC993" w14:textId="4BB77B33" w:rsidR="00287005" w:rsidRPr="00123F51" w:rsidRDefault="00287005" w:rsidP="00287005">
            <w:pPr>
              <w:pStyle w:val="paragraph"/>
              <w:numPr>
                <w:ilvl w:val="0"/>
                <w:numId w:val="20"/>
              </w:numPr>
              <w:spacing w:after="0"/>
              <w:textAlignment w:val="baseline"/>
              <w:rPr>
                <w:rFonts w:ascii="Verdana" w:eastAsiaTheme="minorHAnsi" w:hAnsi="Verdana" w:cs="Calibri"/>
                <w:sz w:val="22"/>
                <w:szCs w:val="22"/>
                <w:lang w:val="es-ES" w:eastAsia="en-US"/>
              </w:rPr>
            </w:pPr>
            <w:r w:rsidRPr="00123F51">
              <w:rPr>
                <w:rFonts w:ascii="Verdana" w:eastAsiaTheme="minorHAnsi" w:hAnsi="Verdana" w:cs="Calibri"/>
                <w:sz w:val="22"/>
                <w:szCs w:val="22"/>
                <w:lang w:val="es-ES" w:eastAsia="en-US"/>
              </w:rPr>
              <w:t xml:space="preserve">Invitación pública a la escritura de respuesta en redes sociales, por parte de otros actores sociales que no asisten al acto público, a través del micrositio del equipo, construido en articulación con el equipo de comunicaciones.    </w:t>
            </w:r>
          </w:p>
          <w:p w14:paraId="5DC7E08C" w14:textId="77777777" w:rsidR="00287005" w:rsidRPr="00123F51" w:rsidRDefault="00287005" w:rsidP="00287005">
            <w:pPr>
              <w:jc w:val="both"/>
              <w:rPr>
                <w:rFonts w:ascii="Verdana" w:hAnsi="Verdana" w:cs="Calibri"/>
                <w:b/>
                <w:bCs/>
              </w:rPr>
            </w:pPr>
            <w:r w:rsidRPr="00123F51">
              <w:rPr>
                <w:rFonts w:ascii="Verdana" w:hAnsi="Verdana" w:cs="Calibri"/>
                <w:b/>
                <w:bCs/>
              </w:rPr>
              <w:t>Propuesta comunicativa</w:t>
            </w:r>
          </w:p>
          <w:p w14:paraId="0D710151" w14:textId="77777777" w:rsidR="001E00A9" w:rsidRPr="00123F51" w:rsidRDefault="001E00A9" w:rsidP="00287005">
            <w:pPr>
              <w:jc w:val="both"/>
              <w:rPr>
                <w:rFonts w:ascii="Verdana" w:hAnsi="Verdana" w:cs="Calibri"/>
              </w:rPr>
            </w:pPr>
          </w:p>
          <w:p w14:paraId="08EF6D3D" w14:textId="77777777" w:rsidR="00D7594B" w:rsidRPr="00123F51" w:rsidRDefault="00287005" w:rsidP="00287005">
            <w:pPr>
              <w:jc w:val="both"/>
              <w:rPr>
                <w:rFonts w:ascii="Verdana" w:hAnsi="Verdana" w:cs="Calibri"/>
              </w:rPr>
            </w:pPr>
            <w:r w:rsidRPr="00123F51">
              <w:rPr>
                <w:rFonts w:ascii="Verdana" w:hAnsi="Verdana" w:cs="Calibri"/>
              </w:rPr>
              <w:t xml:space="preserve">Las cartas son un resultado de un diálogo profundo entre las víctimas y los sectores sociales, por ello se considera vital que sean difundidas, mediante los canales virtuales que sea posible, dando lugar a la participación de la sociedad en su conjunto. En atención a este parámetro se contempla la posibilidad de realizar una articulación operativa y estratégica con el área de comunicaciones de la Entidad a través de una campaña en redes, para garantizar la difusión e </w:t>
            </w:r>
            <w:r w:rsidRPr="00123F51">
              <w:rPr>
                <w:rFonts w:ascii="Verdana" w:hAnsi="Verdana" w:cs="Calibri"/>
              </w:rPr>
              <w:lastRenderedPageBreak/>
              <w:t>interacción con estos mensajes impresos en las cartas y de esta manera amplificar las voces de los territorios.</w:t>
            </w:r>
          </w:p>
          <w:p w14:paraId="4E1EA9DD" w14:textId="60BE8B35" w:rsidR="00287005" w:rsidRPr="00123F51" w:rsidRDefault="00287005" w:rsidP="00287005">
            <w:pPr>
              <w:jc w:val="both"/>
              <w:rPr>
                <w:rFonts w:ascii="Verdana" w:hAnsi="Verdana" w:cs="Calibri"/>
              </w:rPr>
            </w:pPr>
            <w:r w:rsidRPr="00123F51">
              <w:rPr>
                <w:rFonts w:ascii="Verdana" w:hAnsi="Verdana" w:cs="Calibri"/>
              </w:rPr>
              <w:t xml:space="preserve"> </w:t>
            </w:r>
          </w:p>
          <w:p w14:paraId="09675B68" w14:textId="77777777" w:rsidR="00287005" w:rsidRPr="00123F51" w:rsidRDefault="00287005" w:rsidP="00287005">
            <w:pPr>
              <w:jc w:val="both"/>
              <w:rPr>
                <w:rFonts w:ascii="Verdana" w:hAnsi="Verdana" w:cs="Calibri"/>
              </w:rPr>
            </w:pPr>
            <w:r w:rsidRPr="00123F51">
              <w:rPr>
                <w:rFonts w:ascii="Verdana" w:hAnsi="Verdana" w:cs="Calibri"/>
              </w:rPr>
              <w:t xml:space="preserve">Para lograr esta difusión, resulta fundamental contar con una selección de cartas a nivel territorial. Por ello en la lectura se identifican de 3 a 5 cartas que serán enviadas al nivel nacional para que sean difundidas mediante el micrositio, o que estas sean allegadas a la persona de alto nivel a quién van dirigidas. </w:t>
            </w:r>
          </w:p>
          <w:p w14:paraId="410A18C7" w14:textId="5B5BBD8B" w:rsidR="00AC6948" w:rsidRPr="00123F51" w:rsidRDefault="00AC6948" w:rsidP="00287005">
            <w:pPr>
              <w:jc w:val="both"/>
              <w:rPr>
                <w:rFonts w:ascii="Verdana" w:hAnsi="Verdana"/>
                <w:b/>
                <w:bCs/>
              </w:rPr>
            </w:pPr>
          </w:p>
        </w:tc>
      </w:tr>
    </w:tbl>
    <w:p w14:paraId="4F67CE20" w14:textId="77777777" w:rsidR="00AD20DC" w:rsidRPr="00123F51" w:rsidRDefault="00AD20DC" w:rsidP="00CA1055">
      <w:pPr>
        <w:jc w:val="both"/>
        <w:rPr>
          <w:rFonts w:ascii="Verdana" w:hAnsi="Verdana"/>
        </w:rPr>
      </w:pPr>
    </w:p>
    <w:p w14:paraId="1B54DE7B" w14:textId="23AD5D72" w:rsidR="00F12DF3" w:rsidRPr="00123F51" w:rsidRDefault="00F12DF3" w:rsidP="00123F51">
      <w:pPr>
        <w:rPr>
          <w:rFonts w:ascii="Verdana" w:hAnsi="Verdana"/>
          <w:b/>
          <w:bCs/>
        </w:rPr>
      </w:pPr>
      <w:r w:rsidRPr="00123F51">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F12DF3" w:rsidRPr="00123F51" w14:paraId="6549DA9C" w14:textId="77777777" w:rsidTr="00AC17F2">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1E7D353" w14:textId="77777777" w:rsidR="00F12DF3" w:rsidRPr="00123F51" w:rsidRDefault="00F12DF3" w:rsidP="00AC17F2">
            <w:pPr>
              <w:widowControl w:val="0"/>
              <w:autoSpaceDE w:val="0"/>
              <w:autoSpaceDN w:val="0"/>
              <w:spacing w:after="0" w:line="254" w:lineRule="auto"/>
              <w:jc w:val="center"/>
              <w:rPr>
                <w:rFonts w:ascii="Verdana" w:eastAsia="Arial" w:hAnsi="Verdana" w:cs="Arial"/>
                <w:b/>
                <w:lang w:val="es-ES" w:eastAsia="es-ES" w:bidi="es-ES"/>
              </w:rPr>
            </w:pPr>
            <w:r w:rsidRPr="00123F51">
              <w:rPr>
                <w:rFonts w:ascii="Verdana" w:eastAsia="Arial" w:hAnsi="Verdana" w:cs="Arial"/>
                <w:b/>
                <w:color w:val="FFFFFF"/>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5A2EB4C" w14:textId="77777777" w:rsidR="00F12DF3" w:rsidRPr="00123F51" w:rsidRDefault="00F12DF3" w:rsidP="00AC17F2">
            <w:pPr>
              <w:widowControl w:val="0"/>
              <w:autoSpaceDE w:val="0"/>
              <w:autoSpaceDN w:val="0"/>
              <w:spacing w:after="0" w:line="254" w:lineRule="auto"/>
              <w:jc w:val="center"/>
              <w:rPr>
                <w:rFonts w:ascii="Verdana" w:eastAsia="Arial" w:hAnsi="Verdana" w:cs="Arial"/>
                <w:b/>
                <w:lang w:val="es-ES" w:eastAsia="es-ES" w:bidi="es-ES"/>
              </w:rPr>
            </w:pPr>
            <w:r w:rsidRPr="00123F51">
              <w:rPr>
                <w:rFonts w:ascii="Verdana" w:eastAsia="Arial" w:hAnsi="Verdana" w:cs="Arial"/>
                <w:b/>
                <w:color w:val="FFFFFF"/>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66299BC6" w14:textId="77777777" w:rsidR="00F12DF3" w:rsidRPr="00123F51" w:rsidRDefault="00F12DF3" w:rsidP="00AC17F2">
            <w:pPr>
              <w:widowControl w:val="0"/>
              <w:autoSpaceDE w:val="0"/>
              <w:autoSpaceDN w:val="0"/>
              <w:spacing w:after="0" w:line="254" w:lineRule="auto"/>
              <w:jc w:val="center"/>
              <w:rPr>
                <w:rFonts w:ascii="Verdana" w:eastAsia="Arial" w:hAnsi="Verdana" w:cs="Arial"/>
                <w:b/>
                <w:lang w:val="es-ES" w:eastAsia="es-ES" w:bidi="es-ES"/>
              </w:rPr>
            </w:pPr>
            <w:r w:rsidRPr="00123F51">
              <w:rPr>
                <w:rFonts w:ascii="Verdana" w:eastAsia="Arial" w:hAnsi="Verdana" w:cs="Arial"/>
                <w:b/>
                <w:color w:val="FFFFFF"/>
                <w:lang w:val="es-ES" w:eastAsia="es-ES" w:bidi="es-ES"/>
              </w:rPr>
              <w:t>Descripción de la modificación</w:t>
            </w:r>
          </w:p>
        </w:tc>
      </w:tr>
      <w:tr w:rsidR="00F12DF3" w:rsidRPr="00123F51" w14:paraId="7E57E54F" w14:textId="77777777" w:rsidTr="00AC17F2">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5D549126" w14:textId="77777777" w:rsidR="00F12DF3" w:rsidRPr="00123F51" w:rsidRDefault="00F12DF3" w:rsidP="00AC17F2">
            <w:pPr>
              <w:widowControl w:val="0"/>
              <w:autoSpaceDE w:val="0"/>
              <w:autoSpaceDN w:val="0"/>
              <w:spacing w:before="114" w:after="0" w:line="254" w:lineRule="auto"/>
              <w:ind w:left="11"/>
              <w:jc w:val="center"/>
              <w:rPr>
                <w:rFonts w:ascii="Verdana" w:eastAsia="Arial" w:hAnsi="Verdana" w:cs="Arial"/>
                <w:lang w:val="es-ES" w:eastAsia="es-ES" w:bidi="es-ES"/>
              </w:rPr>
            </w:pPr>
            <w:r w:rsidRPr="00123F51">
              <w:rPr>
                <w:rFonts w:ascii="Verdana" w:eastAsia="Arial" w:hAnsi="Verdana" w:cs="Arial"/>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10515006" w14:textId="28E8059C" w:rsidR="00F12DF3" w:rsidRPr="00123F51" w:rsidRDefault="008802B2" w:rsidP="00AC17F2">
            <w:pPr>
              <w:widowControl w:val="0"/>
              <w:autoSpaceDE w:val="0"/>
              <w:autoSpaceDN w:val="0"/>
              <w:spacing w:before="114" w:after="0" w:line="254" w:lineRule="auto"/>
              <w:ind w:left="110"/>
              <w:jc w:val="center"/>
              <w:rPr>
                <w:rFonts w:ascii="Verdana" w:eastAsia="Arial" w:hAnsi="Verdana" w:cs="Arial"/>
                <w:lang w:val="es-ES" w:eastAsia="es-ES" w:bidi="es-ES"/>
              </w:rPr>
            </w:pPr>
            <w:r>
              <w:rPr>
                <w:rFonts w:ascii="Verdana" w:eastAsia="Arial" w:hAnsi="Verdana" w:cs="Arial"/>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1A77BB44" w14:textId="4852995A" w:rsidR="00F12DF3" w:rsidRPr="00123F51" w:rsidRDefault="00123F51" w:rsidP="00AC17F2">
            <w:pPr>
              <w:widowControl w:val="0"/>
              <w:autoSpaceDE w:val="0"/>
              <w:autoSpaceDN w:val="0"/>
              <w:spacing w:before="114" w:after="0" w:line="254" w:lineRule="auto"/>
              <w:ind w:left="113"/>
              <w:rPr>
                <w:rFonts w:ascii="Verdana" w:eastAsia="Arial" w:hAnsi="Verdana" w:cs="Arial"/>
                <w:lang w:val="es-ES" w:eastAsia="es-ES" w:bidi="es-ES"/>
              </w:rPr>
            </w:pPr>
            <w:r w:rsidRPr="00123F51">
              <w:rPr>
                <w:rFonts w:ascii="Verdana" w:eastAsia="Arial" w:hAnsi="Verdana" w:cs="Arial"/>
                <w:lang w:val="es-ES" w:eastAsia="es-ES" w:bidi="es-ES"/>
              </w:rPr>
              <w:t>Creación</w:t>
            </w:r>
          </w:p>
        </w:tc>
      </w:tr>
      <w:tr w:rsidR="00F12DF3" w:rsidRPr="00123F51" w14:paraId="2CCAD08D" w14:textId="77777777" w:rsidTr="00AC17F2">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0D04FE17" w14:textId="77777777" w:rsidR="00F12DF3" w:rsidRPr="00123F51" w:rsidRDefault="00F12DF3" w:rsidP="00AC17F2">
            <w:pPr>
              <w:widowControl w:val="0"/>
              <w:autoSpaceDE w:val="0"/>
              <w:autoSpaceDN w:val="0"/>
              <w:spacing w:after="0" w:line="208" w:lineRule="exact"/>
              <w:ind w:left="11"/>
              <w:jc w:val="center"/>
              <w:rPr>
                <w:rFonts w:ascii="Verdana" w:eastAsia="Arial" w:hAnsi="Verdana" w:cs="Arial"/>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13946B89" w14:textId="77777777" w:rsidR="00F12DF3" w:rsidRPr="00123F51" w:rsidRDefault="00F12DF3" w:rsidP="00AC17F2">
            <w:pPr>
              <w:widowControl w:val="0"/>
              <w:autoSpaceDE w:val="0"/>
              <w:autoSpaceDN w:val="0"/>
              <w:spacing w:after="0" w:line="208" w:lineRule="exact"/>
              <w:ind w:left="110"/>
              <w:jc w:val="center"/>
              <w:rPr>
                <w:rFonts w:ascii="Verdana" w:eastAsia="Arial" w:hAnsi="Verdana" w:cs="Arial"/>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3FEE1C92" w14:textId="77777777" w:rsidR="00F12DF3" w:rsidRPr="00123F51" w:rsidRDefault="00F12DF3" w:rsidP="00AC17F2">
            <w:pPr>
              <w:widowControl w:val="0"/>
              <w:autoSpaceDE w:val="0"/>
              <w:autoSpaceDN w:val="0"/>
              <w:spacing w:after="0" w:line="169" w:lineRule="exact"/>
              <w:ind w:left="113"/>
              <w:jc w:val="both"/>
              <w:rPr>
                <w:rFonts w:ascii="Verdana" w:eastAsia="Arial" w:hAnsi="Verdana" w:cs="Arial"/>
                <w:lang w:val="es-ES" w:eastAsia="es-ES" w:bidi="es-ES"/>
              </w:rPr>
            </w:pPr>
          </w:p>
        </w:tc>
      </w:tr>
    </w:tbl>
    <w:p w14:paraId="7BAF7DF2" w14:textId="77777777" w:rsidR="00F12DF3" w:rsidRPr="00123F51" w:rsidRDefault="00F12DF3" w:rsidP="00F12DF3">
      <w:pPr>
        <w:jc w:val="both"/>
        <w:rPr>
          <w:rFonts w:ascii="Verdana" w:hAnsi="Verdana"/>
        </w:rPr>
      </w:pPr>
    </w:p>
    <w:p w14:paraId="44053E41" w14:textId="77777777" w:rsidR="00AD20DC" w:rsidRPr="00123F51" w:rsidRDefault="00AD20DC" w:rsidP="00CA1055">
      <w:pPr>
        <w:jc w:val="both"/>
        <w:rPr>
          <w:rFonts w:ascii="Verdana" w:hAnsi="Verdana"/>
        </w:rPr>
      </w:pPr>
    </w:p>
    <w:sectPr w:rsidR="00AD20DC" w:rsidRPr="00123F51" w:rsidSect="00E56BC3">
      <w:headerReference w:type="default" r:id="rId16"/>
      <w:footerReference w:type="default" r:id="rId17"/>
      <w:pgSz w:w="12240" w:h="15840" w:code="1"/>
      <w:pgMar w:top="1417" w:right="1701" w:bottom="1417"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Camila Sotomayor Díaz" w:date="2025-11-19T06:17:00Z" w:initials="LS">
    <w:p w14:paraId="434C60E6" w14:textId="77777777" w:rsidR="00A31838" w:rsidRDefault="00A31838" w:rsidP="00A31838">
      <w:pPr>
        <w:pStyle w:val="Textocomentario"/>
      </w:pPr>
      <w:r>
        <w:rPr>
          <w:rStyle w:val="Refdecomentario"/>
        </w:rPr>
        <w:annotationRef/>
      </w:r>
      <w:r>
        <w:t>No se si este espacio se colocar como ver el procedimiento o se incluye de nuevo todo el encuadre.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4C60E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E73F75" w16cex:dateUtc="2025-11-19T1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4C60E6" w16cid:durableId="14E73F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5F0DA" w14:textId="77777777" w:rsidR="00421315" w:rsidRDefault="00421315" w:rsidP="00531816">
      <w:pPr>
        <w:spacing w:after="0" w:line="240" w:lineRule="auto"/>
      </w:pPr>
      <w:r>
        <w:separator/>
      </w:r>
    </w:p>
  </w:endnote>
  <w:endnote w:type="continuationSeparator" w:id="0">
    <w:p w14:paraId="28F879E9" w14:textId="77777777" w:rsidR="00421315" w:rsidRDefault="00421315"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6D2C" w14:textId="77777777" w:rsidR="009F763E" w:rsidRPr="009F763E" w:rsidRDefault="009F763E" w:rsidP="009F763E">
    <w:pPr>
      <w:pStyle w:val="Piedepgina"/>
    </w:pPr>
    <w:r w:rsidRPr="009F763E">
      <w:tab/>
    </w:r>
    <w:r w:rsidRPr="009F763E">
      <w:tab/>
      <w:t>710.14.15-</w:t>
    </w:r>
    <w:proofErr w:type="gramStart"/>
    <w:r w:rsidRPr="009F763E">
      <w:t>34  V</w:t>
    </w:r>
    <w:proofErr w:type="gramEnd"/>
    <w:r w:rsidRPr="009F763E">
      <w:t>1</w:t>
    </w:r>
  </w:p>
  <w:p w14:paraId="2D41D9C1" w14:textId="77777777" w:rsidR="009F763E" w:rsidRPr="009F763E" w:rsidRDefault="009F763E" w:rsidP="009F76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602D" w14:textId="77777777" w:rsidR="00421315" w:rsidRDefault="00421315" w:rsidP="00531816">
      <w:pPr>
        <w:spacing w:after="0" w:line="240" w:lineRule="auto"/>
      </w:pPr>
      <w:r>
        <w:separator/>
      </w:r>
    </w:p>
  </w:footnote>
  <w:footnote w:type="continuationSeparator" w:id="0">
    <w:p w14:paraId="382DB1DF" w14:textId="77777777" w:rsidR="00421315" w:rsidRDefault="00421315" w:rsidP="00531816">
      <w:pPr>
        <w:spacing w:after="0" w:line="240" w:lineRule="auto"/>
      </w:pPr>
      <w:r>
        <w:continuationSeparator/>
      </w:r>
    </w:p>
  </w:footnote>
  <w:footnote w:id="1">
    <w:p w14:paraId="5B9E0A62" w14:textId="77777777" w:rsidR="004E6D4E" w:rsidRPr="00D35098" w:rsidRDefault="004E6D4E" w:rsidP="004E6D4E">
      <w:pPr>
        <w:pStyle w:val="Textonotapie"/>
        <w:jc w:val="both"/>
        <w:rPr>
          <w:rFonts w:ascii="Calibri Light" w:hAnsi="Calibri Light" w:cs="Calibri Light"/>
          <w:sz w:val="16"/>
          <w:szCs w:val="16"/>
        </w:rPr>
      </w:pPr>
      <w:r w:rsidRPr="00D35098">
        <w:rPr>
          <w:rStyle w:val="Refdenotaalpie"/>
          <w:rFonts w:ascii="Calibri Light" w:hAnsi="Calibri Light" w:cs="Calibri Light"/>
          <w:sz w:val="16"/>
          <w:szCs w:val="16"/>
        </w:rPr>
        <w:footnoteRef/>
      </w:r>
      <w:r w:rsidRPr="00D35098">
        <w:rPr>
          <w:rFonts w:ascii="Calibri Light" w:hAnsi="Calibri Light" w:cs="Calibri Light"/>
          <w:sz w:val="16"/>
          <w:szCs w:val="16"/>
        </w:rPr>
        <w:t xml:space="preserve"> Artículo 11 - Ley 2421 de 2024, por la cual se modifica el artículo </w:t>
      </w:r>
      <w:hyperlink r:id="rId1" w:anchor="25" w:tooltip="vinculo" w:history="1">
        <w:r w:rsidRPr="00D35098">
          <w:rPr>
            <w:rStyle w:val="Hipervnculo"/>
            <w:rFonts w:ascii="Calibri Light" w:hAnsi="Calibri Light" w:cs="Calibri Light"/>
            <w:sz w:val="16"/>
            <w:szCs w:val="16"/>
          </w:rPr>
          <w:t>25</w:t>
        </w:r>
      </w:hyperlink>
      <w:r w:rsidRPr="00D35098">
        <w:rPr>
          <w:rFonts w:ascii="Calibri Light" w:hAnsi="Calibri Light" w:cs="Calibri Light"/>
          <w:sz w:val="16"/>
          <w:szCs w:val="16"/>
        </w:rPr>
        <w:t> del capítulo II del título I de la Ley </w:t>
      </w:r>
      <w:hyperlink r:id="rId2" w:anchor="1448" w:tooltip="vinculo" w:history="1">
        <w:r w:rsidRPr="00D35098">
          <w:rPr>
            <w:rStyle w:val="Hipervnculo"/>
            <w:rFonts w:ascii="Calibri Light" w:hAnsi="Calibri Light" w:cs="Calibri Light"/>
            <w:sz w:val="16"/>
            <w:szCs w:val="16"/>
          </w:rPr>
          <w:t>1448</w:t>
        </w:r>
      </w:hyperlink>
      <w:r w:rsidRPr="00D35098">
        <w:rPr>
          <w:rFonts w:ascii="Calibri Light" w:hAnsi="Calibri Light" w:cs="Calibri Light"/>
          <w:sz w:val="16"/>
          <w:szCs w:val="16"/>
        </w:rPr>
        <w:t xml:space="preserve"> de 2011. </w:t>
      </w:r>
      <w:r w:rsidRPr="00D35098">
        <w:rPr>
          <w:rFonts w:ascii="Calibri Light" w:hAnsi="Calibri Light" w:cs="Calibri Light"/>
          <w:i/>
          <w:iCs/>
          <w:sz w:val="16"/>
          <w:szCs w:val="16"/>
        </w:rPr>
        <w:t xml:space="preserve">Derecho a la Reparación Integral. Las víctimas tienen derecho a ser reparadas de manera adecuada, diferenciada, restaurativa, transformadora y efectiva por el daño que han sufrido como consecuencia de las violaciones que trata la presente Ley. La reparación comprende las medidas de restitución, indemnización, rehabilitación, satisfacción y garantías de no repetición, en sus dimensiones individual, colectiva, material, moral y simbólica, buscando satisfacer las necesidades de cada una de las víctimas, entendiendo sus características únicas como grupo y como individuo. Cada una de estas medidas será implementada a favor de los sujetos de reparación en su núcleo familiar dependiendo de la vulneración en sus derechos y las características del hecho </w:t>
      </w:r>
      <w:proofErr w:type="spellStart"/>
      <w:r w:rsidRPr="00D35098">
        <w:rPr>
          <w:rFonts w:ascii="Calibri Light" w:hAnsi="Calibri Light" w:cs="Calibri Light"/>
          <w:i/>
          <w:iCs/>
          <w:sz w:val="16"/>
          <w:szCs w:val="16"/>
        </w:rPr>
        <w:t>victimizante</w:t>
      </w:r>
      <w:proofErr w:type="spellEnd"/>
      <w:r w:rsidRPr="00D35098">
        <w:rPr>
          <w:rFonts w:ascii="Calibri Light" w:hAnsi="Calibri Light" w:cs="Calibri Light"/>
          <w:sz w:val="16"/>
          <w:szCs w:val="16"/>
        </w:rPr>
        <w:t>.</w:t>
      </w:r>
    </w:p>
  </w:footnote>
  <w:footnote w:id="2">
    <w:p w14:paraId="5901443E" w14:textId="77777777" w:rsidR="004E6D4E" w:rsidRPr="00D35098" w:rsidRDefault="004E6D4E" w:rsidP="004E6D4E">
      <w:pPr>
        <w:pStyle w:val="Textonotapie"/>
        <w:jc w:val="both"/>
        <w:rPr>
          <w:rFonts w:ascii="Calibri Light" w:hAnsi="Calibri Light" w:cs="Calibri Light"/>
          <w:sz w:val="16"/>
          <w:szCs w:val="16"/>
        </w:rPr>
      </w:pPr>
      <w:r w:rsidRPr="00D35098">
        <w:rPr>
          <w:rStyle w:val="Refdenotaalpie"/>
          <w:rFonts w:ascii="Calibri Light" w:hAnsi="Calibri Light" w:cs="Calibri Light"/>
          <w:sz w:val="16"/>
          <w:szCs w:val="16"/>
        </w:rPr>
        <w:footnoteRef/>
      </w:r>
      <w:r w:rsidRPr="00D35098">
        <w:rPr>
          <w:rFonts w:ascii="Calibri Light" w:hAnsi="Calibri Light" w:cs="Calibri Light"/>
          <w:sz w:val="16"/>
          <w:szCs w:val="16"/>
        </w:rPr>
        <w:t xml:space="preserve"> El artículo 3 de la ley 2421 de 2024 actualiza la categoría de víctimas establecida en la ley 1448 de 2011. En ella se incluye como víctimas a miembros de la fuerza pública (parágrafo 1), familiares en primer grado de consanguinidad, de crianza o primero civil, de los miembros de grupos armados organizados al margen de la ley (Parágrafo 2), y aquellas acreditadas por la JEP y la UBPD.</w:t>
      </w:r>
    </w:p>
  </w:footnote>
  <w:footnote w:id="3">
    <w:p w14:paraId="20A3D4EB" w14:textId="77777777" w:rsidR="004E6D4E" w:rsidRPr="00D35098" w:rsidRDefault="004E6D4E" w:rsidP="004E6D4E">
      <w:pPr>
        <w:pStyle w:val="Textonotapie"/>
        <w:jc w:val="both"/>
        <w:rPr>
          <w:rFonts w:ascii="Calibri Light" w:hAnsi="Calibri Light" w:cs="Calibri Light"/>
          <w:sz w:val="16"/>
          <w:szCs w:val="16"/>
        </w:rPr>
      </w:pPr>
      <w:r w:rsidRPr="00D35098">
        <w:rPr>
          <w:rStyle w:val="Refdenotaalpie"/>
          <w:rFonts w:ascii="Calibri Light" w:hAnsi="Calibri Light" w:cs="Calibri Light"/>
          <w:sz w:val="16"/>
          <w:szCs w:val="16"/>
        </w:rPr>
        <w:footnoteRef/>
      </w:r>
      <w:r w:rsidRPr="00D35098">
        <w:rPr>
          <w:rFonts w:ascii="Calibri Light" w:hAnsi="Calibri Light" w:cs="Calibri Light"/>
          <w:sz w:val="16"/>
          <w:szCs w:val="16"/>
        </w:rPr>
        <w:t xml:space="preserve"> Informe Final de la Comisión para el Esclarecimiento de la Verdad. Capítulo Hallazgos y Recomendaciones, </w:t>
      </w:r>
      <w:proofErr w:type="spellStart"/>
      <w:r w:rsidRPr="00D35098">
        <w:rPr>
          <w:rFonts w:ascii="Calibri Light" w:hAnsi="Calibri Light" w:cs="Calibri Light"/>
          <w:sz w:val="16"/>
          <w:szCs w:val="16"/>
        </w:rPr>
        <w:t>ps</w:t>
      </w:r>
      <w:proofErr w:type="spellEnd"/>
      <w:r w:rsidRPr="00D35098">
        <w:rPr>
          <w:rFonts w:ascii="Calibri Light" w:hAnsi="Calibri Light" w:cs="Calibri Light"/>
          <w:sz w:val="16"/>
          <w:szCs w:val="16"/>
        </w:rPr>
        <w:t xml:space="preserve">. 178-182.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355F" w14:textId="3F78613A" w:rsidR="00531816" w:rsidRDefault="00531816">
    <w:pPr>
      <w:pStyle w:val="Encabezado"/>
      <w:rPr>
        <w:noProof/>
      </w:rPr>
    </w:pPr>
  </w:p>
  <w:tbl>
    <w:tblPr>
      <w:tblW w:w="106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2665"/>
    </w:tblGrid>
    <w:tr w:rsidR="004F5F6A" w:rsidRPr="004F5F6A" w14:paraId="65C0FDDD" w14:textId="77777777">
      <w:trPr>
        <w:trHeight w:val="699"/>
      </w:trPr>
      <w:tc>
        <w:tcPr>
          <w:tcW w:w="33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4F35EE" w14:textId="11E5C323" w:rsidR="004F5F6A" w:rsidRPr="004F5F6A" w:rsidRDefault="004F5F6A" w:rsidP="004F5F6A">
          <w:pPr>
            <w:pStyle w:val="Encabezado"/>
            <w:rPr>
              <w:b/>
            </w:rPr>
          </w:pPr>
          <w:r w:rsidRPr="004F5F6A">
            <w:rPr>
              <w:noProof/>
            </w:rPr>
            <w:drawing>
              <wp:anchor distT="0" distB="0" distL="114300" distR="114300" simplePos="0" relativeHeight="251661312" behindDoc="0" locked="0" layoutInCell="1" allowOverlap="1" wp14:anchorId="1145A171" wp14:editId="4FB29AB4">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D4C90B" w14:textId="49C01EDF" w:rsidR="004F5F6A" w:rsidRPr="004F5F6A" w:rsidRDefault="004F5F6A" w:rsidP="004F5F6A">
          <w:pPr>
            <w:pStyle w:val="Encabezado"/>
            <w:jc w:val="center"/>
            <w:rPr>
              <w:b/>
              <w:color w:val="FFFFFF" w:themeColor="background1"/>
            </w:rPr>
          </w:pPr>
          <w:r w:rsidRPr="004F5F6A">
            <w:rPr>
              <w:b/>
              <w:color w:val="FFFFFF" w:themeColor="background1"/>
            </w:rPr>
            <w:t xml:space="preserve">ANEXO. </w:t>
          </w:r>
          <w:r>
            <w:rPr>
              <w:b/>
              <w:color w:val="FFFFFF" w:themeColor="background1"/>
            </w:rPr>
            <w:t>CARTAS PARA EL FUTURO</w:t>
          </w:r>
        </w:p>
      </w:tc>
      <w:tc>
        <w:tcPr>
          <w:tcW w:w="2666" w:type="dxa"/>
          <w:tcBorders>
            <w:top w:val="single" w:sz="4" w:space="0" w:color="auto"/>
            <w:left w:val="single" w:sz="4" w:space="0" w:color="auto"/>
            <w:bottom w:val="single" w:sz="4" w:space="0" w:color="auto"/>
            <w:right w:val="single" w:sz="4" w:space="0" w:color="auto"/>
          </w:tcBorders>
          <w:vAlign w:val="center"/>
          <w:hideMark/>
        </w:tcPr>
        <w:p w14:paraId="2231A62E" w14:textId="1260AAD6" w:rsidR="004F5F6A" w:rsidRPr="004F5F6A" w:rsidRDefault="004F5F6A" w:rsidP="004F5F6A">
          <w:pPr>
            <w:pStyle w:val="Encabezado"/>
          </w:pPr>
          <w:r w:rsidRPr="004F5F6A">
            <w:t xml:space="preserve">Código: </w:t>
          </w:r>
          <w:r w:rsidR="008802B2" w:rsidRPr="008802B2">
            <w:t>502,08,15-1</w:t>
          </w:r>
          <w:r w:rsidR="0022701F">
            <w:t>79</w:t>
          </w:r>
        </w:p>
      </w:tc>
    </w:tr>
    <w:tr w:rsidR="004F5F6A" w:rsidRPr="004F5F6A" w14:paraId="5BF7647D" w14:textId="77777777">
      <w:trPr>
        <w:trHeight w:val="41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37D7E83E" w14:textId="77777777" w:rsidR="004F5F6A" w:rsidRPr="004F5F6A" w:rsidRDefault="004F5F6A" w:rsidP="004F5F6A">
          <w:pPr>
            <w:pStyle w:val="Encabezado"/>
            <w:rPr>
              <w:b/>
            </w:rPr>
          </w:pPr>
        </w:p>
      </w:tc>
      <w:tc>
        <w:tcPr>
          <w:tcW w:w="4636" w:type="dxa"/>
          <w:tcBorders>
            <w:top w:val="single" w:sz="4" w:space="0" w:color="auto"/>
            <w:left w:val="single" w:sz="4" w:space="0" w:color="auto"/>
            <w:bottom w:val="single" w:sz="4" w:space="0" w:color="auto"/>
            <w:right w:val="single" w:sz="4" w:space="0" w:color="auto"/>
          </w:tcBorders>
          <w:vAlign w:val="center"/>
          <w:hideMark/>
        </w:tcPr>
        <w:p w14:paraId="70F56E02" w14:textId="77777777" w:rsidR="004F5F6A" w:rsidRPr="004F5F6A" w:rsidRDefault="004F5F6A" w:rsidP="004F5F6A">
          <w:pPr>
            <w:pStyle w:val="Encabezado"/>
            <w:jc w:val="center"/>
          </w:pPr>
          <w:r w:rsidRPr="004F5F6A">
            <w:t>PROCESO REPARACION INTEGRAL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128A3A9D" w14:textId="5D1AB04E" w:rsidR="004F5F6A" w:rsidRPr="004F5F6A" w:rsidRDefault="004F5F6A" w:rsidP="004F5F6A">
          <w:pPr>
            <w:pStyle w:val="Encabezado"/>
          </w:pPr>
          <w:r w:rsidRPr="004F5F6A">
            <w:t xml:space="preserve">Versión: </w:t>
          </w:r>
          <w:r w:rsidR="008802B2">
            <w:t>01</w:t>
          </w:r>
        </w:p>
      </w:tc>
    </w:tr>
    <w:tr w:rsidR="004F5F6A" w:rsidRPr="004F5F6A" w14:paraId="17EFB0BA" w14:textId="77777777">
      <w:trPr>
        <w:trHeight w:val="58"/>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3CD6E5E1" w14:textId="77777777" w:rsidR="004F5F6A" w:rsidRPr="004F5F6A" w:rsidRDefault="004F5F6A" w:rsidP="004F5F6A">
          <w:pPr>
            <w:pStyle w:val="Encabezado"/>
            <w:rPr>
              <w:b/>
            </w:rPr>
          </w:pP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1B3DB3BE" w14:textId="77777777" w:rsidR="004F5F6A" w:rsidRPr="004F5F6A" w:rsidRDefault="004F5F6A" w:rsidP="004F5F6A">
          <w:pPr>
            <w:pStyle w:val="Encabezado"/>
            <w:jc w:val="center"/>
          </w:pPr>
          <w:r w:rsidRPr="004F5F6A">
            <w:t>PROCEDIMIENTO DIÁLOGOS TRANSFORMADORES</w:t>
          </w:r>
        </w:p>
      </w:tc>
      <w:tc>
        <w:tcPr>
          <w:tcW w:w="2666" w:type="dxa"/>
          <w:tcBorders>
            <w:top w:val="single" w:sz="4" w:space="0" w:color="auto"/>
            <w:left w:val="single" w:sz="4" w:space="0" w:color="auto"/>
            <w:bottom w:val="single" w:sz="4" w:space="0" w:color="auto"/>
            <w:right w:val="single" w:sz="4" w:space="0" w:color="auto"/>
          </w:tcBorders>
          <w:hideMark/>
        </w:tcPr>
        <w:p w14:paraId="2925530C" w14:textId="194AAA04" w:rsidR="004F5F6A" w:rsidRPr="004F5F6A" w:rsidRDefault="004F5F6A" w:rsidP="004F5F6A">
          <w:pPr>
            <w:pStyle w:val="Encabezado"/>
          </w:pPr>
          <w:r w:rsidRPr="004F5F6A">
            <w:t xml:space="preserve">Fecha: </w:t>
          </w:r>
          <w:r w:rsidR="008802B2">
            <w:t>31/12/2025</w:t>
          </w:r>
        </w:p>
      </w:tc>
    </w:tr>
    <w:tr w:rsidR="004F5F6A" w:rsidRPr="004F5F6A" w14:paraId="57CAAA1D" w14:textId="77777777">
      <w:trPr>
        <w:trHeight w:val="26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615BA057" w14:textId="77777777" w:rsidR="004F5F6A" w:rsidRPr="004F5F6A" w:rsidRDefault="004F5F6A" w:rsidP="004F5F6A">
          <w:pPr>
            <w:pStyle w:val="Encabezado"/>
            <w:rPr>
              <w:b/>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13232278" w14:textId="77777777" w:rsidR="004F5F6A" w:rsidRPr="004F5F6A" w:rsidRDefault="004F5F6A" w:rsidP="004F5F6A">
          <w:pPr>
            <w:pStyle w:val="Encabezado"/>
          </w:pPr>
        </w:p>
      </w:tc>
      <w:tc>
        <w:tcPr>
          <w:tcW w:w="2666" w:type="dxa"/>
          <w:tcBorders>
            <w:top w:val="single" w:sz="4" w:space="0" w:color="auto"/>
            <w:left w:val="single" w:sz="4" w:space="0" w:color="auto"/>
            <w:bottom w:val="single" w:sz="4" w:space="0" w:color="auto"/>
            <w:right w:val="single" w:sz="4" w:space="0" w:color="auto"/>
          </w:tcBorders>
          <w:hideMark/>
        </w:tcPr>
        <w:p w14:paraId="45EE088C" w14:textId="42E2962B" w:rsidR="004F5F6A" w:rsidRPr="004F5F6A" w:rsidRDefault="004F5F6A" w:rsidP="004F5F6A">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008802B2">
            <w:rPr>
              <w:b/>
              <w:bCs/>
            </w:rPr>
            <w:t>8</w:t>
          </w:r>
        </w:p>
      </w:tc>
    </w:tr>
  </w:tbl>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6"/>
    <w:multiLevelType w:val="hybridMultilevel"/>
    <w:tmpl w:val="2D9E52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F578EB"/>
    <w:multiLevelType w:val="multilevel"/>
    <w:tmpl w:val="4BEA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A3356"/>
    <w:multiLevelType w:val="hybridMultilevel"/>
    <w:tmpl w:val="6E146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CF32CE"/>
    <w:multiLevelType w:val="hybridMultilevel"/>
    <w:tmpl w:val="AF8AA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5607C1"/>
    <w:multiLevelType w:val="hybridMultilevel"/>
    <w:tmpl w:val="539AB9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D184E96"/>
    <w:multiLevelType w:val="multilevel"/>
    <w:tmpl w:val="20AA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119F6"/>
    <w:multiLevelType w:val="multilevel"/>
    <w:tmpl w:val="4502B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85837"/>
    <w:multiLevelType w:val="hybridMultilevel"/>
    <w:tmpl w:val="E8885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6D70F6"/>
    <w:multiLevelType w:val="multilevel"/>
    <w:tmpl w:val="AC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76316"/>
    <w:multiLevelType w:val="hybridMultilevel"/>
    <w:tmpl w:val="2FAA1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7C3572"/>
    <w:multiLevelType w:val="multilevel"/>
    <w:tmpl w:val="111A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055439"/>
    <w:multiLevelType w:val="multilevel"/>
    <w:tmpl w:val="97506F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EA54CEF"/>
    <w:multiLevelType w:val="hybridMultilevel"/>
    <w:tmpl w:val="D3469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F3863F6"/>
    <w:multiLevelType w:val="hybridMultilevel"/>
    <w:tmpl w:val="9754EF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3F00D38"/>
    <w:multiLevelType w:val="multilevel"/>
    <w:tmpl w:val="7E3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E5600"/>
    <w:multiLevelType w:val="hybridMultilevel"/>
    <w:tmpl w:val="0018EC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EC07AA"/>
    <w:multiLevelType w:val="multilevel"/>
    <w:tmpl w:val="77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45F6D"/>
    <w:multiLevelType w:val="hybridMultilevel"/>
    <w:tmpl w:val="222E9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393A39"/>
    <w:multiLevelType w:val="multilevel"/>
    <w:tmpl w:val="B7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2887">
    <w:abstractNumId w:val="7"/>
  </w:num>
  <w:num w:numId="2" w16cid:durableId="675815266">
    <w:abstractNumId w:val="6"/>
  </w:num>
  <w:num w:numId="3" w16cid:durableId="1314675128">
    <w:abstractNumId w:val="11"/>
  </w:num>
  <w:num w:numId="4" w16cid:durableId="98180027">
    <w:abstractNumId w:val="12"/>
  </w:num>
  <w:num w:numId="5" w16cid:durableId="345786567">
    <w:abstractNumId w:val="14"/>
  </w:num>
  <w:num w:numId="6" w16cid:durableId="1932617564">
    <w:abstractNumId w:val="18"/>
  </w:num>
  <w:num w:numId="7" w16cid:durableId="2105346662">
    <w:abstractNumId w:val="4"/>
  </w:num>
  <w:num w:numId="8" w16cid:durableId="1242911547">
    <w:abstractNumId w:val="13"/>
  </w:num>
  <w:num w:numId="9" w16cid:durableId="1642727658">
    <w:abstractNumId w:val="1"/>
  </w:num>
  <w:num w:numId="10" w16cid:durableId="277758546">
    <w:abstractNumId w:val="5"/>
  </w:num>
  <w:num w:numId="11" w16cid:durableId="753864579">
    <w:abstractNumId w:val="17"/>
  </w:num>
  <w:num w:numId="12" w16cid:durableId="867454783">
    <w:abstractNumId w:val="15"/>
  </w:num>
  <w:num w:numId="13" w16cid:durableId="1708604013">
    <w:abstractNumId w:val="19"/>
  </w:num>
  <w:num w:numId="14" w16cid:durableId="1097016646">
    <w:abstractNumId w:val="9"/>
  </w:num>
  <w:num w:numId="15" w16cid:durableId="57870705">
    <w:abstractNumId w:val="16"/>
  </w:num>
  <w:num w:numId="16" w16cid:durableId="519197921">
    <w:abstractNumId w:val="0"/>
  </w:num>
  <w:num w:numId="17" w16cid:durableId="280697070">
    <w:abstractNumId w:val="2"/>
  </w:num>
  <w:num w:numId="18" w16cid:durableId="2142724813">
    <w:abstractNumId w:val="3"/>
  </w:num>
  <w:num w:numId="19" w16cid:durableId="567154990">
    <w:abstractNumId w:val="8"/>
  </w:num>
  <w:num w:numId="20" w16cid:durableId="13105994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Camila Sotomayor Díaz">
    <w15:presenceInfo w15:providerId="Windows Live" w15:userId="114cf4acfa88d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35754"/>
    <w:rsid w:val="0006527A"/>
    <w:rsid w:val="00076FFE"/>
    <w:rsid w:val="00080150"/>
    <w:rsid w:val="0009322C"/>
    <w:rsid w:val="000A47F5"/>
    <w:rsid w:val="000B6536"/>
    <w:rsid w:val="000B70D2"/>
    <w:rsid w:val="000D3383"/>
    <w:rsid w:val="000E7301"/>
    <w:rsid w:val="00123F51"/>
    <w:rsid w:val="00133DA7"/>
    <w:rsid w:val="00144508"/>
    <w:rsid w:val="001770BD"/>
    <w:rsid w:val="001B3215"/>
    <w:rsid w:val="001E00A9"/>
    <w:rsid w:val="001F418B"/>
    <w:rsid w:val="00213F11"/>
    <w:rsid w:val="00225CFE"/>
    <w:rsid w:val="0022701F"/>
    <w:rsid w:val="0026417C"/>
    <w:rsid w:val="002719CF"/>
    <w:rsid w:val="00287005"/>
    <w:rsid w:val="002A0D4E"/>
    <w:rsid w:val="002A18AD"/>
    <w:rsid w:val="002A6828"/>
    <w:rsid w:val="002B79A1"/>
    <w:rsid w:val="002C23C7"/>
    <w:rsid w:val="002E2AC5"/>
    <w:rsid w:val="002E52F5"/>
    <w:rsid w:val="0030589D"/>
    <w:rsid w:val="00325D6A"/>
    <w:rsid w:val="00353A35"/>
    <w:rsid w:val="0036724E"/>
    <w:rsid w:val="003B5159"/>
    <w:rsid w:val="003C6F04"/>
    <w:rsid w:val="003D5C33"/>
    <w:rsid w:val="003D6C12"/>
    <w:rsid w:val="003D7F2E"/>
    <w:rsid w:val="003E1277"/>
    <w:rsid w:val="003E7BF3"/>
    <w:rsid w:val="00421315"/>
    <w:rsid w:val="00471518"/>
    <w:rsid w:val="004E6D4E"/>
    <w:rsid w:val="004F5F6A"/>
    <w:rsid w:val="00507659"/>
    <w:rsid w:val="00531816"/>
    <w:rsid w:val="00550C97"/>
    <w:rsid w:val="00554F05"/>
    <w:rsid w:val="00577327"/>
    <w:rsid w:val="005B0CBE"/>
    <w:rsid w:val="006131C3"/>
    <w:rsid w:val="00615630"/>
    <w:rsid w:val="00634C1B"/>
    <w:rsid w:val="006352EB"/>
    <w:rsid w:val="00647FE7"/>
    <w:rsid w:val="006560EC"/>
    <w:rsid w:val="006A07EE"/>
    <w:rsid w:val="006B71B5"/>
    <w:rsid w:val="006C0758"/>
    <w:rsid w:val="006D1AA2"/>
    <w:rsid w:val="006F388D"/>
    <w:rsid w:val="00703552"/>
    <w:rsid w:val="00737926"/>
    <w:rsid w:val="007B0A18"/>
    <w:rsid w:val="007C4B92"/>
    <w:rsid w:val="0083244E"/>
    <w:rsid w:val="00872394"/>
    <w:rsid w:val="00877E36"/>
    <w:rsid w:val="008802B2"/>
    <w:rsid w:val="008B36CE"/>
    <w:rsid w:val="008E32C7"/>
    <w:rsid w:val="00942CB5"/>
    <w:rsid w:val="0096117F"/>
    <w:rsid w:val="00961CA5"/>
    <w:rsid w:val="00966C05"/>
    <w:rsid w:val="00975072"/>
    <w:rsid w:val="009A0635"/>
    <w:rsid w:val="009A1AF3"/>
    <w:rsid w:val="009C097A"/>
    <w:rsid w:val="009F763E"/>
    <w:rsid w:val="00A1247C"/>
    <w:rsid w:val="00A146A9"/>
    <w:rsid w:val="00A31838"/>
    <w:rsid w:val="00A62F3D"/>
    <w:rsid w:val="00A64F41"/>
    <w:rsid w:val="00A727DF"/>
    <w:rsid w:val="00A9024D"/>
    <w:rsid w:val="00AC6948"/>
    <w:rsid w:val="00AD20DC"/>
    <w:rsid w:val="00AF6998"/>
    <w:rsid w:val="00B03514"/>
    <w:rsid w:val="00B209C2"/>
    <w:rsid w:val="00B42BCF"/>
    <w:rsid w:val="00B675A5"/>
    <w:rsid w:val="00B80F2F"/>
    <w:rsid w:val="00B823D1"/>
    <w:rsid w:val="00B8583D"/>
    <w:rsid w:val="00BA0413"/>
    <w:rsid w:val="00BA477A"/>
    <w:rsid w:val="00BC245F"/>
    <w:rsid w:val="00BE0B38"/>
    <w:rsid w:val="00BE3A8A"/>
    <w:rsid w:val="00C101F2"/>
    <w:rsid w:val="00C410EE"/>
    <w:rsid w:val="00C748D1"/>
    <w:rsid w:val="00C911D4"/>
    <w:rsid w:val="00CA1055"/>
    <w:rsid w:val="00CD6B9D"/>
    <w:rsid w:val="00CE7C35"/>
    <w:rsid w:val="00D04BE6"/>
    <w:rsid w:val="00D053B5"/>
    <w:rsid w:val="00D50282"/>
    <w:rsid w:val="00D630ED"/>
    <w:rsid w:val="00D7594B"/>
    <w:rsid w:val="00D864CD"/>
    <w:rsid w:val="00D93B1B"/>
    <w:rsid w:val="00DA70AE"/>
    <w:rsid w:val="00DC4DFC"/>
    <w:rsid w:val="00DE35E4"/>
    <w:rsid w:val="00DF6078"/>
    <w:rsid w:val="00E13BD8"/>
    <w:rsid w:val="00E41E9A"/>
    <w:rsid w:val="00E56BC3"/>
    <w:rsid w:val="00E76365"/>
    <w:rsid w:val="00EB5650"/>
    <w:rsid w:val="00F01700"/>
    <w:rsid w:val="00F12DF3"/>
    <w:rsid w:val="00F44DD6"/>
    <w:rsid w:val="00F64677"/>
    <w:rsid w:val="00F67F90"/>
    <w:rsid w:val="00FA1601"/>
    <w:rsid w:val="00FA7E79"/>
    <w:rsid w:val="00FB234D"/>
    <w:rsid w:val="00FC1FA3"/>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0E7301"/>
    <w:rPr>
      <w:rFonts w:ascii="Times New Roman" w:hAnsi="Times New Roman" w:cs="Times New Roman"/>
      <w:sz w:val="24"/>
      <w:szCs w:val="24"/>
    </w:rPr>
  </w:style>
  <w:style w:type="paragraph" w:styleId="Textonotapie">
    <w:name w:val="footnote text"/>
    <w:basedOn w:val="Normal"/>
    <w:link w:val="TextonotapieCar"/>
    <w:uiPriority w:val="99"/>
    <w:unhideWhenUsed/>
    <w:rsid w:val="00634C1B"/>
    <w:pPr>
      <w:spacing w:after="0" w:line="240" w:lineRule="auto"/>
    </w:pPr>
    <w:rPr>
      <w:sz w:val="20"/>
      <w:szCs w:val="20"/>
    </w:rPr>
  </w:style>
  <w:style w:type="character" w:customStyle="1" w:styleId="TextonotapieCar">
    <w:name w:val="Texto nota pie Car"/>
    <w:basedOn w:val="Fuentedeprrafopredeter"/>
    <w:link w:val="Textonotapie"/>
    <w:uiPriority w:val="99"/>
    <w:rsid w:val="00634C1B"/>
    <w:rPr>
      <w:sz w:val="20"/>
      <w:szCs w:val="20"/>
    </w:rPr>
  </w:style>
  <w:style w:type="character" w:styleId="Refdenotaalpie">
    <w:name w:val="footnote reference"/>
    <w:basedOn w:val="Fuentedeprrafopredeter"/>
    <w:uiPriority w:val="99"/>
    <w:semiHidden/>
    <w:unhideWhenUsed/>
    <w:rsid w:val="00634C1B"/>
    <w:rPr>
      <w:vertAlign w:val="superscript"/>
    </w:rPr>
  </w:style>
  <w:style w:type="character" w:styleId="Hipervnculo">
    <w:name w:val="Hyperlink"/>
    <w:basedOn w:val="Fuentedeprrafopredeter"/>
    <w:uiPriority w:val="99"/>
    <w:unhideWhenUsed/>
    <w:rsid w:val="000B6536"/>
    <w:rPr>
      <w:color w:val="0563C1" w:themeColor="hyperlink"/>
      <w:u w:val="single"/>
    </w:rPr>
  </w:style>
  <w:style w:type="character" w:styleId="Mencinsinresolver">
    <w:name w:val="Unresolved Mention"/>
    <w:basedOn w:val="Fuentedeprrafopredeter"/>
    <w:uiPriority w:val="99"/>
    <w:semiHidden/>
    <w:unhideWhenUsed/>
    <w:rsid w:val="000B6536"/>
    <w:rPr>
      <w:color w:val="605E5C"/>
      <w:shd w:val="clear" w:color="auto" w:fill="E1DFDD"/>
    </w:rPr>
  </w:style>
  <w:style w:type="character" w:styleId="Refdecomentario">
    <w:name w:val="annotation reference"/>
    <w:basedOn w:val="Fuentedeprrafopredeter"/>
    <w:uiPriority w:val="99"/>
    <w:semiHidden/>
    <w:unhideWhenUsed/>
    <w:rsid w:val="00A31838"/>
    <w:rPr>
      <w:sz w:val="16"/>
      <w:szCs w:val="16"/>
    </w:rPr>
  </w:style>
  <w:style w:type="paragraph" w:styleId="Textocomentario">
    <w:name w:val="annotation text"/>
    <w:basedOn w:val="Normal"/>
    <w:link w:val="TextocomentarioCar"/>
    <w:uiPriority w:val="99"/>
    <w:unhideWhenUsed/>
    <w:rsid w:val="00A31838"/>
    <w:pPr>
      <w:spacing w:line="240" w:lineRule="auto"/>
    </w:pPr>
    <w:rPr>
      <w:sz w:val="20"/>
      <w:szCs w:val="20"/>
    </w:rPr>
  </w:style>
  <w:style w:type="character" w:customStyle="1" w:styleId="TextocomentarioCar">
    <w:name w:val="Texto comentario Car"/>
    <w:basedOn w:val="Fuentedeprrafopredeter"/>
    <w:link w:val="Textocomentario"/>
    <w:uiPriority w:val="99"/>
    <w:rsid w:val="00A31838"/>
    <w:rPr>
      <w:sz w:val="20"/>
      <w:szCs w:val="20"/>
    </w:rPr>
  </w:style>
  <w:style w:type="paragraph" w:styleId="Asuntodelcomentario">
    <w:name w:val="annotation subject"/>
    <w:basedOn w:val="Textocomentario"/>
    <w:next w:val="Textocomentario"/>
    <w:link w:val="AsuntodelcomentarioCar"/>
    <w:uiPriority w:val="99"/>
    <w:semiHidden/>
    <w:unhideWhenUsed/>
    <w:rsid w:val="00A31838"/>
    <w:rPr>
      <w:b/>
      <w:bCs/>
    </w:rPr>
  </w:style>
  <w:style w:type="character" w:customStyle="1" w:styleId="AsuntodelcomentarioCar">
    <w:name w:val="Asunto del comentario Car"/>
    <w:basedOn w:val="TextocomentarioCar"/>
    <w:link w:val="Asuntodelcomentario"/>
    <w:uiPriority w:val="99"/>
    <w:semiHidden/>
    <w:rsid w:val="00A31838"/>
    <w:rPr>
      <w:b/>
      <w:bCs/>
      <w:sz w:val="20"/>
      <w:szCs w:val="20"/>
    </w:rPr>
  </w:style>
  <w:style w:type="character" w:styleId="Hipervnculovisitado">
    <w:name w:val="FollowedHyperlink"/>
    <w:basedOn w:val="Fuentedeprrafopredeter"/>
    <w:uiPriority w:val="99"/>
    <w:semiHidden/>
    <w:unhideWhenUsed/>
    <w:rsid w:val="00B675A5"/>
    <w:rPr>
      <w:color w:val="954F72" w:themeColor="followedHyperlink"/>
      <w:u w:val="single"/>
    </w:rPr>
  </w:style>
  <w:style w:type="paragraph" w:customStyle="1" w:styleId="paragraph">
    <w:name w:val="paragraph"/>
    <w:basedOn w:val="Normal"/>
    <w:rsid w:val="00F44DD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funcionpublica.gov.co/eva/gestornormativo/norma.php?i=4125" TargetMode="External"/><Relationship Id="rId1" Type="http://schemas.openxmlformats.org/officeDocument/2006/relationships/hyperlink" Target="https://www.funcionpublica.gov.co/eva/gestornormativo/norma.php?i=41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037625da8f2e22de48e1be96bbcb4820">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2f595058cbe3c92cd1b1d02b370dd4a1"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customXml/itemProps2.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3.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4.xml><?xml version="1.0" encoding="utf-8"?>
<ds:datastoreItem xmlns:ds="http://schemas.openxmlformats.org/officeDocument/2006/customXml" ds:itemID="{3572E1E7-DD7B-4138-BB20-86D2A3CC3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01B667-D78C-4721-95AB-0E11E6C66512}">
  <ds:schemaRefs>
    <ds:schemaRef ds:uri="http://schemas.openxmlformats.org/officeDocument/2006/bibliography"/>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24</TotalTime>
  <Pages>8</Pages>
  <Words>2316</Words>
  <Characters>12672</Characters>
  <Application>Microsoft Office Word</Application>
  <DocSecurity>0</DocSecurity>
  <Lines>269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33</cp:revision>
  <dcterms:created xsi:type="dcterms:W3CDTF">2025-12-05T04:05:00Z</dcterms:created>
  <dcterms:modified xsi:type="dcterms:W3CDTF">2026-02-27T00:09:00Z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