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B76F" w14:textId="0EE506F1" w:rsidR="00A637CF" w:rsidRPr="00067749" w:rsidRDefault="0028275F" w:rsidP="00BF6130">
      <w:pPr>
        <w:pStyle w:val="Sinespaciado"/>
        <w:rPr>
          <w:rFonts w:ascii="Arial" w:hAnsi="Arial" w:cs="Arial"/>
          <w:lang w:val="es-CO"/>
        </w:rPr>
      </w:pPr>
      <w:r w:rsidRPr="077188F2">
        <w:rPr>
          <w:rFonts w:ascii="Arial" w:hAnsi="Arial" w:cs="Arial"/>
          <w:lang w:val="es-CO"/>
        </w:rPr>
        <w:t xml:space="preserve">Bogotá, </w:t>
      </w:r>
      <w:r w:rsidR="00067749" w:rsidRPr="077188F2">
        <w:rPr>
          <w:rFonts w:ascii="Arial" w:hAnsi="Arial" w:cs="Arial"/>
          <w:color w:val="FF0000"/>
          <w:highlight w:val="yellow"/>
          <w:lang w:val="es-CO"/>
        </w:rPr>
        <w:t>XX</w:t>
      </w:r>
      <w:r w:rsidR="00BF6130" w:rsidRPr="077188F2">
        <w:rPr>
          <w:rFonts w:ascii="Arial" w:hAnsi="Arial" w:cs="Arial"/>
          <w:lang w:val="es-CO"/>
        </w:rPr>
        <w:t xml:space="preserve"> de </w:t>
      </w:r>
      <w:r w:rsidR="00652421" w:rsidRPr="077188F2">
        <w:rPr>
          <w:rFonts w:ascii="Arial" w:hAnsi="Arial" w:cs="Arial"/>
          <w:color w:val="FF0000"/>
          <w:highlight w:val="yellow"/>
          <w:lang w:val="es-CO"/>
        </w:rPr>
        <w:t>XX</w:t>
      </w:r>
      <w:r w:rsidRPr="077188F2">
        <w:rPr>
          <w:rFonts w:ascii="Arial" w:hAnsi="Arial" w:cs="Arial"/>
          <w:lang w:val="es-CO"/>
        </w:rPr>
        <w:t xml:space="preserve"> de </w:t>
      </w:r>
      <w:r w:rsidR="00652421" w:rsidRPr="077188F2">
        <w:rPr>
          <w:rFonts w:ascii="Arial" w:hAnsi="Arial" w:cs="Arial"/>
          <w:lang w:val="es-CO"/>
        </w:rPr>
        <w:t>202</w:t>
      </w:r>
      <w:r w:rsidR="00D333A1">
        <w:rPr>
          <w:rFonts w:ascii="Arial" w:hAnsi="Arial" w:cs="Arial"/>
          <w:lang w:val="es-CO"/>
        </w:rPr>
        <w:t>4</w:t>
      </w:r>
    </w:p>
    <w:p w14:paraId="60BDB770" w14:textId="77777777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</w:p>
    <w:p w14:paraId="60BDB771" w14:textId="03480EC4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  <w:r w:rsidRPr="077188F2">
        <w:rPr>
          <w:rFonts w:ascii="Arial" w:hAnsi="Arial" w:cs="Arial"/>
          <w:lang w:val="es-CO"/>
        </w:rPr>
        <w:t>Doctor</w:t>
      </w:r>
      <w:r w:rsidR="00D333A1">
        <w:rPr>
          <w:rFonts w:ascii="Arial" w:hAnsi="Arial" w:cs="Arial"/>
          <w:lang w:val="es-CO"/>
        </w:rPr>
        <w:t>a</w:t>
      </w:r>
      <w:r w:rsidRPr="077188F2">
        <w:rPr>
          <w:rFonts w:ascii="Arial" w:hAnsi="Arial" w:cs="Arial"/>
          <w:lang w:val="es-CO"/>
        </w:rPr>
        <w:t>:</w:t>
      </w:r>
    </w:p>
    <w:p w14:paraId="60BDB772" w14:textId="7CFB1603" w:rsidR="00BF6130" w:rsidRPr="00067749" w:rsidRDefault="00D333A1" w:rsidP="00BF6130">
      <w:pPr>
        <w:pStyle w:val="Sinespaciad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Derly Aldana</w:t>
      </w:r>
    </w:p>
    <w:p w14:paraId="60BDB773" w14:textId="1648D6BD" w:rsidR="00BF6130" w:rsidRPr="00067749" w:rsidRDefault="00D333A1" w:rsidP="00BF6130">
      <w:pPr>
        <w:pStyle w:val="Sinespaciad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Dirección de Gestión Social y Humanitaria</w:t>
      </w:r>
    </w:p>
    <w:p w14:paraId="60BDB774" w14:textId="77777777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  <w:r w:rsidRPr="00067749">
        <w:rPr>
          <w:rFonts w:ascii="Arial" w:hAnsi="Arial" w:cs="Arial"/>
          <w:lang w:val="es-CO"/>
        </w:rPr>
        <w:t>Unidad Para las Victimas</w:t>
      </w:r>
    </w:p>
    <w:p w14:paraId="60BDB775" w14:textId="77777777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</w:p>
    <w:p w14:paraId="60BDB776" w14:textId="77777777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</w:p>
    <w:p w14:paraId="60BDB777" w14:textId="2B4F386B" w:rsidR="00BF6130" w:rsidRPr="00067749" w:rsidRDefault="00BF6130" w:rsidP="00067749">
      <w:pPr>
        <w:pStyle w:val="Sinespaciado"/>
        <w:jc w:val="both"/>
        <w:rPr>
          <w:rFonts w:ascii="Arial" w:hAnsi="Arial" w:cs="Arial"/>
          <w:lang w:val="es-CO"/>
        </w:rPr>
      </w:pPr>
      <w:r w:rsidRPr="077188F2">
        <w:rPr>
          <w:rFonts w:ascii="Arial" w:hAnsi="Arial" w:cs="Arial"/>
          <w:b/>
          <w:bCs/>
          <w:lang w:val="es-CO"/>
        </w:rPr>
        <w:t>Asunto:</w:t>
      </w:r>
      <w:r w:rsidRPr="077188F2">
        <w:rPr>
          <w:rFonts w:ascii="Arial" w:hAnsi="Arial" w:cs="Arial"/>
          <w:lang w:val="es-CO"/>
        </w:rPr>
        <w:t xml:space="preserve"> Formalización para acceder al Apoyo subsidiario para la entrega de Ayuda Humanitaria Inmediata – </w:t>
      </w:r>
      <w:r w:rsidR="0028275F" w:rsidRPr="077188F2">
        <w:rPr>
          <w:rFonts w:ascii="Arial" w:hAnsi="Arial" w:cs="Arial"/>
          <w:lang w:val="es-CO"/>
        </w:rPr>
        <w:t>AH</w:t>
      </w:r>
      <w:r w:rsidR="001D6EA1">
        <w:rPr>
          <w:rFonts w:ascii="Arial" w:hAnsi="Arial" w:cs="Arial"/>
          <w:lang w:val="es-CO"/>
        </w:rPr>
        <w:t>I</w:t>
      </w:r>
      <w:r w:rsidR="0028275F" w:rsidRPr="077188F2">
        <w:rPr>
          <w:rFonts w:ascii="Arial" w:hAnsi="Arial" w:cs="Arial"/>
          <w:lang w:val="es-CO"/>
        </w:rPr>
        <w:t xml:space="preserve"> – Vigencia </w:t>
      </w:r>
      <w:r w:rsidR="00652421" w:rsidRPr="077188F2">
        <w:rPr>
          <w:rFonts w:ascii="Arial" w:hAnsi="Arial" w:cs="Arial"/>
          <w:lang w:val="es-CO"/>
        </w:rPr>
        <w:t>202</w:t>
      </w:r>
      <w:r w:rsidR="00D333A1">
        <w:rPr>
          <w:rFonts w:ascii="Arial" w:hAnsi="Arial" w:cs="Arial"/>
          <w:lang w:val="es-CO"/>
        </w:rPr>
        <w:t>4</w:t>
      </w:r>
    </w:p>
    <w:p w14:paraId="60BDB778" w14:textId="77777777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</w:p>
    <w:p w14:paraId="60BDB779" w14:textId="77777777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</w:p>
    <w:p w14:paraId="60BDB77A" w14:textId="6BD26BB0" w:rsidR="00A460EF" w:rsidRPr="00067749" w:rsidRDefault="00A460EF" w:rsidP="077188F2">
      <w:pPr>
        <w:pStyle w:val="Default"/>
        <w:jc w:val="both"/>
        <w:rPr>
          <w:rFonts w:eastAsiaTheme="minorEastAsia"/>
          <w:color w:val="auto"/>
          <w:sz w:val="22"/>
          <w:szCs w:val="22"/>
          <w:u w:val="single"/>
        </w:rPr>
      </w:pPr>
      <w:r w:rsidRPr="077188F2">
        <w:rPr>
          <w:rFonts w:eastAsiaTheme="minorEastAsia"/>
          <w:color w:val="auto"/>
          <w:sz w:val="22"/>
          <w:szCs w:val="22"/>
        </w:rPr>
        <w:t xml:space="preserve">Según los lineamientos establecidos en la Ley 1448 de 2011, en su artículo 63, previó que la </w:t>
      </w:r>
      <w:r w:rsidRPr="077188F2">
        <w:rPr>
          <w:rFonts w:eastAsiaTheme="minorEastAsia"/>
          <w:b/>
          <w:bCs/>
          <w:color w:val="auto"/>
          <w:sz w:val="22"/>
          <w:szCs w:val="22"/>
        </w:rPr>
        <w:t xml:space="preserve">entrega de la Atención </w:t>
      </w:r>
      <w:r w:rsidR="2EBAE320" w:rsidRPr="077188F2">
        <w:rPr>
          <w:rFonts w:eastAsiaTheme="minorEastAsia"/>
          <w:b/>
          <w:bCs/>
          <w:color w:val="auto"/>
          <w:sz w:val="22"/>
          <w:szCs w:val="22"/>
        </w:rPr>
        <w:t>Inmediata</w:t>
      </w:r>
      <w:r w:rsidRPr="077188F2">
        <w:rPr>
          <w:rFonts w:eastAsiaTheme="minorEastAsia"/>
          <w:color w:val="auto"/>
          <w:sz w:val="22"/>
          <w:szCs w:val="22"/>
        </w:rPr>
        <w:t xml:space="preserve"> será proporcionada por la entidad territorial de nivel municipal receptora de la población desplazada y que se encuentran en situación de vulnerabilidad acentuada y requieren de albergue temporal y asistencia alimentaria.</w:t>
      </w:r>
    </w:p>
    <w:p w14:paraId="60BDB77B" w14:textId="77777777" w:rsidR="00A460EF" w:rsidRPr="00067749" w:rsidRDefault="00A460EF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7C" w14:textId="77777777" w:rsidR="00BF6130" w:rsidRPr="00067749" w:rsidRDefault="00A460EF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067749">
        <w:rPr>
          <w:rFonts w:eastAsiaTheme="minorHAnsi"/>
          <w:color w:val="auto"/>
          <w:sz w:val="22"/>
          <w:szCs w:val="22"/>
        </w:rPr>
        <w:t xml:space="preserve">Que </w:t>
      </w:r>
      <w:r w:rsidR="00BF6130" w:rsidRPr="00067749">
        <w:rPr>
          <w:rFonts w:eastAsiaTheme="minorHAnsi"/>
          <w:color w:val="auto"/>
          <w:sz w:val="22"/>
          <w:szCs w:val="22"/>
        </w:rPr>
        <w:t xml:space="preserve">en el Decreto Reglamentario 2460 del 2015, en sus artículos 2.2.8.3.1.11, 2.2.8.3.1.12, 2.2.8.3.1.13 y 2.2.8.3.1.14; donde define la aplicación de los principios de coordinación, subsidiariedad y concurrencia, para el ejercicio de las competencias territoriales, en el diseño y ejecución de la política pública para las víctimas del conflicto armado interno.   </w:t>
      </w:r>
    </w:p>
    <w:p w14:paraId="60BDB77D" w14:textId="77777777" w:rsidR="00BF6130" w:rsidRPr="00067749" w:rsidRDefault="00BF6130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7E" w14:textId="2CFD4252" w:rsidR="00BF6130" w:rsidRPr="00067749" w:rsidRDefault="71556F5B" w:rsidP="077188F2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  <w:r w:rsidRPr="077188F2">
        <w:rPr>
          <w:rFonts w:eastAsiaTheme="minorEastAsia"/>
          <w:color w:val="auto"/>
          <w:sz w:val="22"/>
          <w:szCs w:val="22"/>
        </w:rPr>
        <w:t>Que,</w:t>
      </w:r>
      <w:r w:rsidR="00BF6130" w:rsidRPr="077188F2">
        <w:rPr>
          <w:rFonts w:eastAsiaTheme="minorEastAsia"/>
          <w:color w:val="auto"/>
          <w:sz w:val="22"/>
          <w:szCs w:val="22"/>
        </w:rPr>
        <w:t xml:space="preserve"> para el goce efectivo de los derechos de las víctimas, las entidades del orden departamental, nacional y municipal deben trabajar de manera armónica, articulada y coherente; en ese sentido las actuaciones del nivel nacional deben ser coordinadas con los departamentos e informadas a los municipios para armonizar las ejecuciones. De allí que se pueda entender la subsidiariedad, como el medio a través del cual, la nación y los departamentos, apoyarán a los municipios y los distritos en cumplimiento de las competencias de ayuda y atención humanitaria inmediata, de acuerdo con lo dispuesto en la Ley 1448 de 2011. En el mismo sentido, cuando la entidad del orden nacional </w:t>
      </w:r>
      <w:r w:rsidR="34BF7347" w:rsidRPr="077188F2">
        <w:rPr>
          <w:rFonts w:eastAsiaTheme="minorEastAsia"/>
          <w:color w:val="auto"/>
          <w:sz w:val="22"/>
          <w:szCs w:val="22"/>
        </w:rPr>
        <w:t>responsable</w:t>
      </w:r>
      <w:r w:rsidR="00BF6130" w:rsidRPr="077188F2">
        <w:rPr>
          <w:rFonts w:eastAsiaTheme="minorEastAsia"/>
          <w:color w:val="auto"/>
          <w:sz w:val="22"/>
          <w:szCs w:val="22"/>
        </w:rPr>
        <w:t xml:space="preserve"> constate que el departamento no puede subsidiar a un municipio de su jurisdicción en cumplimiento de dichas competencias, lo apoyará de manera transitoria en su ejercicio teniendo en cuenta dinámica, necesidades específicas y capacidades del territorio; y coordinarán lo pertinente, a través del uso de la información registrada en el Tablero PAT. </w:t>
      </w:r>
    </w:p>
    <w:p w14:paraId="60BDB77F" w14:textId="77777777" w:rsidR="00BF6130" w:rsidRPr="00067749" w:rsidRDefault="00BF6130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80" w14:textId="2E719215" w:rsidR="00BF6130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067749">
        <w:rPr>
          <w:rFonts w:eastAsiaTheme="minorHAnsi"/>
          <w:color w:val="auto"/>
          <w:sz w:val="22"/>
          <w:szCs w:val="22"/>
        </w:rPr>
        <w:t xml:space="preserve">Que la </w:t>
      </w:r>
      <w:r w:rsidR="00BF6130" w:rsidRPr="00067749">
        <w:rPr>
          <w:rFonts w:eastAsiaTheme="minorHAnsi"/>
          <w:color w:val="auto"/>
          <w:sz w:val="22"/>
          <w:szCs w:val="22"/>
        </w:rPr>
        <w:t xml:space="preserve">resolución </w:t>
      </w:r>
      <w:r w:rsidR="00067749" w:rsidRPr="00067749">
        <w:rPr>
          <w:rFonts w:eastAsiaTheme="minorHAnsi"/>
          <w:color w:val="auto"/>
          <w:sz w:val="22"/>
          <w:szCs w:val="22"/>
        </w:rPr>
        <w:t>0</w:t>
      </w:r>
      <w:r w:rsidR="009170A8">
        <w:rPr>
          <w:rFonts w:eastAsiaTheme="minorHAnsi"/>
          <w:color w:val="auto"/>
          <w:sz w:val="22"/>
          <w:szCs w:val="22"/>
        </w:rPr>
        <w:t>0</w:t>
      </w:r>
      <w:r w:rsidR="00067749" w:rsidRPr="00067749">
        <w:rPr>
          <w:rFonts w:eastAsiaTheme="minorHAnsi"/>
          <w:color w:val="auto"/>
          <w:sz w:val="22"/>
          <w:szCs w:val="22"/>
        </w:rPr>
        <w:t xml:space="preserve">097 del 25 de enero de 2022, </w:t>
      </w:r>
      <w:r w:rsidR="00BF6130" w:rsidRPr="00067749">
        <w:rPr>
          <w:rFonts w:eastAsiaTheme="minorHAnsi"/>
          <w:color w:val="auto"/>
          <w:sz w:val="22"/>
          <w:szCs w:val="22"/>
        </w:rPr>
        <w:t>tiene como objeto establecer los criterios, mecanismos y requisitos</w:t>
      </w:r>
      <w:r w:rsidR="00067749" w:rsidRPr="00067749">
        <w:rPr>
          <w:rFonts w:eastAsiaTheme="minorHAnsi"/>
          <w:color w:val="auto"/>
          <w:sz w:val="22"/>
          <w:szCs w:val="22"/>
        </w:rPr>
        <w:t xml:space="preserve"> en virtud de los cuales </w:t>
      </w:r>
      <w:r w:rsidR="00BF6130" w:rsidRPr="00067749">
        <w:rPr>
          <w:rFonts w:eastAsiaTheme="minorHAnsi"/>
          <w:color w:val="auto"/>
          <w:sz w:val="22"/>
          <w:szCs w:val="22"/>
        </w:rPr>
        <w:t xml:space="preserve">La Unidad para la Atención y Reparación Integral a las Víctimas </w:t>
      </w:r>
      <w:r w:rsidR="00067749" w:rsidRPr="00067749">
        <w:rPr>
          <w:rFonts w:eastAsiaTheme="minorHAnsi"/>
          <w:color w:val="auto"/>
          <w:sz w:val="22"/>
          <w:szCs w:val="22"/>
        </w:rPr>
        <w:t>dará la aplicación</w:t>
      </w:r>
      <w:r w:rsidR="00BF6130" w:rsidRPr="00067749">
        <w:rPr>
          <w:rFonts w:eastAsiaTheme="minorHAnsi"/>
          <w:color w:val="auto"/>
          <w:sz w:val="22"/>
          <w:szCs w:val="22"/>
        </w:rPr>
        <w:t xml:space="preserve"> </w:t>
      </w:r>
      <w:r w:rsidR="00067749" w:rsidRPr="00067749">
        <w:rPr>
          <w:rFonts w:eastAsiaTheme="minorHAnsi"/>
          <w:color w:val="auto"/>
          <w:sz w:val="22"/>
          <w:szCs w:val="22"/>
        </w:rPr>
        <w:t>a los principios de</w:t>
      </w:r>
      <w:r w:rsidR="00BF6130" w:rsidRPr="00067749">
        <w:rPr>
          <w:rFonts w:eastAsiaTheme="minorHAnsi"/>
          <w:color w:val="auto"/>
          <w:sz w:val="22"/>
          <w:szCs w:val="22"/>
        </w:rPr>
        <w:t xml:space="preserve"> coordinación</w:t>
      </w:r>
      <w:r w:rsidR="00067749" w:rsidRPr="00067749">
        <w:rPr>
          <w:rFonts w:eastAsiaTheme="minorHAnsi"/>
          <w:color w:val="auto"/>
          <w:sz w:val="22"/>
          <w:szCs w:val="22"/>
        </w:rPr>
        <w:t xml:space="preserve">, subsidiariedad y concurrencia en materia de </w:t>
      </w:r>
      <w:r w:rsidR="00BF6130" w:rsidRPr="00067749">
        <w:rPr>
          <w:rFonts w:eastAsiaTheme="minorHAnsi"/>
          <w:color w:val="auto"/>
          <w:sz w:val="22"/>
          <w:szCs w:val="22"/>
        </w:rPr>
        <w:t xml:space="preserve">ayuda y atención humanitaria </w:t>
      </w:r>
      <w:r w:rsidR="00067749" w:rsidRPr="00067749">
        <w:rPr>
          <w:rFonts w:eastAsiaTheme="minorHAnsi"/>
          <w:color w:val="auto"/>
          <w:sz w:val="22"/>
          <w:szCs w:val="22"/>
        </w:rPr>
        <w:t xml:space="preserve">en inmediatez, atención de emergencias y crisis humanitarias y se deroga la resolución </w:t>
      </w:r>
      <w:r w:rsidR="009170A8">
        <w:rPr>
          <w:rFonts w:eastAsiaTheme="minorHAnsi"/>
          <w:color w:val="auto"/>
          <w:sz w:val="22"/>
          <w:szCs w:val="22"/>
        </w:rPr>
        <w:t>0</w:t>
      </w:r>
      <w:r w:rsidR="00067749" w:rsidRPr="00067749">
        <w:rPr>
          <w:rFonts w:eastAsiaTheme="minorHAnsi"/>
          <w:color w:val="auto"/>
          <w:sz w:val="22"/>
          <w:szCs w:val="22"/>
        </w:rPr>
        <w:t xml:space="preserve">0021 de 2019. </w:t>
      </w:r>
    </w:p>
    <w:p w14:paraId="60BDB781" w14:textId="77777777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82" w14:textId="7806E926" w:rsidR="008857BE" w:rsidRPr="00067749" w:rsidRDefault="008857BE" w:rsidP="077188F2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  <w:r w:rsidRPr="077188F2">
        <w:rPr>
          <w:rFonts w:eastAsiaTheme="minorEastAsia"/>
          <w:color w:val="auto"/>
          <w:sz w:val="22"/>
          <w:szCs w:val="22"/>
        </w:rPr>
        <w:t>Desc</w:t>
      </w:r>
      <w:r w:rsidR="006431B1" w:rsidRPr="077188F2">
        <w:rPr>
          <w:rFonts w:eastAsiaTheme="minorEastAsia"/>
          <w:color w:val="auto"/>
          <w:sz w:val="22"/>
          <w:szCs w:val="22"/>
        </w:rPr>
        <w:t>rito lo anterior, y bajo decisión tomada por el municipio d</w:t>
      </w:r>
      <w:r w:rsidRPr="077188F2">
        <w:rPr>
          <w:rFonts w:eastAsiaTheme="minorEastAsia"/>
          <w:color w:val="auto"/>
          <w:sz w:val="22"/>
          <w:szCs w:val="22"/>
        </w:rPr>
        <w:t xml:space="preserve">e </w:t>
      </w:r>
      <w:r w:rsidR="00067749" w:rsidRPr="077188F2">
        <w:rPr>
          <w:rFonts w:eastAsiaTheme="minorEastAsia"/>
          <w:color w:val="FF0000"/>
          <w:sz w:val="22"/>
          <w:szCs w:val="22"/>
          <w:highlight w:val="yellow"/>
        </w:rPr>
        <w:t>XXXXX</w:t>
      </w:r>
      <w:r w:rsidRPr="077188F2">
        <w:rPr>
          <w:rFonts w:eastAsiaTheme="minorEastAsia"/>
          <w:color w:val="auto"/>
          <w:sz w:val="22"/>
          <w:szCs w:val="22"/>
        </w:rPr>
        <w:t xml:space="preserve"> informamos que el mecanismo elegid</w:t>
      </w:r>
      <w:r w:rsidR="0028275F" w:rsidRPr="077188F2">
        <w:rPr>
          <w:rFonts w:eastAsiaTheme="minorEastAsia"/>
          <w:color w:val="auto"/>
          <w:sz w:val="22"/>
          <w:szCs w:val="22"/>
        </w:rPr>
        <w:t xml:space="preserve">o para el apoyo subsidiario </w:t>
      </w:r>
      <w:r w:rsidR="009170A8" w:rsidRPr="077188F2">
        <w:rPr>
          <w:rFonts w:eastAsiaTheme="minorEastAsia"/>
          <w:color w:val="auto"/>
          <w:sz w:val="22"/>
          <w:szCs w:val="22"/>
        </w:rPr>
        <w:t>202</w:t>
      </w:r>
      <w:r w:rsidR="00D333A1">
        <w:rPr>
          <w:rFonts w:eastAsiaTheme="minorEastAsia"/>
          <w:color w:val="auto"/>
          <w:sz w:val="22"/>
          <w:szCs w:val="22"/>
        </w:rPr>
        <w:t>4</w:t>
      </w:r>
      <w:r w:rsidRPr="077188F2">
        <w:rPr>
          <w:rFonts w:eastAsiaTheme="minorEastAsia"/>
          <w:color w:val="auto"/>
          <w:sz w:val="22"/>
          <w:szCs w:val="22"/>
        </w:rPr>
        <w:t xml:space="preserve"> </w:t>
      </w:r>
      <w:r w:rsidR="006431B1" w:rsidRPr="077188F2">
        <w:rPr>
          <w:rFonts w:eastAsiaTheme="minorEastAsia"/>
          <w:color w:val="auto"/>
          <w:sz w:val="22"/>
          <w:szCs w:val="22"/>
        </w:rPr>
        <w:t xml:space="preserve">y que se ajusta a las necesidades es </w:t>
      </w:r>
      <w:r w:rsidR="006431B1" w:rsidRPr="077188F2">
        <w:rPr>
          <w:rFonts w:eastAsiaTheme="minorEastAsia"/>
          <w:color w:val="000000" w:themeColor="text1"/>
          <w:sz w:val="22"/>
          <w:szCs w:val="22"/>
        </w:rPr>
        <w:t>MONTOS EN DINERO</w:t>
      </w:r>
      <w:r w:rsidRPr="077188F2">
        <w:rPr>
          <w:rFonts w:eastAsiaTheme="minorEastAsia"/>
          <w:color w:val="auto"/>
          <w:sz w:val="22"/>
          <w:szCs w:val="22"/>
        </w:rPr>
        <w:t xml:space="preserve">. </w:t>
      </w:r>
      <w:r w:rsidR="00A460EF" w:rsidRPr="077188F2">
        <w:rPr>
          <w:rFonts w:eastAsiaTheme="minorEastAsia"/>
          <w:color w:val="auto"/>
          <w:sz w:val="22"/>
          <w:szCs w:val="22"/>
        </w:rPr>
        <w:t>Esta administración se compromete a cumplir con los compromisos establecidos en la resolución 0</w:t>
      </w:r>
      <w:r w:rsidR="00067749" w:rsidRPr="077188F2">
        <w:rPr>
          <w:rFonts w:eastAsiaTheme="minorEastAsia"/>
          <w:color w:val="auto"/>
          <w:sz w:val="22"/>
          <w:szCs w:val="22"/>
        </w:rPr>
        <w:t>0</w:t>
      </w:r>
      <w:r w:rsidR="009170A8" w:rsidRPr="077188F2">
        <w:rPr>
          <w:rFonts w:eastAsiaTheme="minorEastAsia"/>
          <w:color w:val="auto"/>
          <w:sz w:val="22"/>
          <w:szCs w:val="22"/>
        </w:rPr>
        <w:t>0</w:t>
      </w:r>
      <w:r w:rsidR="00067749" w:rsidRPr="077188F2">
        <w:rPr>
          <w:rFonts w:eastAsiaTheme="minorEastAsia"/>
          <w:color w:val="auto"/>
          <w:sz w:val="22"/>
          <w:szCs w:val="22"/>
        </w:rPr>
        <w:t>97</w:t>
      </w:r>
      <w:r w:rsidR="0028275F" w:rsidRPr="077188F2">
        <w:rPr>
          <w:rFonts w:eastAsiaTheme="minorEastAsia"/>
          <w:color w:val="auto"/>
          <w:sz w:val="22"/>
          <w:szCs w:val="22"/>
        </w:rPr>
        <w:t xml:space="preserve"> de 20</w:t>
      </w:r>
      <w:r w:rsidR="00067749" w:rsidRPr="077188F2">
        <w:rPr>
          <w:rFonts w:eastAsiaTheme="minorEastAsia"/>
          <w:color w:val="auto"/>
          <w:sz w:val="22"/>
          <w:szCs w:val="22"/>
        </w:rPr>
        <w:t>22</w:t>
      </w:r>
      <w:r w:rsidR="0028275F" w:rsidRPr="077188F2">
        <w:rPr>
          <w:rFonts w:eastAsiaTheme="minorEastAsia"/>
          <w:color w:val="auto"/>
          <w:sz w:val="22"/>
          <w:szCs w:val="22"/>
        </w:rPr>
        <w:t xml:space="preserve"> descritos en el </w:t>
      </w:r>
      <w:r w:rsidR="00067749" w:rsidRPr="077188F2">
        <w:rPr>
          <w:rFonts w:eastAsiaTheme="minorEastAsia"/>
          <w:color w:val="auto"/>
          <w:sz w:val="22"/>
          <w:szCs w:val="22"/>
        </w:rPr>
        <w:t xml:space="preserve">Titulo 2, </w:t>
      </w:r>
      <w:r w:rsidR="00067749" w:rsidRPr="077188F2">
        <w:rPr>
          <w:rFonts w:eastAsiaTheme="minorEastAsia"/>
          <w:sz w:val="22"/>
          <w:szCs w:val="22"/>
        </w:rPr>
        <w:t>Capítulo 2, articulo 27.</w:t>
      </w:r>
    </w:p>
    <w:p w14:paraId="60BDB783" w14:textId="77777777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84" w14:textId="77777777" w:rsidR="006431B1" w:rsidRPr="00067749" w:rsidRDefault="006431B1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85" w14:textId="77777777" w:rsidR="0028275F" w:rsidRPr="00067749" w:rsidRDefault="0028275F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86" w14:textId="77777777" w:rsidR="0028275F" w:rsidRPr="00067749" w:rsidRDefault="0028275F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87" w14:textId="77777777" w:rsidR="006431B1" w:rsidRPr="00067749" w:rsidRDefault="006431B1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88" w14:textId="77777777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067749">
        <w:rPr>
          <w:rFonts w:eastAsiaTheme="minorHAnsi"/>
          <w:color w:val="auto"/>
          <w:sz w:val="22"/>
          <w:szCs w:val="22"/>
        </w:rPr>
        <w:lastRenderedPageBreak/>
        <w:t xml:space="preserve">Los designados por la administración municipal para </w:t>
      </w:r>
      <w:r w:rsidR="006431B1" w:rsidRPr="00067749">
        <w:rPr>
          <w:rFonts w:eastAsiaTheme="minorHAnsi"/>
          <w:color w:val="auto"/>
          <w:sz w:val="22"/>
          <w:szCs w:val="22"/>
        </w:rPr>
        <w:t xml:space="preserve">realizar </w:t>
      </w:r>
      <w:r w:rsidRPr="00067749">
        <w:rPr>
          <w:rFonts w:eastAsiaTheme="minorHAnsi"/>
          <w:color w:val="auto"/>
          <w:sz w:val="22"/>
          <w:szCs w:val="22"/>
        </w:rPr>
        <w:t>las funciones de:</w:t>
      </w:r>
    </w:p>
    <w:p w14:paraId="60BDB789" w14:textId="77777777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8A" w14:textId="77777777" w:rsidR="008857BE" w:rsidRPr="00067749" w:rsidRDefault="008857BE" w:rsidP="00BF6130">
      <w:pPr>
        <w:pStyle w:val="Default"/>
        <w:jc w:val="both"/>
        <w:rPr>
          <w:rFonts w:eastAsiaTheme="minorHAnsi"/>
          <w:b/>
          <w:color w:val="auto"/>
          <w:sz w:val="22"/>
          <w:szCs w:val="22"/>
        </w:rPr>
      </w:pPr>
      <w:r w:rsidRPr="00067749">
        <w:rPr>
          <w:rFonts w:eastAsiaTheme="minorHAnsi"/>
          <w:b/>
          <w:color w:val="auto"/>
          <w:sz w:val="22"/>
          <w:szCs w:val="22"/>
        </w:rPr>
        <w:t>ENLACE:</w:t>
      </w:r>
    </w:p>
    <w:p w14:paraId="60BDB78B" w14:textId="77777777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</w:p>
    <w:p w14:paraId="60BDB78C" w14:textId="36C7F7DD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067749">
        <w:rPr>
          <w:rFonts w:eastAsiaTheme="minorHAnsi"/>
          <w:color w:val="auto"/>
          <w:sz w:val="22"/>
          <w:szCs w:val="22"/>
        </w:rPr>
        <w:t xml:space="preserve">Nombre: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8D" w14:textId="3727EFE1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proofErr w:type="spellStart"/>
      <w:r w:rsidRPr="00067749">
        <w:rPr>
          <w:rFonts w:eastAsiaTheme="minorHAnsi"/>
          <w:color w:val="auto"/>
          <w:sz w:val="22"/>
          <w:szCs w:val="22"/>
        </w:rPr>
        <w:t>Nº</w:t>
      </w:r>
      <w:proofErr w:type="spellEnd"/>
      <w:r w:rsidRPr="00067749">
        <w:rPr>
          <w:rFonts w:eastAsiaTheme="minorHAnsi"/>
          <w:color w:val="auto"/>
          <w:sz w:val="22"/>
          <w:szCs w:val="22"/>
        </w:rPr>
        <w:t xml:space="preserve"> de Cedula: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8E" w14:textId="007826E6" w:rsidR="006431B1" w:rsidRPr="00067749" w:rsidRDefault="006431B1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067749">
        <w:rPr>
          <w:rFonts w:eastAsiaTheme="minorHAnsi"/>
          <w:color w:val="auto"/>
          <w:sz w:val="22"/>
          <w:szCs w:val="22"/>
        </w:rPr>
        <w:t xml:space="preserve">Cargo: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8F" w14:textId="657B3629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067749">
        <w:rPr>
          <w:rFonts w:eastAsiaTheme="minorHAnsi"/>
          <w:color w:val="auto"/>
          <w:sz w:val="22"/>
          <w:szCs w:val="22"/>
        </w:rPr>
        <w:t xml:space="preserve">Numero de contacto celular: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90" w14:textId="3188580F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067749">
        <w:rPr>
          <w:rFonts w:eastAsiaTheme="minorHAnsi"/>
          <w:color w:val="auto"/>
          <w:sz w:val="22"/>
          <w:szCs w:val="22"/>
        </w:rPr>
        <w:t xml:space="preserve">Numero de contacto fijo: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91" w14:textId="5E838144" w:rsidR="008857BE" w:rsidRPr="00067749" w:rsidRDefault="008857BE" w:rsidP="00BF6130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067749">
        <w:rPr>
          <w:rFonts w:eastAsiaTheme="minorHAnsi"/>
          <w:color w:val="auto"/>
          <w:sz w:val="22"/>
          <w:szCs w:val="22"/>
        </w:rPr>
        <w:t xml:space="preserve">Correo </w:t>
      </w:r>
      <w:r w:rsidR="006431B1" w:rsidRPr="00067749">
        <w:rPr>
          <w:rFonts w:eastAsiaTheme="minorHAnsi"/>
          <w:color w:val="auto"/>
          <w:sz w:val="22"/>
          <w:szCs w:val="22"/>
        </w:rPr>
        <w:t>electrónico institucional</w:t>
      </w:r>
      <w:r w:rsidRPr="00067749">
        <w:rPr>
          <w:rFonts w:eastAsiaTheme="minorHAnsi"/>
          <w:color w:val="auto"/>
          <w:sz w:val="22"/>
          <w:szCs w:val="22"/>
        </w:rPr>
        <w:t xml:space="preserve">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92" w14:textId="77777777" w:rsidR="0028275F" w:rsidRPr="00067749" w:rsidRDefault="0028275F" w:rsidP="00BF6130">
      <w:pPr>
        <w:pStyle w:val="Default"/>
        <w:jc w:val="both"/>
        <w:rPr>
          <w:rFonts w:eastAsiaTheme="minorHAnsi"/>
          <w:b/>
          <w:color w:val="auto"/>
          <w:sz w:val="22"/>
          <w:szCs w:val="22"/>
        </w:rPr>
      </w:pPr>
    </w:p>
    <w:p w14:paraId="60BDB793" w14:textId="77777777" w:rsidR="008857BE" w:rsidRPr="00067749" w:rsidRDefault="008857BE" w:rsidP="00BF6130">
      <w:pPr>
        <w:pStyle w:val="Default"/>
        <w:jc w:val="both"/>
        <w:rPr>
          <w:rFonts w:eastAsiaTheme="minorHAnsi"/>
          <w:b/>
          <w:color w:val="auto"/>
          <w:sz w:val="22"/>
          <w:szCs w:val="22"/>
        </w:rPr>
      </w:pPr>
      <w:r w:rsidRPr="00067749">
        <w:rPr>
          <w:rFonts w:eastAsiaTheme="minorHAnsi"/>
          <w:b/>
          <w:color w:val="auto"/>
          <w:sz w:val="22"/>
          <w:szCs w:val="22"/>
        </w:rPr>
        <w:t>RESPONSABLE:</w:t>
      </w:r>
    </w:p>
    <w:p w14:paraId="60BDB794" w14:textId="77777777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</w:p>
    <w:p w14:paraId="60BDB795" w14:textId="6A2E7D82" w:rsidR="006431B1" w:rsidRPr="00756B99" w:rsidRDefault="006431B1" w:rsidP="006431B1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756B99">
        <w:rPr>
          <w:rFonts w:eastAsiaTheme="minorHAnsi"/>
          <w:color w:val="auto"/>
          <w:sz w:val="22"/>
          <w:szCs w:val="22"/>
        </w:rPr>
        <w:t xml:space="preserve">Nombre: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96" w14:textId="6EE0BEDF" w:rsidR="006431B1" w:rsidRPr="00756B99" w:rsidRDefault="006431B1" w:rsidP="006431B1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proofErr w:type="spellStart"/>
      <w:r w:rsidRPr="00756B99">
        <w:rPr>
          <w:rFonts w:eastAsiaTheme="minorHAnsi"/>
          <w:color w:val="auto"/>
          <w:sz w:val="22"/>
          <w:szCs w:val="22"/>
        </w:rPr>
        <w:t>Nº</w:t>
      </w:r>
      <w:proofErr w:type="spellEnd"/>
      <w:r w:rsidRPr="00756B99">
        <w:rPr>
          <w:rFonts w:eastAsiaTheme="minorHAnsi"/>
          <w:color w:val="auto"/>
          <w:sz w:val="22"/>
          <w:szCs w:val="22"/>
        </w:rPr>
        <w:t xml:space="preserve"> de Cedula: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97" w14:textId="183C4303" w:rsidR="006431B1" w:rsidRPr="00756B99" w:rsidRDefault="006431B1" w:rsidP="006431B1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756B99">
        <w:rPr>
          <w:rFonts w:eastAsiaTheme="minorHAnsi"/>
          <w:color w:val="auto"/>
          <w:sz w:val="22"/>
          <w:szCs w:val="22"/>
        </w:rPr>
        <w:t xml:space="preserve">Cargo: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98" w14:textId="6424178B" w:rsidR="006431B1" w:rsidRPr="00756B99" w:rsidRDefault="006431B1" w:rsidP="006431B1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756B99">
        <w:rPr>
          <w:rFonts w:eastAsiaTheme="minorHAnsi"/>
          <w:color w:val="auto"/>
          <w:sz w:val="22"/>
          <w:szCs w:val="22"/>
        </w:rPr>
        <w:t xml:space="preserve">Numero de contacto celular: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99" w14:textId="6929A3FC" w:rsidR="006431B1" w:rsidRPr="00756B99" w:rsidRDefault="006431B1" w:rsidP="006431B1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756B99">
        <w:rPr>
          <w:rFonts w:eastAsiaTheme="minorHAnsi"/>
          <w:color w:val="auto"/>
          <w:sz w:val="22"/>
          <w:szCs w:val="22"/>
        </w:rPr>
        <w:t xml:space="preserve">Numero de contacto fijo: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9A" w14:textId="6CF13ED5" w:rsidR="006431B1" w:rsidRPr="00067749" w:rsidRDefault="006431B1" w:rsidP="006431B1">
      <w:pPr>
        <w:pStyle w:val="Default"/>
        <w:jc w:val="both"/>
        <w:rPr>
          <w:rFonts w:eastAsiaTheme="minorHAnsi"/>
          <w:color w:val="auto"/>
          <w:sz w:val="22"/>
          <w:szCs w:val="22"/>
        </w:rPr>
      </w:pPr>
      <w:r w:rsidRPr="00756B99">
        <w:rPr>
          <w:rFonts w:eastAsiaTheme="minorHAnsi"/>
          <w:color w:val="auto"/>
          <w:sz w:val="22"/>
          <w:szCs w:val="22"/>
        </w:rPr>
        <w:t>Correo electrónico institucional:</w:t>
      </w:r>
      <w:r w:rsidR="0028275F" w:rsidRPr="00756B99">
        <w:rPr>
          <w:rFonts w:eastAsiaTheme="minorHAnsi"/>
          <w:color w:val="FF0000"/>
          <w:sz w:val="22"/>
          <w:szCs w:val="22"/>
        </w:rPr>
        <w:t xml:space="preserve"> </w:t>
      </w:r>
      <w:r w:rsidR="00756B99">
        <w:rPr>
          <w:rFonts w:eastAsiaTheme="minorHAnsi"/>
          <w:color w:val="FF0000"/>
          <w:sz w:val="22"/>
          <w:szCs w:val="22"/>
        </w:rPr>
        <w:t>XXXX</w:t>
      </w:r>
    </w:p>
    <w:p w14:paraId="60BDB79B" w14:textId="77777777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</w:p>
    <w:p w14:paraId="60BDB79C" w14:textId="77777777" w:rsidR="00BF6130" w:rsidRPr="00067749" w:rsidRDefault="00BF6130" w:rsidP="00BF6130">
      <w:pPr>
        <w:pStyle w:val="Sinespaciado"/>
        <w:rPr>
          <w:rFonts w:ascii="Arial" w:hAnsi="Arial" w:cs="Arial"/>
          <w:lang w:val="es-CO"/>
        </w:rPr>
      </w:pPr>
    </w:p>
    <w:p w14:paraId="60BDB79D" w14:textId="450E6F23" w:rsidR="006431B1" w:rsidRPr="00067749" w:rsidRDefault="006431B1" w:rsidP="006431B1">
      <w:pPr>
        <w:pStyle w:val="Sinespaciado"/>
        <w:jc w:val="both"/>
        <w:rPr>
          <w:rFonts w:ascii="Arial" w:hAnsi="Arial" w:cs="Arial"/>
          <w:lang w:val="es-CO"/>
        </w:rPr>
      </w:pPr>
      <w:r w:rsidRPr="077188F2">
        <w:rPr>
          <w:rFonts w:ascii="Arial" w:hAnsi="Arial" w:cs="Arial"/>
          <w:lang w:val="es-CO"/>
        </w:rPr>
        <w:t xml:space="preserve">Por otro </w:t>
      </w:r>
      <w:r w:rsidR="205BCAFD" w:rsidRPr="077188F2">
        <w:rPr>
          <w:rFonts w:ascii="Arial" w:hAnsi="Arial" w:cs="Arial"/>
          <w:lang w:val="es-CO"/>
        </w:rPr>
        <w:t>lado,</w:t>
      </w:r>
      <w:r w:rsidRPr="077188F2">
        <w:rPr>
          <w:rFonts w:ascii="Arial" w:hAnsi="Arial" w:cs="Arial"/>
          <w:lang w:val="es-CO"/>
        </w:rPr>
        <w:t xml:space="preserve"> el municipio de </w:t>
      </w:r>
      <w:r w:rsidRPr="077188F2">
        <w:rPr>
          <w:rFonts w:ascii="Arial" w:hAnsi="Arial" w:cs="Arial"/>
          <w:color w:val="FF0000"/>
          <w:lang w:val="es-CO"/>
        </w:rPr>
        <w:t>XXXXX</w:t>
      </w:r>
      <w:r w:rsidRPr="077188F2">
        <w:rPr>
          <w:rFonts w:ascii="Arial" w:hAnsi="Arial" w:cs="Arial"/>
          <w:lang w:val="es-CO"/>
        </w:rPr>
        <w:t>, informa que posee canales de comunicación suficientes e internet, para realizar las solicitudes de Ayuda Humanitaria</w:t>
      </w:r>
      <w:r w:rsidR="0028275F" w:rsidRPr="077188F2">
        <w:rPr>
          <w:rFonts w:ascii="Arial" w:hAnsi="Arial" w:cs="Arial"/>
          <w:lang w:val="es-CO"/>
        </w:rPr>
        <w:t xml:space="preserve"> inmediata en la plataforma SI-SPAE</w:t>
      </w:r>
      <w:r w:rsidRPr="077188F2">
        <w:rPr>
          <w:rFonts w:ascii="Arial" w:hAnsi="Arial" w:cs="Arial"/>
          <w:lang w:val="es-CO"/>
        </w:rPr>
        <w:t xml:space="preserve">; Para ello dispone de un correo electrónico oficial </w:t>
      </w:r>
      <w:r w:rsidR="12AE1248" w:rsidRPr="077188F2">
        <w:rPr>
          <w:rFonts w:ascii="Arial" w:hAnsi="Arial" w:cs="Arial"/>
          <w:lang w:val="es-CO"/>
        </w:rPr>
        <w:t xml:space="preserve">institucional </w:t>
      </w:r>
      <w:r w:rsidR="12AE1248" w:rsidRPr="077188F2">
        <w:rPr>
          <w:rFonts w:ascii="Arial" w:hAnsi="Arial" w:cs="Arial"/>
          <w:color w:val="FF0000"/>
          <w:lang w:val="es-CO"/>
        </w:rPr>
        <w:t>XXX</w:t>
      </w:r>
      <w:r w:rsidRPr="077188F2">
        <w:rPr>
          <w:rFonts w:ascii="Arial" w:hAnsi="Arial" w:cs="Arial"/>
          <w:color w:val="FF0000"/>
          <w:lang w:val="es-CO"/>
        </w:rPr>
        <w:t xml:space="preserve"> </w:t>
      </w:r>
      <w:r w:rsidRPr="077188F2">
        <w:rPr>
          <w:rFonts w:ascii="Arial" w:hAnsi="Arial" w:cs="Arial"/>
          <w:lang w:val="es-CO"/>
        </w:rPr>
        <w:t>el cual será utilizado para el intercambio de información entre La Unidad</w:t>
      </w:r>
      <w:r w:rsidR="0028275F" w:rsidRPr="077188F2">
        <w:rPr>
          <w:rFonts w:ascii="Arial" w:hAnsi="Arial" w:cs="Arial"/>
          <w:lang w:val="es-CO"/>
        </w:rPr>
        <w:t>, la Gobernación</w:t>
      </w:r>
      <w:r w:rsidRPr="077188F2">
        <w:rPr>
          <w:rFonts w:ascii="Arial" w:hAnsi="Arial" w:cs="Arial"/>
          <w:lang w:val="es-CO"/>
        </w:rPr>
        <w:t xml:space="preserve"> y la alcaldía municipal, para una buena implementación del apoyo.</w:t>
      </w:r>
    </w:p>
    <w:p w14:paraId="60BDB79E" w14:textId="77777777" w:rsidR="00A460EF" w:rsidRPr="00067749" w:rsidRDefault="00A460EF" w:rsidP="006431B1">
      <w:pPr>
        <w:pStyle w:val="Sinespaciado"/>
        <w:jc w:val="both"/>
        <w:rPr>
          <w:rFonts w:ascii="Arial" w:hAnsi="Arial" w:cs="Arial"/>
          <w:lang w:val="es-CO"/>
        </w:rPr>
      </w:pPr>
    </w:p>
    <w:p w14:paraId="60BDB79F" w14:textId="77777777" w:rsidR="00A460EF" w:rsidRPr="00067749" w:rsidRDefault="00A460EF" w:rsidP="006431B1">
      <w:pPr>
        <w:pStyle w:val="Sinespaciado"/>
        <w:jc w:val="both"/>
        <w:rPr>
          <w:rFonts w:ascii="Arial" w:hAnsi="Arial" w:cs="Arial"/>
        </w:rPr>
      </w:pPr>
      <w:r w:rsidRPr="00067749">
        <w:rPr>
          <w:rFonts w:ascii="Arial" w:hAnsi="Arial" w:cs="Arial"/>
        </w:rPr>
        <w:t xml:space="preserve">Esta administración se compromete a socializar </w:t>
      </w:r>
      <w:r w:rsidR="0028275F" w:rsidRPr="00067749">
        <w:rPr>
          <w:rFonts w:ascii="Arial" w:hAnsi="Arial" w:cs="Arial"/>
        </w:rPr>
        <w:t xml:space="preserve">la estrategia de corresponsabilidad en </w:t>
      </w:r>
      <w:r w:rsidRPr="00067749">
        <w:rPr>
          <w:rFonts w:ascii="Arial" w:hAnsi="Arial" w:cs="Arial"/>
        </w:rPr>
        <w:t>apoyo subsidiario en el próximo Comité Territorial de Justicia Transici</w:t>
      </w:r>
      <w:r w:rsidR="0028275F" w:rsidRPr="00067749">
        <w:rPr>
          <w:rFonts w:ascii="Arial" w:hAnsi="Arial" w:cs="Arial"/>
        </w:rPr>
        <w:t>onal - CTJT, y el de allegar a l</w:t>
      </w:r>
      <w:r w:rsidRPr="00067749">
        <w:rPr>
          <w:rFonts w:ascii="Arial" w:hAnsi="Arial" w:cs="Arial"/>
        </w:rPr>
        <w:t>a Unidad para las Victimas, el acta de socialización con el listado de asistencia.</w:t>
      </w:r>
    </w:p>
    <w:p w14:paraId="60BDB7A0" w14:textId="77777777" w:rsidR="00A460EF" w:rsidRPr="00067749" w:rsidRDefault="00A460EF" w:rsidP="006431B1">
      <w:pPr>
        <w:pStyle w:val="Sinespaciado"/>
        <w:jc w:val="both"/>
        <w:rPr>
          <w:rFonts w:ascii="Arial" w:hAnsi="Arial" w:cs="Arial"/>
        </w:rPr>
      </w:pPr>
    </w:p>
    <w:p w14:paraId="60BDB7A1" w14:textId="77777777" w:rsidR="00A460EF" w:rsidRPr="00067749" w:rsidRDefault="00A460EF" w:rsidP="006431B1">
      <w:pPr>
        <w:pStyle w:val="Sinespaciado"/>
        <w:jc w:val="both"/>
        <w:rPr>
          <w:rFonts w:ascii="Arial" w:hAnsi="Arial" w:cs="Arial"/>
        </w:rPr>
      </w:pPr>
    </w:p>
    <w:p w14:paraId="60BDB7A2" w14:textId="7C48258C" w:rsidR="00A460EF" w:rsidRPr="00756B99" w:rsidRDefault="00A460EF" w:rsidP="006431B1">
      <w:pPr>
        <w:pStyle w:val="Sinespaciado"/>
        <w:jc w:val="both"/>
        <w:rPr>
          <w:rFonts w:ascii="Arial" w:hAnsi="Arial" w:cs="Arial"/>
        </w:rPr>
      </w:pPr>
      <w:r w:rsidRPr="077188F2">
        <w:rPr>
          <w:rFonts w:ascii="Arial" w:hAnsi="Arial" w:cs="Arial"/>
        </w:rPr>
        <w:t xml:space="preserve">Se firma a los </w:t>
      </w:r>
      <w:r w:rsidR="00756B99" w:rsidRPr="077188F2">
        <w:rPr>
          <w:rFonts w:ascii="Arial" w:hAnsi="Arial" w:cs="Arial"/>
          <w:color w:val="FF0000"/>
        </w:rPr>
        <w:t xml:space="preserve">XX </w:t>
      </w:r>
      <w:r w:rsidRPr="077188F2">
        <w:rPr>
          <w:rFonts w:ascii="Arial" w:hAnsi="Arial" w:cs="Arial"/>
        </w:rPr>
        <w:t>días del mes de</w:t>
      </w:r>
      <w:r w:rsidRPr="077188F2">
        <w:rPr>
          <w:rFonts w:ascii="Arial" w:hAnsi="Arial" w:cs="Arial"/>
          <w:color w:val="FF0000"/>
        </w:rPr>
        <w:t xml:space="preserve"> </w:t>
      </w:r>
      <w:r w:rsidR="00756B99" w:rsidRPr="077188F2">
        <w:rPr>
          <w:rFonts w:ascii="Arial" w:hAnsi="Arial" w:cs="Arial"/>
          <w:color w:val="FF0000"/>
        </w:rPr>
        <w:t xml:space="preserve">XXX </w:t>
      </w:r>
      <w:r w:rsidR="0028275F" w:rsidRPr="077188F2">
        <w:rPr>
          <w:rFonts w:ascii="Arial" w:hAnsi="Arial" w:cs="Arial"/>
        </w:rPr>
        <w:t xml:space="preserve">de </w:t>
      </w:r>
      <w:r w:rsidR="00652421" w:rsidRPr="077188F2">
        <w:rPr>
          <w:rFonts w:ascii="Arial" w:hAnsi="Arial" w:cs="Arial"/>
        </w:rPr>
        <w:t>202</w:t>
      </w:r>
      <w:r w:rsidR="00D973C9">
        <w:rPr>
          <w:rFonts w:ascii="Arial" w:hAnsi="Arial" w:cs="Arial"/>
        </w:rPr>
        <w:t>4</w:t>
      </w:r>
      <w:r w:rsidRPr="077188F2">
        <w:rPr>
          <w:rFonts w:ascii="Arial" w:hAnsi="Arial" w:cs="Arial"/>
        </w:rPr>
        <w:t>.</w:t>
      </w:r>
    </w:p>
    <w:p w14:paraId="60BDB7A3" w14:textId="77777777" w:rsidR="00A460EF" w:rsidRPr="00756B99" w:rsidRDefault="00A460EF" w:rsidP="006431B1">
      <w:pPr>
        <w:pStyle w:val="Sinespaciado"/>
        <w:jc w:val="both"/>
        <w:rPr>
          <w:rFonts w:ascii="Arial" w:hAnsi="Arial" w:cs="Arial"/>
        </w:rPr>
      </w:pPr>
    </w:p>
    <w:p w14:paraId="60BDB7A4" w14:textId="77777777" w:rsidR="00A460EF" w:rsidRPr="00756B99" w:rsidRDefault="00A460EF" w:rsidP="006431B1">
      <w:pPr>
        <w:pStyle w:val="Sinespaciado"/>
        <w:jc w:val="both"/>
        <w:rPr>
          <w:rFonts w:ascii="Arial" w:hAnsi="Arial" w:cs="Arial"/>
        </w:rPr>
      </w:pPr>
    </w:p>
    <w:p w14:paraId="60BDB7A5" w14:textId="77777777" w:rsidR="00A460EF" w:rsidRPr="00756B99" w:rsidRDefault="00A460EF" w:rsidP="006431B1">
      <w:pPr>
        <w:pStyle w:val="Sinespaciado"/>
        <w:jc w:val="both"/>
        <w:rPr>
          <w:rFonts w:ascii="Arial" w:hAnsi="Arial" w:cs="Arial"/>
        </w:rPr>
      </w:pPr>
    </w:p>
    <w:p w14:paraId="60BDB7A6" w14:textId="77777777" w:rsidR="00A460EF" w:rsidRPr="00756B99" w:rsidRDefault="00A460EF" w:rsidP="006431B1">
      <w:pPr>
        <w:pStyle w:val="Sinespaciado"/>
        <w:jc w:val="both"/>
        <w:rPr>
          <w:rFonts w:ascii="Arial" w:hAnsi="Arial" w:cs="Arial"/>
        </w:rPr>
      </w:pPr>
    </w:p>
    <w:p w14:paraId="60BDB7A7" w14:textId="77777777" w:rsidR="00A460EF" w:rsidRPr="00756B99" w:rsidRDefault="00A460EF" w:rsidP="006431B1">
      <w:pPr>
        <w:pStyle w:val="Sinespaciado"/>
        <w:jc w:val="both"/>
        <w:rPr>
          <w:rFonts w:ascii="Arial" w:hAnsi="Arial" w:cs="Arial"/>
        </w:rPr>
      </w:pPr>
    </w:p>
    <w:p w14:paraId="60BDB7A8" w14:textId="77777777" w:rsidR="00A460EF" w:rsidRPr="00756B99" w:rsidRDefault="00A460EF" w:rsidP="006431B1">
      <w:pPr>
        <w:pStyle w:val="Sinespaciado"/>
        <w:jc w:val="both"/>
        <w:rPr>
          <w:rFonts w:ascii="Arial" w:hAnsi="Arial" w:cs="Arial"/>
        </w:rPr>
      </w:pPr>
      <w:r w:rsidRPr="00756B99">
        <w:rPr>
          <w:rFonts w:ascii="Arial" w:hAnsi="Arial" w:cs="Arial"/>
        </w:rPr>
        <w:t>____________________________________</w:t>
      </w:r>
    </w:p>
    <w:p w14:paraId="60BDB7A9" w14:textId="41F84044" w:rsidR="00D80719" w:rsidRPr="00756B99" w:rsidRDefault="00756B99" w:rsidP="006431B1">
      <w:pPr>
        <w:pStyle w:val="Sinespaciad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XXXXXXX</w:t>
      </w:r>
    </w:p>
    <w:p w14:paraId="60BDB7AA" w14:textId="307FCFAC" w:rsidR="00A460EF" w:rsidRPr="00067749" w:rsidRDefault="00D80719" w:rsidP="006431B1">
      <w:pPr>
        <w:pStyle w:val="Sinespaciado"/>
        <w:jc w:val="both"/>
        <w:rPr>
          <w:rFonts w:ascii="Arial" w:hAnsi="Arial" w:cs="Arial"/>
          <w:color w:val="FF0000"/>
        </w:rPr>
      </w:pPr>
      <w:r w:rsidRPr="00756B99">
        <w:rPr>
          <w:rFonts w:ascii="Arial" w:hAnsi="Arial" w:cs="Arial"/>
          <w:color w:val="FF0000"/>
        </w:rPr>
        <w:t xml:space="preserve">Alcalde municipal de </w:t>
      </w:r>
      <w:r w:rsidR="00756B99">
        <w:rPr>
          <w:rFonts w:ascii="Arial" w:hAnsi="Arial" w:cs="Arial"/>
          <w:color w:val="FF0000"/>
        </w:rPr>
        <w:t>XXXXX</w:t>
      </w:r>
    </w:p>
    <w:p w14:paraId="60BDB7AB" w14:textId="77777777" w:rsidR="006431B1" w:rsidRPr="00067749" w:rsidRDefault="006431B1" w:rsidP="006431B1">
      <w:pPr>
        <w:pStyle w:val="Sinespaciado"/>
        <w:jc w:val="both"/>
        <w:rPr>
          <w:rFonts w:ascii="Arial" w:hAnsi="Arial" w:cs="Arial"/>
          <w:lang w:val="es-CO"/>
        </w:rPr>
      </w:pPr>
    </w:p>
    <w:p w14:paraId="60BDB7AC" w14:textId="77777777" w:rsidR="00AA5B62" w:rsidRPr="00067749" w:rsidRDefault="00AA5B62" w:rsidP="006431B1">
      <w:pPr>
        <w:pStyle w:val="Sinespaciado"/>
        <w:jc w:val="both"/>
        <w:rPr>
          <w:rFonts w:ascii="Arial" w:hAnsi="Arial" w:cs="Arial"/>
          <w:b/>
          <w:color w:val="FF0000"/>
          <w:lang w:val="es-CO"/>
        </w:rPr>
      </w:pPr>
    </w:p>
    <w:sectPr w:rsidR="00AA5B62" w:rsidRPr="00067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1380F"/>
    <w:multiLevelType w:val="hybridMultilevel"/>
    <w:tmpl w:val="10B0A1AC"/>
    <w:lvl w:ilvl="0" w:tplc="240A0017">
      <w:start w:val="1"/>
      <w:numFmt w:val="lowerLetter"/>
      <w:lvlText w:val="%1)"/>
      <w:lvlJc w:val="left"/>
      <w:pPr>
        <w:ind w:left="1069" w:hanging="360"/>
      </w:pPr>
      <w:rPr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864" w:hanging="360"/>
      </w:pPr>
    </w:lvl>
    <w:lvl w:ilvl="2" w:tplc="240A001B" w:tentative="1">
      <w:start w:val="1"/>
      <w:numFmt w:val="lowerRoman"/>
      <w:lvlText w:val="%3."/>
      <w:lvlJc w:val="right"/>
      <w:pPr>
        <w:ind w:left="2584" w:hanging="180"/>
      </w:pPr>
    </w:lvl>
    <w:lvl w:ilvl="3" w:tplc="240A000F" w:tentative="1">
      <w:start w:val="1"/>
      <w:numFmt w:val="decimal"/>
      <w:lvlText w:val="%4."/>
      <w:lvlJc w:val="left"/>
      <w:pPr>
        <w:ind w:left="3304" w:hanging="360"/>
      </w:pPr>
    </w:lvl>
    <w:lvl w:ilvl="4" w:tplc="240A0019" w:tentative="1">
      <w:start w:val="1"/>
      <w:numFmt w:val="lowerLetter"/>
      <w:lvlText w:val="%5."/>
      <w:lvlJc w:val="left"/>
      <w:pPr>
        <w:ind w:left="4024" w:hanging="360"/>
      </w:pPr>
    </w:lvl>
    <w:lvl w:ilvl="5" w:tplc="240A001B" w:tentative="1">
      <w:start w:val="1"/>
      <w:numFmt w:val="lowerRoman"/>
      <w:lvlText w:val="%6."/>
      <w:lvlJc w:val="right"/>
      <w:pPr>
        <w:ind w:left="4744" w:hanging="180"/>
      </w:pPr>
    </w:lvl>
    <w:lvl w:ilvl="6" w:tplc="240A000F" w:tentative="1">
      <w:start w:val="1"/>
      <w:numFmt w:val="decimal"/>
      <w:lvlText w:val="%7."/>
      <w:lvlJc w:val="left"/>
      <w:pPr>
        <w:ind w:left="5464" w:hanging="360"/>
      </w:pPr>
    </w:lvl>
    <w:lvl w:ilvl="7" w:tplc="240A0019" w:tentative="1">
      <w:start w:val="1"/>
      <w:numFmt w:val="lowerLetter"/>
      <w:lvlText w:val="%8."/>
      <w:lvlJc w:val="left"/>
      <w:pPr>
        <w:ind w:left="6184" w:hanging="360"/>
      </w:pPr>
    </w:lvl>
    <w:lvl w:ilvl="8" w:tplc="24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7A48765F"/>
    <w:multiLevelType w:val="hybridMultilevel"/>
    <w:tmpl w:val="F3D6E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96946">
    <w:abstractNumId w:val="0"/>
  </w:num>
  <w:num w:numId="2" w16cid:durableId="184739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30"/>
    <w:rsid w:val="00067749"/>
    <w:rsid w:val="001B54D7"/>
    <w:rsid w:val="001D6EA1"/>
    <w:rsid w:val="0028275F"/>
    <w:rsid w:val="006431B1"/>
    <w:rsid w:val="00652421"/>
    <w:rsid w:val="006E5D26"/>
    <w:rsid w:val="00756B99"/>
    <w:rsid w:val="008857BE"/>
    <w:rsid w:val="009170A8"/>
    <w:rsid w:val="00A460EF"/>
    <w:rsid w:val="00A637CF"/>
    <w:rsid w:val="00AA5B62"/>
    <w:rsid w:val="00B54F95"/>
    <w:rsid w:val="00BF6130"/>
    <w:rsid w:val="00D333A1"/>
    <w:rsid w:val="00D80719"/>
    <w:rsid w:val="00D973C9"/>
    <w:rsid w:val="039FB2A2"/>
    <w:rsid w:val="077188F2"/>
    <w:rsid w:val="12AE1248"/>
    <w:rsid w:val="1F465A84"/>
    <w:rsid w:val="205BCAFD"/>
    <w:rsid w:val="2EBAE320"/>
    <w:rsid w:val="34BF7347"/>
    <w:rsid w:val="6099062B"/>
    <w:rsid w:val="71556F5B"/>
    <w:rsid w:val="758A3A35"/>
    <w:rsid w:val="7803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B76F"/>
  <w15:chartTrackingRefBased/>
  <w15:docId w15:val="{ACD46C21-2807-4652-9CBB-ABE0C10B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857BE"/>
    <w:pPr>
      <w:keepNext/>
      <w:jc w:val="right"/>
      <w:outlineLvl w:val="1"/>
    </w:pPr>
    <w:rPr>
      <w:rFonts w:ascii="Arial" w:eastAsia="Calibri" w:hAnsi="Arial"/>
      <w:b/>
      <w:bCs/>
      <w:spacing w:val="-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6130"/>
    <w:pPr>
      <w:spacing w:after="0" w:line="240" w:lineRule="auto"/>
    </w:pPr>
  </w:style>
  <w:style w:type="paragraph" w:customStyle="1" w:styleId="Default">
    <w:name w:val="Default"/>
    <w:rsid w:val="00BF61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/>
    </w:rPr>
  </w:style>
  <w:style w:type="character" w:customStyle="1" w:styleId="Ttulo2Car">
    <w:name w:val="Título 2 Car"/>
    <w:basedOn w:val="Fuentedeprrafopredeter"/>
    <w:link w:val="Ttulo2"/>
    <w:uiPriority w:val="99"/>
    <w:rsid w:val="008857BE"/>
    <w:rPr>
      <w:rFonts w:ascii="Arial" w:eastAsia="Calibri" w:hAnsi="Arial" w:cs="Times New Roman"/>
      <w:b/>
      <w:bCs/>
      <w:spacing w:val="-3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ED0D750333A24E9D1803078EDAD574" ma:contentTypeVersion="7" ma:contentTypeDescription="Crear nuevo documento." ma:contentTypeScope="" ma:versionID="b2ec554cad67cf1906e633a05ca036c2">
  <xsd:schema xmlns:xsd="http://www.w3.org/2001/XMLSchema" xmlns:xs="http://www.w3.org/2001/XMLSchema" xmlns:p="http://schemas.microsoft.com/office/2006/metadata/properties" xmlns:ns3="398727f8-ce4a-4912-ab53-c4a1e6497e37" targetNamespace="http://schemas.microsoft.com/office/2006/metadata/properties" ma:root="true" ma:fieldsID="4ec2cac9014cdc576ba29ac412f884ca" ns3:_="">
    <xsd:import namespace="398727f8-ce4a-4912-ab53-c4a1e6497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27f8-ce4a-4912-ab53-c4a1e649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A62BB-CB1F-42FD-B480-499DF8CC3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727f8-ce4a-4912-ab53-c4a1e6497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511EE-AA69-420C-9C5C-5EE85839B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7CDF7-6F30-4331-8256-09A4232127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3392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Granja</dc:creator>
  <cp:keywords/>
  <dc:description/>
  <cp:lastModifiedBy>Yaneth Liliana Giraldo Camargo</cp:lastModifiedBy>
  <cp:revision>3</cp:revision>
  <dcterms:created xsi:type="dcterms:W3CDTF">2024-05-08T18:13:00Z</dcterms:created>
  <dcterms:modified xsi:type="dcterms:W3CDTF">2024-05-08T22:57:00Z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0x01010080ED0D750333A24E9D1803078EDAD574</vt:lpwstr>
  </property>
</Properties>
</file>