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49C6" w14:textId="45CB183D" w:rsidR="002129FF" w:rsidRPr="00316E44" w:rsidRDefault="008D390A" w:rsidP="00444629">
      <w:pPr>
        <w:spacing w:after="0"/>
        <w:rPr>
          <w:rFonts w:ascii="Verdana" w:hAnsi="Verdana" w:cs="Arial"/>
          <w:sz w:val="20"/>
          <w:szCs w:val="20"/>
        </w:rPr>
      </w:pPr>
      <w:commentRangeStart w:id="0"/>
      <w:commentRangeEnd w:id="0"/>
      <w:r w:rsidRPr="00316E44">
        <w:rPr>
          <w:rStyle w:val="Refdecomentario"/>
          <w:rFonts w:ascii="Times New Roman" w:eastAsia="Times New Roman" w:hAnsi="Times New Roman"/>
          <w:lang w:val="es-ES" w:eastAsia="es-ES"/>
        </w:rPr>
        <w:commentReference w:id="0"/>
      </w:r>
    </w:p>
    <w:p w14:paraId="4F97470E" w14:textId="77777777" w:rsidR="002813B1" w:rsidRPr="00316E44" w:rsidRDefault="002813B1" w:rsidP="00444629">
      <w:pPr>
        <w:spacing w:after="0"/>
        <w:rPr>
          <w:rFonts w:ascii="Verdana" w:hAnsi="Verdana" w:cs="Arial"/>
          <w:sz w:val="20"/>
          <w:szCs w:val="20"/>
        </w:rPr>
      </w:pPr>
    </w:p>
    <w:sdt>
      <w:sdtPr>
        <w:rPr>
          <w:rFonts w:ascii="Cambria" w:eastAsia="Cambria" w:hAnsi="Cambria" w:cs="Times New Roman"/>
          <w:color w:val="auto"/>
          <w:sz w:val="24"/>
          <w:szCs w:val="24"/>
          <w:lang w:val="es-ES" w:eastAsia="en-US"/>
        </w:rPr>
        <w:id w:val="1674754158"/>
        <w:docPartObj>
          <w:docPartGallery w:val="Table of Contents"/>
          <w:docPartUnique/>
        </w:docPartObj>
      </w:sdtPr>
      <w:sdtContent>
        <w:p w14:paraId="0D3F6A13" w14:textId="327C1144" w:rsidR="004D7908" w:rsidRPr="00316E44" w:rsidRDefault="004D7908">
          <w:pPr>
            <w:pStyle w:val="TtuloTDC"/>
            <w:rPr>
              <w:color w:val="auto"/>
              <w:lang w:val="es-ES"/>
            </w:rPr>
          </w:pPr>
          <w:r w:rsidRPr="00316E44">
            <w:rPr>
              <w:color w:val="auto"/>
              <w:lang w:val="es-ES"/>
            </w:rPr>
            <w:t>Tabla de contenido</w:t>
          </w:r>
        </w:p>
        <w:p w14:paraId="52BEA736" w14:textId="77777777" w:rsidR="0027097D" w:rsidRPr="00316E44" w:rsidRDefault="0027097D" w:rsidP="0027097D">
          <w:pPr>
            <w:rPr>
              <w:lang w:val="es-ES" w:eastAsia="es-CO"/>
            </w:rPr>
          </w:pPr>
        </w:p>
        <w:p w14:paraId="54D51F3C" w14:textId="1D3D93DF" w:rsidR="004D7908" w:rsidRPr="00316E44" w:rsidRDefault="004D7908">
          <w:pPr>
            <w:pStyle w:val="TDC1"/>
          </w:pPr>
          <w:r w:rsidRPr="00316E44">
            <w:rPr>
              <w:b/>
              <w:bCs/>
            </w:rPr>
            <w:t>OBJETIVO</w:t>
          </w:r>
          <w:r w:rsidRPr="00316E44">
            <w:ptab w:relativeTo="margin" w:alignment="right" w:leader="dot"/>
          </w:r>
          <w:r w:rsidRPr="00316E44">
            <w:rPr>
              <w:b/>
              <w:bCs/>
              <w:lang w:val="es-ES"/>
            </w:rPr>
            <w:t>2</w:t>
          </w:r>
        </w:p>
        <w:p w14:paraId="3D97C91E" w14:textId="4B168E0B" w:rsidR="004D7908" w:rsidRPr="00316E44" w:rsidRDefault="004D7908">
          <w:pPr>
            <w:pStyle w:val="TDC1"/>
          </w:pPr>
          <w:r w:rsidRPr="00316E44">
            <w:rPr>
              <w:b/>
              <w:bCs/>
            </w:rPr>
            <w:t>ALCANCE</w:t>
          </w:r>
          <w:r w:rsidRPr="00316E44">
            <w:ptab w:relativeTo="margin" w:alignment="right" w:leader="dot"/>
          </w:r>
          <w:r w:rsidRPr="00316E44">
            <w:rPr>
              <w:b/>
              <w:bCs/>
              <w:lang w:val="es-ES"/>
            </w:rPr>
            <w:t>2</w:t>
          </w:r>
        </w:p>
        <w:p w14:paraId="030B5CEB" w14:textId="34E9B8DE" w:rsidR="004D7908" w:rsidRPr="00316E44" w:rsidRDefault="004D7908" w:rsidP="004D7908">
          <w:pPr>
            <w:pStyle w:val="TDC2"/>
            <w:ind w:left="0"/>
          </w:pPr>
          <w:r w:rsidRPr="00316E44">
            <w:rPr>
              <w:b/>
              <w:bCs/>
            </w:rPr>
            <w:t>DEFINICIONES</w:t>
          </w:r>
          <w:r w:rsidRPr="00316E44">
            <w:ptab w:relativeTo="margin" w:alignment="right" w:leader="dot"/>
          </w:r>
          <w:r w:rsidRPr="00316E44">
            <w:rPr>
              <w:b/>
              <w:bCs/>
              <w:lang w:val="es-ES"/>
            </w:rPr>
            <w:t>2</w:t>
          </w:r>
        </w:p>
        <w:p w14:paraId="211039BB" w14:textId="3BD7702B" w:rsidR="004D7908" w:rsidRPr="00316E44" w:rsidRDefault="004D7908" w:rsidP="004D7908">
          <w:pPr>
            <w:pStyle w:val="TDC3"/>
            <w:ind w:left="0"/>
            <w:rPr>
              <w:b/>
              <w:bCs/>
              <w:lang w:val="es-ES"/>
            </w:rPr>
          </w:pPr>
          <w:r w:rsidRPr="00316E44">
            <w:rPr>
              <w:b/>
              <w:bCs/>
            </w:rPr>
            <w:t>ACTIVIDADES</w:t>
          </w:r>
          <w:r w:rsidRPr="00316E44">
            <w:ptab w:relativeTo="margin" w:alignment="right" w:leader="dot"/>
          </w:r>
          <w:r w:rsidRPr="00316E44">
            <w:rPr>
              <w:b/>
              <w:bCs/>
              <w:lang w:val="es-ES"/>
            </w:rPr>
            <w:t>3</w:t>
          </w:r>
        </w:p>
        <w:p w14:paraId="06838BC9" w14:textId="680B502F" w:rsidR="004D7908" w:rsidRPr="00316E44" w:rsidRDefault="004D7908" w:rsidP="004D7908">
          <w:pPr>
            <w:pStyle w:val="TDC1"/>
          </w:pPr>
          <w:r w:rsidRPr="00316E44">
            <w:rPr>
              <w:b/>
              <w:bCs/>
            </w:rPr>
            <w:t>RECOMENDACIONES</w:t>
          </w:r>
          <w:r w:rsidRPr="00316E44">
            <w:ptab w:relativeTo="margin" w:alignment="right" w:leader="dot"/>
          </w:r>
          <w:r w:rsidRPr="00316E44">
            <w:rPr>
              <w:b/>
              <w:bCs/>
              <w:lang w:val="es-ES"/>
            </w:rPr>
            <w:t>3</w:t>
          </w:r>
        </w:p>
        <w:p w14:paraId="7F96511E" w14:textId="6AC2B9D5" w:rsidR="004D7908" w:rsidRPr="00316E44" w:rsidRDefault="004D7908" w:rsidP="004D7908">
          <w:pPr>
            <w:pStyle w:val="TDC1"/>
          </w:pPr>
          <w:r w:rsidRPr="00316E44">
            <w:rPr>
              <w:b/>
              <w:bCs/>
            </w:rPr>
            <w:t>ANEXOS</w:t>
          </w:r>
          <w:r w:rsidRPr="00316E44">
            <w:ptab w:relativeTo="margin" w:alignment="right" w:leader="dot"/>
          </w:r>
          <w:r w:rsidRPr="00316E44">
            <w:t>3</w:t>
          </w:r>
        </w:p>
        <w:p w14:paraId="3D457A0D" w14:textId="7C7B6CFE" w:rsidR="00956727" w:rsidRPr="00316E44" w:rsidRDefault="00956727" w:rsidP="00956727">
          <w:pPr>
            <w:pStyle w:val="TDC1"/>
          </w:pPr>
          <w:r w:rsidRPr="00316E44">
            <w:rPr>
              <w:b/>
              <w:bCs/>
            </w:rPr>
            <w:t>CONTROL DE CAMBIOS</w:t>
          </w:r>
          <w:r w:rsidRPr="00316E44">
            <w:ptab w:relativeTo="margin" w:alignment="right" w:leader="dot"/>
          </w:r>
          <w:r w:rsidRPr="00316E44">
            <w:rPr>
              <w:b/>
              <w:bCs/>
              <w:lang w:val="es-ES"/>
            </w:rPr>
            <w:t>3</w:t>
          </w:r>
        </w:p>
        <w:p w14:paraId="4B60024F" w14:textId="77777777" w:rsidR="00956727" w:rsidRPr="00316E44" w:rsidRDefault="00956727" w:rsidP="00956727">
          <w:pPr>
            <w:rPr>
              <w:lang w:val="es-CO" w:eastAsia="es-CO"/>
            </w:rPr>
          </w:pPr>
        </w:p>
        <w:p w14:paraId="65F84EC1" w14:textId="5B993EEF" w:rsidR="004D7908" w:rsidRPr="00316E44" w:rsidRDefault="00000000" w:rsidP="004D7908">
          <w:pPr>
            <w:rPr>
              <w:lang w:val="es-ES" w:eastAsia="es-CO"/>
            </w:rPr>
          </w:pPr>
        </w:p>
      </w:sdtContent>
    </w:sdt>
    <w:p w14:paraId="1CA107EC" w14:textId="05BE69CC" w:rsidR="0000483F" w:rsidRPr="00316E44" w:rsidRDefault="0000483F" w:rsidP="00444629">
      <w:pPr>
        <w:spacing w:after="0"/>
        <w:rPr>
          <w:rFonts w:ascii="Verdana" w:hAnsi="Verdana" w:cs="Arial"/>
          <w:sz w:val="20"/>
          <w:szCs w:val="20"/>
        </w:rPr>
      </w:pPr>
    </w:p>
    <w:p w14:paraId="74ED7BE4" w14:textId="55B6D04A" w:rsidR="0000483F" w:rsidRPr="00316E44" w:rsidRDefault="0000483F" w:rsidP="00444629">
      <w:pPr>
        <w:spacing w:after="0"/>
        <w:rPr>
          <w:rFonts w:ascii="Verdana" w:hAnsi="Verdana" w:cs="Arial"/>
          <w:sz w:val="20"/>
          <w:szCs w:val="20"/>
        </w:rPr>
      </w:pPr>
    </w:p>
    <w:p w14:paraId="61618777" w14:textId="7596BF3D" w:rsidR="0000483F" w:rsidRPr="00316E44" w:rsidRDefault="0000483F" w:rsidP="00444629">
      <w:pPr>
        <w:spacing w:after="0"/>
        <w:rPr>
          <w:rFonts w:ascii="Verdana" w:hAnsi="Verdana" w:cs="Arial"/>
          <w:sz w:val="20"/>
          <w:szCs w:val="20"/>
        </w:rPr>
      </w:pPr>
    </w:p>
    <w:p w14:paraId="33336D4A" w14:textId="6BBC5E23" w:rsidR="0000483F" w:rsidRPr="00316E44" w:rsidRDefault="0000483F" w:rsidP="00444629">
      <w:pPr>
        <w:spacing w:after="0"/>
        <w:rPr>
          <w:rFonts w:ascii="Verdana" w:hAnsi="Verdana" w:cs="Arial"/>
          <w:sz w:val="20"/>
          <w:szCs w:val="20"/>
        </w:rPr>
      </w:pPr>
    </w:p>
    <w:p w14:paraId="34744526" w14:textId="77777777" w:rsidR="00C83741" w:rsidRPr="00316E44" w:rsidRDefault="00C83741" w:rsidP="00444629">
      <w:pPr>
        <w:spacing w:after="0"/>
        <w:rPr>
          <w:rFonts w:ascii="Verdana" w:hAnsi="Verdana" w:cs="Arial"/>
          <w:sz w:val="20"/>
          <w:szCs w:val="20"/>
        </w:rPr>
      </w:pPr>
    </w:p>
    <w:p w14:paraId="7BE76BCF" w14:textId="781FEBBE" w:rsidR="0000483F" w:rsidRPr="00316E44" w:rsidRDefault="0000483F" w:rsidP="00444629">
      <w:pPr>
        <w:spacing w:after="0"/>
        <w:rPr>
          <w:rFonts w:ascii="Verdana" w:hAnsi="Verdana" w:cs="Arial"/>
          <w:sz w:val="20"/>
          <w:szCs w:val="20"/>
        </w:rPr>
      </w:pPr>
    </w:p>
    <w:p w14:paraId="7BA3C87D" w14:textId="554F55F9" w:rsidR="0000483F" w:rsidRPr="00316E44" w:rsidRDefault="0000483F" w:rsidP="00444629">
      <w:pPr>
        <w:spacing w:after="0"/>
        <w:rPr>
          <w:rFonts w:ascii="Verdana" w:hAnsi="Verdana" w:cs="Arial"/>
          <w:sz w:val="20"/>
          <w:szCs w:val="20"/>
        </w:rPr>
      </w:pPr>
    </w:p>
    <w:p w14:paraId="5FA22751" w14:textId="6ACB43E9" w:rsidR="0000483F" w:rsidRPr="00316E44" w:rsidRDefault="0000483F" w:rsidP="00444629">
      <w:pPr>
        <w:spacing w:after="0"/>
        <w:rPr>
          <w:rFonts w:ascii="Verdana" w:hAnsi="Verdana" w:cs="Arial"/>
          <w:sz w:val="20"/>
          <w:szCs w:val="20"/>
        </w:rPr>
      </w:pPr>
    </w:p>
    <w:p w14:paraId="12F93AA8" w14:textId="7E4BFFFE" w:rsidR="0000483F" w:rsidRPr="00316E44" w:rsidRDefault="0000483F" w:rsidP="00444629">
      <w:pPr>
        <w:spacing w:after="0"/>
        <w:rPr>
          <w:rFonts w:ascii="Verdana" w:hAnsi="Verdana" w:cs="Arial"/>
          <w:sz w:val="20"/>
          <w:szCs w:val="20"/>
        </w:rPr>
      </w:pPr>
    </w:p>
    <w:p w14:paraId="44A89F9F" w14:textId="1400636B" w:rsidR="0000483F" w:rsidRPr="00316E44" w:rsidRDefault="0000483F" w:rsidP="00444629">
      <w:pPr>
        <w:spacing w:after="0"/>
        <w:rPr>
          <w:rFonts w:ascii="Verdana" w:hAnsi="Verdana" w:cs="Arial"/>
          <w:sz w:val="20"/>
          <w:szCs w:val="20"/>
        </w:rPr>
      </w:pPr>
    </w:p>
    <w:p w14:paraId="6DF2AC60" w14:textId="11CBDB09" w:rsidR="0000483F" w:rsidRPr="00316E44" w:rsidRDefault="0000483F" w:rsidP="00444629">
      <w:pPr>
        <w:spacing w:after="0"/>
        <w:rPr>
          <w:rFonts w:ascii="Verdana" w:hAnsi="Verdana" w:cs="Arial"/>
          <w:sz w:val="20"/>
          <w:szCs w:val="20"/>
        </w:rPr>
      </w:pPr>
    </w:p>
    <w:p w14:paraId="549E9AFF" w14:textId="63AD015A" w:rsidR="0000483F" w:rsidRPr="00316E44" w:rsidRDefault="0000483F" w:rsidP="00444629">
      <w:pPr>
        <w:spacing w:after="0"/>
        <w:rPr>
          <w:rFonts w:ascii="Verdana" w:hAnsi="Verdana" w:cs="Arial"/>
          <w:sz w:val="20"/>
          <w:szCs w:val="20"/>
        </w:rPr>
      </w:pPr>
    </w:p>
    <w:p w14:paraId="7F19B5EE" w14:textId="18655C4E" w:rsidR="0000483F" w:rsidRPr="00316E44" w:rsidRDefault="0000483F" w:rsidP="00444629">
      <w:pPr>
        <w:spacing w:after="0"/>
        <w:rPr>
          <w:rFonts w:ascii="Verdana" w:hAnsi="Verdana" w:cs="Arial"/>
          <w:sz w:val="20"/>
          <w:szCs w:val="20"/>
        </w:rPr>
      </w:pPr>
    </w:p>
    <w:p w14:paraId="0392E518" w14:textId="356B8B82" w:rsidR="0000483F" w:rsidRPr="00316E44" w:rsidRDefault="0000483F" w:rsidP="00444629">
      <w:pPr>
        <w:spacing w:after="0"/>
        <w:rPr>
          <w:rFonts w:ascii="Verdana" w:hAnsi="Verdana" w:cs="Arial"/>
          <w:sz w:val="20"/>
          <w:szCs w:val="20"/>
        </w:rPr>
      </w:pPr>
    </w:p>
    <w:p w14:paraId="79D3C022" w14:textId="4B7EC43F" w:rsidR="0000483F" w:rsidRPr="00316E44" w:rsidRDefault="0000483F" w:rsidP="00444629">
      <w:pPr>
        <w:spacing w:after="0"/>
        <w:rPr>
          <w:rFonts w:ascii="Verdana" w:hAnsi="Verdana" w:cs="Arial"/>
          <w:sz w:val="20"/>
          <w:szCs w:val="20"/>
        </w:rPr>
      </w:pPr>
    </w:p>
    <w:p w14:paraId="593B944E" w14:textId="5DB551FF" w:rsidR="0000483F" w:rsidRPr="00316E44" w:rsidRDefault="0000483F" w:rsidP="00444629">
      <w:pPr>
        <w:spacing w:after="0"/>
        <w:rPr>
          <w:rFonts w:ascii="Verdana" w:hAnsi="Verdana" w:cs="Arial"/>
          <w:sz w:val="20"/>
          <w:szCs w:val="20"/>
        </w:rPr>
      </w:pPr>
    </w:p>
    <w:p w14:paraId="10177F6D" w14:textId="70803FA1" w:rsidR="0000483F" w:rsidRPr="00316E44" w:rsidRDefault="0000483F" w:rsidP="00444629">
      <w:pPr>
        <w:spacing w:after="0"/>
        <w:rPr>
          <w:rFonts w:ascii="Verdana" w:hAnsi="Verdana" w:cs="Arial"/>
          <w:sz w:val="20"/>
          <w:szCs w:val="20"/>
        </w:rPr>
      </w:pPr>
    </w:p>
    <w:p w14:paraId="0315E4D3" w14:textId="79F82454" w:rsidR="0000483F" w:rsidRPr="00316E44" w:rsidRDefault="0000483F" w:rsidP="00444629">
      <w:pPr>
        <w:spacing w:after="0"/>
        <w:rPr>
          <w:rFonts w:ascii="Verdana" w:hAnsi="Verdana" w:cs="Arial"/>
          <w:sz w:val="20"/>
          <w:szCs w:val="20"/>
        </w:rPr>
      </w:pPr>
    </w:p>
    <w:p w14:paraId="3F9694C4" w14:textId="1585BFEE" w:rsidR="0000483F" w:rsidRPr="00316E44" w:rsidRDefault="0000483F" w:rsidP="00444629">
      <w:pPr>
        <w:spacing w:after="0"/>
        <w:rPr>
          <w:rFonts w:ascii="Verdana" w:hAnsi="Verdana" w:cs="Arial"/>
          <w:sz w:val="20"/>
          <w:szCs w:val="20"/>
        </w:rPr>
      </w:pPr>
    </w:p>
    <w:p w14:paraId="4720CD3A" w14:textId="506DF3A6" w:rsidR="002813B1" w:rsidRPr="00316E44" w:rsidRDefault="002813B1" w:rsidP="00444629">
      <w:pPr>
        <w:spacing w:after="0"/>
        <w:rPr>
          <w:rFonts w:ascii="Verdana" w:hAnsi="Verdana" w:cs="Arial"/>
          <w:sz w:val="20"/>
          <w:szCs w:val="20"/>
        </w:rPr>
      </w:pPr>
    </w:p>
    <w:p w14:paraId="25290F62" w14:textId="333FE18B" w:rsidR="002813B1" w:rsidRPr="00316E44" w:rsidRDefault="002813B1" w:rsidP="00444629">
      <w:pPr>
        <w:spacing w:after="0"/>
        <w:rPr>
          <w:rFonts w:ascii="Verdana" w:hAnsi="Verdana" w:cs="Arial"/>
          <w:sz w:val="20"/>
          <w:szCs w:val="20"/>
        </w:rPr>
      </w:pPr>
    </w:p>
    <w:p w14:paraId="34BC5B27" w14:textId="3901AFD9" w:rsidR="002813B1" w:rsidRPr="00316E44" w:rsidRDefault="002813B1" w:rsidP="00444629">
      <w:pPr>
        <w:spacing w:after="0"/>
        <w:rPr>
          <w:rFonts w:ascii="Verdana" w:hAnsi="Verdana" w:cs="Arial"/>
          <w:sz w:val="20"/>
          <w:szCs w:val="20"/>
        </w:rPr>
      </w:pPr>
    </w:p>
    <w:p w14:paraId="10C3F904" w14:textId="77777777" w:rsidR="002813B1" w:rsidRPr="00316E44" w:rsidRDefault="002813B1" w:rsidP="00444629">
      <w:pPr>
        <w:spacing w:after="0"/>
        <w:rPr>
          <w:rFonts w:ascii="Verdana" w:hAnsi="Verdana" w:cs="Arial"/>
          <w:sz w:val="20"/>
          <w:szCs w:val="20"/>
        </w:rPr>
      </w:pPr>
    </w:p>
    <w:p w14:paraId="4350958C" w14:textId="0585EC1D" w:rsidR="0000483F" w:rsidRPr="00316E44" w:rsidRDefault="0000483F" w:rsidP="00444629">
      <w:pPr>
        <w:spacing w:after="0"/>
        <w:rPr>
          <w:rFonts w:ascii="Verdana" w:hAnsi="Verdana" w:cs="Arial"/>
          <w:sz w:val="20"/>
          <w:szCs w:val="20"/>
        </w:rPr>
      </w:pPr>
    </w:p>
    <w:p w14:paraId="7DBFB640" w14:textId="3EBFAB6A" w:rsidR="0000483F" w:rsidRPr="00316E44" w:rsidRDefault="0000483F" w:rsidP="00444629">
      <w:pPr>
        <w:spacing w:after="0"/>
        <w:rPr>
          <w:rFonts w:ascii="Verdana" w:hAnsi="Verdana" w:cs="Arial"/>
          <w:sz w:val="20"/>
          <w:szCs w:val="20"/>
        </w:rPr>
      </w:pPr>
    </w:p>
    <w:p w14:paraId="5A1FC637" w14:textId="10041B7A" w:rsidR="0000483F" w:rsidRPr="00316E44" w:rsidRDefault="0000483F" w:rsidP="00444629">
      <w:pPr>
        <w:spacing w:after="0"/>
        <w:rPr>
          <w:rFonts w:ascii="Verdana" w:hAnsi="Verdana" w:cs="Arial"/>
          <w:sz w:val="20"/>
          <w:szCs w:val="20"/>
        </w:rPr>
      </w:pPr>
    </w:p>
    <w:p w14:paraId="089ED597" w14:textId="5074B328" w:rsidR="0000483F" w:rsidRPr="00316E44" w:rsidRDefault="0000483F" w:rsidP="00444629">
      <w:pPr>
        <w:spacing w:after="0"/>
        <w:rPr>
          <w:rFonts w:ascii="Verdana" w:hAnsi="Verdana" w:cs="Arial"/>
          <w:sz w:val="20"/>
          <w:szCs w:val="20"/>
        </w:rPr>
      </w:pPr>
    </w:p>
    <w:p w14:paraId="2809F34E" w14:textId="20C7AEC9" w:rsidR="0000483F" w:rsidRPr="00316E44" w:rsidRDefault="0000483F" w:rsidP="00444629">
      <w:pPr>
        <w:spacing w:after="0"/>
        <w:rPr>
          <w:rFonts w:ascii="Verdana" w:hAnsi="Verdana" w:cs="Arial"/>
          <w:sz w:val="20"/>
          <w:szCs w:val="20"/>
        </w:rPr>
      </w:pPr>
    </w:p>
    <w:p w14:paraId="2D584054" w14:textId="53921FF5" w:rsidR="00646634" w:rsidRPr="00316E44" w:rsidRDefault="0023034C" w:rsidP="00646634">
      <w:pPr>
        <w:numPr>
          <w:ilvl w:val="0"/>
          <w:numId w:val="9"/>
        </w:numPr>
        <w:spacing w:after="0"/>
        <w:rPr>
          <w:rFonts w:ascii="Verdana" w:hAnsi="Verdana" w:cs="Arial"/>
          <w:b/>
          <w:bCs/>
          <w:sz w:val="20"/>
          <w:szCs w:val="20"/>
          <w:lang w:val="es-CO" w:eastAsia="es-CO"/>
        </w:rPr>
      </w:pPr>
      <w:r w:rsidRPr="00316E44">
        <w:rPr>
          <w:rFonts w:ascii="Verdana" w:hAnsi="Verdana" w:cs="Arial"/>
          <w:b/>
          <w:sz w:val="20"/>
          <w:szCs w:val="20"/>
        </w:rPr>
        <w:t>OBJETIVO</w:t>
      </w:r>
      <w:r w:rsidR="005A3842" w:rsidRPr="00316E44">
        <w:rPr>
          <w:rFonts w:ascii="Verdana" w:hAnsi="Verdana" w:cs="Arial"/>
          <w:b/>
          <w:sz w:val="20"/>
          <w:szCs w:val="20"/>
        </w:rPr>
        <w:t>:</w:t>
      </w:r>
      <w:r w:rsidR="005A3842" w:rsidRPr="00316E44">
        <w:rPr>
          <w:rFonts w:ascii="Verdana" w:hAnsi="Verdana" w:cs="Arial"/>
          <w:sz w:val="20"/>
          <w:szCs w:val="20"/>
        </w:rPr>
        <w:t xml:space="preserve"> </w:t>
      </w:r>
    </w:p>
    <w:p w14:paraId="2C6B2141" w14:textId="275B6B01" w:rsidR="00A55CCD" w:rsidRPr="00316E44" w:rsidRDefault="00A55CCD" w:rsidP="00A55CCD">
      <w:pPr>
        <w:spacing w:after="0"/>
        <w:ind w:left="360"/>
        <w:rPr>
          <w:rFonts w:ascii="Verdana" w:hAnsi="Verdana" w:cs="Arial"/>
          <w:b/>
          <w:sz w:val="20"/>
          <w:szCs w:val="20"/>
          <w:lang w:val="es-CO"/>
        </w:rPr>
      </w:pPr>
    </w:p>
    <w:p w14:paraId="0AAF1CCE" w14:textId="23B9596A" w:rsidR="00B57CA8" w:rsidRPr="00316E44" w:rsidRDefault="00A53A80" w:rsidP="00063A8E">
      <w:pPr>
        <w:spacing w:after="0"/>
        <w:jc w:val="both"/>
        <w:rPr>
          <w:noProof/>
        </w:rPr>
      </w:pPr>
      <w:r w:rsidRPr="00316E44">
        <w:rPr>
          <w:rFonts w:ascii="Verdana" w:hAnsi="Verdana" w:cs="Arial"/>
          <w:bCs/>
          <w:sz w:val="20"/>
          <w:szCs w:val="20"/>
          <w:lang w:val="es-CO" w:eastAsia="es-CO"/>
        </w:rPr>
        <w:t>P</w:t>
      </w:r>
      <w:r w:rsidR="009A6861" w:rsidRPr="00316E44">
        <w:rPr>
          <w:rFonts w:ascii="Verdana" w:hAnsi="Verdana" w:cs="Arial"/>
          <w:bCs/>
          <w:sz w:val="20"/>
          <w:szCs w:val="20"/>
          <w:lang w:val="es-CO" w:eastAsia="es-CO"/>
        </w:rPr>
        <w:t>romover la articulación entre observatorios institucionales y sociales de carácter oficial existentes a nivel nacional y territorial. Estos observatorios serán parte de la Red Nacional de Información, así como del sistema nacional de información del Sistema Nacional de Derechos Humanos y Derecho Internacional Humanitario</w:t>
      </w:r>
      <w:r w:rsidR="002129FF" w:rsidRPr="00316E44">
        <w:rPr>
          <w:rFonts w:ascii="Verdana" w:hAnsi="Verdana" w:cs="Arial"/>
          <w:bCs/>
          <w:sz w:val="20"/>
          <w:szCs w:val="20"/>
          <w:lang w:val="es-CO" w:eastAsia="es-CO"/>
        </w:rPr>
        <w:t xml:space="preserve">, fortaleciendo la información, las metodologías y análisis que desde los observatorios se realizan como insumo para la toma de decisiones </w:t>
      </w:r>
    </w:p>
    <w:p w14:paraId="7924D8D5" w14:textId="7C583768" w:rsidR="00C31A5A" w:rsidRPr="00316E44" w:rsidRDefault="00C31A5A" w:rsidP="00A53A80">
      <w:pPr>
        <w:spacing w:after="0"/>
        <w:ind w:left="360"/>
        <w:jc w:val="both"/>
        <w:rPr>
          <w:rFonts w:ascii="Verdana" w:hAnsi="Verdana" w:cs="Arial"/>
          <w:bCs/>
          <w:sz w:val="20"/>
          <w:szCs w:val="20"/>
          <w:lang w:val="es-CO" w:eastAsia="es-CO"/>
        </w:rPr>
      </w:pPr>
    </w:p>
    <w:p w14:paraId="2DA89442" w14:textId="6B486686" w:rsidR="005A3842" w:rsidRPr="00316E44" w:rsidRDefault="0023034C" w:rsidP="00646634">
      <w:pPr>
        <w:pStyle w:val="Prrafodelista"/>
        <w:numPr>
          <w:ilvl w:val="0"/>
          <w:numId w:val="9"/>
        </w:numPr>
        <w:rPr>
          <w:rFonts w:ascii="Verdana" w:hAnsi="Verdana" w:cs="Arial"/>
          <w:b/>
          <w:sz w:val="20"/>
          <w:szCs w:val="20"/>
        </w:rPr>
      </w:pPr>
      <w:r w:rsidRPr="00316E44">
        <w:rPr>
          <w:rFonts w:ascii="Verdana" w:hAnsi="Verdana" w:cs="Arial"/>
          <w:b/>
          <w:sz w:val="20"/>
          <w:szCs w:val="20"/>
        </w:rPr>
        <w:t>ALCANCE</w:t>
      </w:r>
      <w:r w:rsidR="005A3842" w:rsidRPr="00316E44">
        <w:rPr>
          <w:rFonts w:ascii="Verdana" w:hAnsi="Verdana" w:cs="Arial"/>
          <w:b/>
          <w:sz w:val="20"/>
          <w:szCs w:val="20"/>
        </w:rPr>
        <w:t xml:space="preserve">: </w:t>
      </w:r>
    </w:p>
    <w:p w14:paraId="2C28F502" w14:textId="76F7153C" w:rsidR="00676B34" w:rsidRPr="00316E44" w:rsidRDefault="00676B34" w:rsidP="00063A8E">
      <w:pPr>
        <w:spacing w:after="0"/>
        <w:jc w:val="both"/>
        <w:rPr>
          <w:noProof/>
        </w:rPr>
      </w:pPr>
      <w:r w:rsidRPr="00316E44">
        <w:rPr>
          <w:rFonts w:ascii="Verdana" w:hAnsi="Verdana" w:cs="Arial"/>
          <w:bCs/>
          <w:sz w:val="20"/>
          <w:szCs w:val="20"/>
          <w:lang w:val="es-CO" w:eastAsia="es-CO"/>
        </w:rPr>
        <w:t xml:space="preserve">Realizar el intercambio y </w:t>
      </w:r>
      <w:r w:rsidR="000C2C8D" w:rsidRPr="00316E44">
        <w:rPr>
          <w:rFonts w:ascii="Verdana" w:hAnsi="Verdana" w:cs="Arial"/>
          <w:bCs/>
          <w:sz w:val="20"/>
          <w:szCs w:val="20"/>
          <w:lang w:val="es-CO" w:eastAsia="es-CO"/>
        </w:rPr>
        <w:t>articulación</w:t>
      </w:r>
      <w:r w:rsidRPr="00316E44">
        <w:rPr>
          <w:rFonts w:ascii="Verdana" w:hAnsi="Verdana" w:cs="Arial"/>
          <w:bCs/>
          <w:sz w:val="20"/>
          <w:szCs w:val="20"/>
          <w:lang w:val="es-CO" w:eastAsia="es-CO"/>
        </w:rPr>
        <w:t xml:space="preserve"> de </w:t>
      </w:r>
      <w:r w:rsidR="00F95F2C" w:rsidRPr="00316E44">
        <w:rPr>
          <w:rFonts w:ascii="Verdana" w:hAnsi="Verdana" w:cs="Arial"/>
          <w:bCs/>
          <w:sz w:val="20"/>
          <w:szCs w:val="20"/>
          <w:lang w:val="es-CO" w:eastAsia="es-CO"/>
        </w:rPr>
        <w:t>información</w:t>
      </w:r>
      <w:r w:rsidRPr="00316E44">
        <w:rPr>
          <w:rFonts w:ascii="Verdana" w:hAnsi="Verdana" w:cs="Arial"/>
          <w:bCs/>
          <w:sz w:val="20"/>
          <w:szCs w:val="20"/>
          <w:lang w:val="es-CO" w:eastAsia="es-CO"/>
        </w:rPr>
        <w:t xml:space="preserve">, </w:t>
      </w:r>
      <w:r w:rsidR="00F95F2C" w:rsidRPr="00316E44">
        <w:rPr>
          <w:rFonts w:ascii="Verdana" w:hAnsi="Verdana" w:cs="Arial"/>
          <w:bCs/>
          <w:sz w:val="20"/>
          <w:szCs w:val="20"/>
          <w:lang w:val="es-CO" w:eastAsia="es-CO"/>
        </w:rPr>
        <w:t>metodologías</w:t>
      </w:r>
      <w:r w:rsidRPr="00316E44">
        <w:rPr>
          <w:rFonts w:ascii="Verdana" w:hAnsi="Verdana" w:cs="Arial"/>
          <w:bCs/>
          <w:sz w:val="20"/>
          <w:szCs w:val="20"/>
          <w:lang w:val="es-CO" w:eastAsia="es-CO"/>
        </w:rPr>
        <w:t xml:space="preserve"> </w:t>
      </w:r>
      <w:r w:rsidR="000C2C8D" w:rsidRPr="00316E44">
        <w:rPr>
          <w:rFonts w:ascii="Verdana" w:hAnsi="Verdana" w:cs="Arial"/>
          <w:bCs/>
          <w:sz w:val="20"/>
          <w:szCs w:val="20"/>
          <w:lang w:val="es-CO" w:eastAsia="es-CO"/>
        </w:rPr>
        <w:t xml:space="preserve">y </w:t>
      </w:r>
      <w:r w:rsidR="00F95F2C" w:rsidRPr="00316E44">
        <w:rPr>
          <w:rFonts w:ascii="Verdana" w:hAnsi="Verdana" w:cs="Arial"/>
          <w:bCs/>
          <w:sz w:val="20"/>
          <w:szCs w:val="20"/>
          <w:lang w:val="es-CO" w:eastAsia="es-CO"/>
        </w:rPr>
        <w:t>análisis</w:t>
      </w:r>
      <w:r w:rsidR="000C2C8D" w:rsidRPr="00316E44">
        <w:rPr>
          <w:rFonts w:ascii="Verdana" w:hAnsi="Verdana" w:cs="Arial"/>
          <w:bCs/>
          <w:sz w:val="20"/>
          <w:szCs w:val="20"/>
          <w:lang w:val="es-CO" w:eastAsia="es-CO"/>
        </w:rPr>
        <w:t xml:space="preserve"> estructurales y coyunturales sobre violaciones de derechos humanos</w:t>
      </w:r>
      <w:r w:rsidR="00F95F2C" w:rsidRPr="00316E44">
        <w:rPr>
          <w:rFonts w:ascii="Verdana" w:hAnsi="Verdana" w:cs="Arial"/>
          <w:bCs/>
          <w:sz w:val="20"/>
          <w:szCs w:val="20"/>
          <w:lang w:val="es-CO" w:eastAsia="es-CO"/>
        </w:rPr>
        <w:t xml:space="preserve"> e infracciones al Derecho Internacional Humanitario, como insumo para la toma de decisiones en materia de prevención, protección y garantías de no repetición</w:t>
      </w:r>
      <w:r w:rsidR="002129FF" w:rsidRPr="00316E44">
        <w:rPr>
          <w:rFonts w:ascii="Verdana" w:hAnsi="Verdana" w:cs="Arial"/>
          <w:bCs/>
          <w:sz w:val="20"/>
          <w:szCs w:val="20"/>
          <w:lang w:val="es-CO" w:eastAsia="es-CO"/>
        </w:rPr>
        <w:t>, en los territorios donde existen nodos de la RODHI.</w:t>
      </w:r>
    </w:p>
    <w:p w14:paraId="548F2D28" w14:textId="77777777" w:rsidR="00676B34" w:rsidRPr="00316E44" w:rsidRDefault="00676B34" w:rsidP="00FB4A38">
      <w:pPr>
        <w:pStyle w:val="Prrafodelista"/>
        <w:ind w:left="360"/>
        <w:rPr>
          <w:rFonts w:ascii="Verdana" w:hAnsi="Verdana" w:cs="Arial"/>
          <w:b/>
          <w:sz w:val="20"/>
          <w:szCs w:val="20"/>
        </w:rPr>
      </w:pPr>
    </w:p>
    <w:p w14:paraId="7193139E" w14:textId="6A7F7022" w:rsidR="007D0F50" w:rsidRPr="00316E44" w:rsidRDefault="005A3842" w:rsidP="00297B42">
      <w:pPr>
        <w:pStyle w:val="Prrafodelista"/>
        <w:numPr>
          <w:ilvl w:val="0"/>
          <w:numId w:val="9"/>
        </w:numPr>
        <w:tabs>
          <w:tab w:val="left" w:pos="284"/>
        </w:tabs>
        <w:spacing w:after="0"/>
        <w:rPr>
          <w:rFonts w:ascii="Verdana" w:hAnsi="Verdana" w:cs="Arial"/>
          <w:sz w:val="20"/>
          <w:szCs w:val="20"/>
        </w:rPr>
      </w:pPr>
      <w:r w:rsidRPr="00316E44">
        <w:rPr>
          <w:rFonts w:ascii="Verdana" w:hAnsi="Verdana" w:cs="Arial"/>
          <w:b/>
          <w:sz w:val="20"/>
          <w:szCs w:val="20"/>
        </w:rPr>
        <w:t>DEFINICIONES:</w:t>
      </w:r>
      <w:r w:rsidRPr="00316E44">
        <w:rPr>
          <w:rFonts w:ascii="Verdana" w:hAnsi="Verdana" w:cs="Arial"/>
          <w:sz w:val="20"/>
          <w:szCs w:val="20"/>
        </w:rPr>
        <w:t xml:space="preserve"> </w:t>
      </w:r>
    </w:p>
    <w:p w14:paraId="35FDC93B" w14:textId="77777777" w:rsidR="007D0F50" w:rsidRPr="00316E44" w:rsidRDefault="007D0F50" w:rsidP="007D0F50">
      <w:pPr>
        <w:pStyle w:val="Prrafodelista"/>
        <w:tabs>
          <w:tab w:val="left" w:pos="284"/>
        </w:tabs>
        <w:spacing w:after="0"/>
        <w:ind w:left="360"/>
        <w:rPr>
          <w:rFonts w:ascii="Verdana" w:hAnsi="Verdana" w:cs="Arial"/>
          <w:sz w:val="20"/>
          <w:szCs w:val="20"/>
        </w:rPr>
      </w:pPr>
    </w:p>
    <w:p w14:paraId="0717EEBE" w14:textId="77777777" w:rsidR="007D0F50" w:rsidRPr="00316E44" w:rsidRDefault="007D0F50" w:rsidP="007D0F50">
      <w:pPr>
        <w:spacing w:after="0"/>
        <w:jc w:val="both"/>
        <w:rPr>
          <w:rFonts w:ascii="Verdana" w:hAnsi="Verdana"/>
          <w:b/>
          <w:bCs/>
          <w:noProof/>
          <w:sz w:val="20"/>
          <w:szCs w:val="20"/>
        </w:rPr>
      </w:pPr>
      <w:r w:rsidRPr="00316E44">
        <w:rPr>
          <w:rFonts w:ascii="Verdana" w:hAnsi="Verdana"/>
          <w:b/>
          <w:bCs/>
          <w:noProof/>
          <w:sz w:val="20"/>
          <w:szCs w:val="20"/>
        </w:rPr>
        <w:t xml:space="preserve">Mesa Técnica de Coordinación: </w:t>
      </w:r>
      <w:r w:rsidRPr="00316E44">
        <w:rPr>
          <w:rFonts w:ascii="Verdana" w:hAnsi="Verdana"/>
          <w:noProof/>
          <w:sz w:val="20"/>
          <w:szCs w:val="20"/>
        </w:rPr>
        <w:t>Instancia de coordinación nacional compuesta por la Unidad para las Vícitmas, la Consejería Presindencial para los derechos humanos y Asuntos Internacionales y e Ministerio del Interior</w:t>
      </w:r>
    </w:p>
    <w:p w14:paraId="26E3AAB0" w14:textId="77777777" w:rsidR="007D0F50" w:rsidRPr="00316E44" w:rsidRDefault="007D0F50" w:rsidP="00A064E7">
      <w:pPr>
        <w:spacing w:after="0"/>
        <w:jc w:val="both"/>
        <w:rPr>
          <w:rFonts w:ascii="Verdana" w:hAnsi="Verdana" w:cs="Arial"/>
          <w:b/>
          <w:sz w:val="20"/>
          <w:szCs w:val="20"/>
          <w:lang w:val="es-CO" w:eastAsia="es-CO"/>
        </w:rPr>
      </w:pPr>
    </w:p>
    <w:p w14:paraId="1B62E94D" w14:textId="27DD51A2" w:rsidR="0084099E" w:rsidRPr="00316E44" w:rsidRDefault="0084099E" w:rsidP="00A064E7">
      <w:pPr>
        <w:spacing w:after="0"/>
        <w:jc w:val="both"/>
        <w:rPr>
          <w:rFonts w:ascii="Verdana" w:hAnsi="Verdana" w:cs="Arial"/>
          <w:bCs/>
          <w:sz w:val="20"/>
          <w:szCs w:val="20"/>
          <w:lang w:val="es-CO" w:eastAsia="es-CO"/>
        </w:rPr>
      </w:pPr>
      <w:r w:rsidRPr="00316E44">
        <w:rPr>
          <w:rFonts w:ascii="Verdana" w:hAnsi="Verdana" w:cs="Arial"/>
          <w:b/>
          <w:sz w:val="20"/>
          <w:szCs w:val="20"/>
          <w:lang w:val="es-CO" w:eastAsia="es-CO"/>
        </w:rPr>
        <w:t>Nodo:</w:t>
      </w:r>
      <w:r w:rsidR="002129FF" w:rsidRPr="00316E44">
        <w:rPr>
          <w:rFonts w:ascii="Verdana" w:hAnsi="Verdana" w:cs="Arial"/>
          <w:b/>
          <w:sz w:val="20"/>
          <w:szCs w:val="20"/>
          <w:lang w:val="es-CO" w:eastAsia="es-CO"/>
        </w:rPr>
        <w:t xml:space="preserve"> </w:t>
      </w:r>
      <w:r w:rsidR="002129FF" w:rsidRPr="00316E44">
        <w:rPr>
          <w:rFonts w:ascii="Verdana" w:hAnsi="Verdana" w:cs="Arial"/>
          <w:bCs/>
          <w:sz w:val="20"/>
          <w:szCs w:val="20"/>
          <w:lang w:val="es-CO" w:eastAsia="es-CO"/>
        </w:rPr>
        <w:t>Unidad básica compuesta por los observatorios que existen en un territorio y que deciden hacer parte de la RODHI.</w:t>
      </w:r>
    </w:p>
    <w:p w14:paraId="257C6992" w14:textId="30EABADD" w:rsidR="00BB2C70" w:rsidRPr="00316E44" w:rsidRDefault="00BB2C70" w:rsidP="00A064E7">
      <w:pPr>
        <w:spacing w:after="0"/>
        <w:jc w:val="both"/>
        <w:rPr>
          <w:rFonts w:ascii="Verdana" w:hAnsi="Verdana" w:cs="Arial"/>
          <w:bCs/>
          <w:sz w:val="20"/>
          <w:szCs w:val="20"/>
          <w:lang w:val="es-CO" w:eastAsia="es-CO"/>
        </w:rPr>
      </w:pPr>
    </w:p>
    <w:p w14:paraId="4A69041B" w14:textId="77777777" w:rsidR="00BB2C70" w:rsidRPr="00316E44" w:rsidRDefault="00BB2C70" w:rsidP="00BB2C70">
      <w:pPr>
        <w:spacing w:after="0"/>
        <w:jc w:val="both"/>
        <w:rPr>
          <w:rFonts w:ascii="Verdana" w:hAnsi="Verdana" w:cs="Arial"/>
          <w:b/>
          <w:sz w:val="20"/>
          <w:szCs w:val="20"/>
          <w:lang w:val="es-CO" w:eastAsia="es-CO"/>
        </w:rPr>
      </w:pPr>
      <w:r w:rsidRPr="00316E44">
        <w:rPr>
          <w:rFonts w:ascii="Verdana" w:hAnsi="Verdana" w:cs="Arial"/>
          <w:b/>
          <w:sz w:val="20"/>
          <w:szCs w:val="20"/>
          <w:lang w:val="es-CO" w:eastAsia="es-CO"/>
        </w:rPr>
        <w:t xml:space="preserve">Observatorio: </w:t>
      </w:r>
      <w:r w:rsidRPr="00316E44">
        <w:rPr>
          <w:rFonts w:ascii="Verdana" w:hAnsi="Verdana" w:cs="Arial"/>
          <w:bCs/>
          <w:sz w:val="20"/>
          <w:szCs w:val="20"/>
          <w:lang w:val="es-CO" w:eastAsia="es-CO"/>
        </w:rPr>
        <w:t>Instancias donde se observa, se recolecta información, analiza, procesa y teoriza acerca de una realidad o contexto determinado.</w:t>
      </w:r>
    </w:p>
    <w:p w14:paraId="2277D3B1" w14:textId="77777777" w:rsidR="00BA20A8" w:rsidRPr="00316E44" w:rsidRDefault="00BA20A8" w:rsidP="00A064E7">
      <w:pPr>
        <w:spacing w:after="0"/>
        <w:jc w:val="both"/>
        <w:rPr>
          <w:rFonts w:ascii="Verdana" w:hAnsi="Verdana" w:cs="Arial"/>
          <w:b/>
          <w:sz w:val="20"/>
          <w:szCs w:val="20"/>
          <w:lang w:val="es-CO" w:eastAsia="es-CO"/>
        </w:rPr>
      </w:pPr>
    </w:p>
    <w:p w14:paraId="17B0CDEC" w14:textId="34A4D846" w:rsidR="00063A8E" w:rsidRPr="00316E44" w:rsidRDefault="00BA20A8" w:rsidP="00A064E7">
      <w:pPr>
        <w:spacing w:after="0"/>
        <w:jc w:val="both"/>
        <w:rPr>
          <w:rFonts w:ascii="Verdana" w:hAnsi="Verdana"/>
          <w:noProof/>
          <w:sz w:val="20"/>
          <w:szCs w:val="20"/>
        </w:rPr>
      </w:pPr>
      <w:r w:rsidRPr="00316E44">
        <w:rPr>
          <w:rFonts w:ascii="Verdana" w:hAnsi="Verdana" w:cs="Arial"/>
          <w:b/>
          <w:sz w:val="20"/>
          <w:szCs w:val="20"/>
          <w:lang w:val="es-CO" w:eastAsia="es-CO"/>
        </w:rPr>
        <w:t>Red Nacional de Observatorios de Derechos Humanos y Derecho Internacional Humanitario (R</w:t>
      </w:r>
      <w:r w:rsidR="00F71D66" w:rsidRPr="00316E44">
        <w:rPr>
          <w:rFonts w:ascii="Verdana" w:hAnsi="Verdana" w:cs="Arial"/>
          <w:b/>
          <w:sz w:val="20"/>
          <w:szCs w:val="20"/>
          <w:lang w:val="es-CO" w:eastAsia="es-CO"/>
        </w:rPr>
        <w:t>ODHI</w:t>
      </w:r>
      <w:r w:rsidRPr="00316E44">
        <w:rPr>
          <w:rFonts w:ascii="Verdana" w:hAnsi="Verdana" w:cs="Arial"/>
          <w:b/>
          <w:sz w:val="20"/>
          <w:szCs w:val="20"/>
          <w:lang w:val="es-CO" w:eastAsia="es-CO"/>
        </w:rPr>
        <w:t>)</w:t>
      </w:r>
      <w:r w:rsidR="00F71D66" w:rsidRPr="00316E44">
        <w:rPr>
          <w:rFonts w:ascii="Verdana" w:hAnsi="Verdana" w:cs="Arial"/>
          <w:b/>
          <w:sz w:val="20"/>
          <w:szCs w:val="20"/>
          <w:lang w:val="es-CO" w:eastAsia="es-CO"/>
        </w:rPr>
        <w:t>:</w:t>
      </w:r>
      <w:r w:rsidR="002649D2" w:rsidRPr="00316E44">
        <w:rPr>
          <w:rFonts w:ascii="Verdana" w:hAnsi="Verdana" w:cs="Arial"/>
          <w:bCs/>
          <w:sz w:val="20"/>
          <w:szCs w:val="20"/>
          <w:lang w:val="es-CO" w:eastAsia="es-CO"/>
        </w:rPr>
        <w:t xml:space="preserve"> Es una instancia interinstitucional creada por el Sistema Nacional de Información de Derechos Humanos cuyo fin es promover la articulación y gestión de conocimiento entre observatorios institucionales y sociales existentes en el orden nacional y territorial en torno a nodos territoriales y temáticos.</w:t>
      </w:r>
      <w:r w:rsidR="00063A8E" w:rsidRPr="00316E44">
        <w:rPr>
          <w:rFonts w:ascii="Verdana" w:hAnsi="Verdana"/>
          <w:noProof/>
          <w:sz w:val="20"/>
          <w:szCs w:val="20"/>
        </w:rPr>
        <w:t xml:space="preserve"> </w:t>
      </w:r>
    </w:p>
    <w:p w14:paraId="1E803918" w14:textId="7D31F8C5" w:rsidR="00A76423" w:rsidRPr="00316E44" w:rsidRDefault="00A76423" w:rsidP="00A76423">
      <w:pPr>
        <w:pStyle w:val="SUBTITULOS"/>
        <w:spacing w:before="240" w:after="0"/>
        <w:jc w:val="both"/>
        <w:rPr>
          <w:rFonts w:ascii="Verdana" w:hAnsi="Verdana"/>
          <w:b w:val="0"/>
          <w:color w:val="auto"/>
          <w:sz w:val="20"/>
          <w:szCs w:val="20"/>
        </w:rPr>
      </w:pPr>
      <w:r w:rsidRPr="00316E44">
        <w:rPr>
          <w:rFonts w:ascii="Verdana" w:hAnsi="Verdana"/>
          <w:color w:val="auto"/>
          <w:sz w:val="20"/>
          <w:szCs w:val="20"/>
        </w:rPr>
        <w:t xml:space="preserve">Red Nacional de Información (RNI): </w:t>
      </w:r>
      <w:r w:rsidRPr="00316E44">
        <w:rPr>
          <w:rFonts w:ascii="Verdana" w:hAnsi="Verdana"/>
          <w:b w:val="0"/>
          <w:color w:val="auto"/>
          <w:sz w:val="20"/>
          <w:szCs w:val="20"/>
        </w:rPr>
        <w:t>De acuerdo al artículo 153 de la Ley de Víctimas, es el instrumento que garantizará al Sistema Nacional de Atención y Reparación a las Víctimas una rápida y eficaz información nacional y regional sobre las violaciones de que trata el artículo 3° de la misma Ley, permitiendo la identificación y el diagnóstico de las circunstancias que ocasionaron y ocasionan el daño a las víctimas.</w:t>
      </w:r>
    </w:p>
    <w:p w14:paraId="5E3A1DC2" w14:textId="77777777" w:rsidR="00BB2C70" w:rsidRPr="00316E44" w:rsidRDefault="00BB2C70" w:rsidP="00BB2C70">
      <w:pPr>
        <w:spacing w:after="0"/>
        <w:jc w:val="both"/>
        <w:rPr>
          <w:rFonts w:ascii="Verdana" w:hAnsi="Verdana"/>
          <w:b/>
          <w:bCs/>
          <w:noProof/>
          <w:sz w:val="20"/>
          <w:szCs w:val="20"/>
        </w:rPr>
      </w:pPr>
    </w:p>
    <w:p w14:paraId="3F1FFB61" w14:textId="30AC54B3" w:rsidR="00BB2C70" w:rsidRPr="00316E44" w:rsidRDefault="00BB2C70" w:rsidP="00BB2C70">
      <w:pPr>
        <w:spacing w:after="0"/>
        <w:jc w:val="both"/>
        <w:rPr>
          <w:rFonts w:ascii="Verdana" w:hAnsi="Verdana"/>
          <w:noProof/>
          <w:sz w:val="20"/>
          <w:szCs w:val="20"/>
        </w:rPr>
      </w:pPr>
      <w:r w:rsidRPr="00316E44">
        <w:rPr>
          <w:rFonts w:ascii="Verdana" w:hAnsi="Verdana"/>
          <w:b/>
          <w:bCs/>
          <w:noProof/>
          <w:sz w:val="20"/>
          <w:szCs w:val="20"/>
        </w:rPr>
        <w:t xml:space="preserve">Secretario Tecnico: </w:t>
      </w:r>
      <w:r w:rsidRPr="00316E44">
        <w:rPr>
          <w:rFonts w:ascii="Verdana" w:hAnsi="Verdana"/>
          <w:noProof/>
          <w:sz w:val="20"/>
          <w:szCs w:val="20"/>
        </w:rPr>
        <w:t>Observatorio elegido por el nodo para apoyar las convocatorias y gestión documental de cada uno de los nodos.</w:t>
      </w:r>
    </w:p>
    <w:p w14:paraId="3B17570F" w14:textId="77777777" w:rsidR="00BB2C70" w:rsidRPr="00316E44" w:rsidRDefault="00BB2C70" w:rsidP="00A76423">
      <w:pPr>
        <w:jc w:val="both"/>
        <w:rPr>
          <w:rFonts w:ascii="Verdana" w:hAnsi="Verdana"/>
          <w:b/>
          <w:sz w:val="20"/>
          <w:szCs w:val="20"/>
        </w:rPr>
      </w:pPr>
    </w:p>
    <w:p w14:paraId="1E4A5EC0" w14:textId="1372B530" w:rsidR="00BB2C70" w:rsidRPr="00316E44" w:rsidRDefault="00A76423" w:rsidP="00A76423">
      <w:pPr>
        <w:jc w:val="both"/>
        <w:rPr>
          <w:rFonts w:ascii="Verdana" w:hAnsi="Verdana"/>
          <w:sz w:val="20"/>
          <w:szCs w:val="20"/>
        </w:rPr>
      </w:pPr>
      <w:r w:rsidRPr="00316E44">
        <w:rPr>
          <w:rFonts w:ascii="Verdana" w:hAnsi="Verdana"/>
          <w:b/>
          <w:sz w:val="20"/>
          <w:szCs w:val="20"/>
        </w:rPr>
        <w:t xml:space="preserve">Subdirección Red Nacional de Información (SRNI): </w:t>
      </w:r>
      <w:r w:rsidRPr="00316E44">
        <w:rPr>
          <w:rFonts w:ascii="Verdana" w:hAnsi="Verdana"/>
          <w:sz w:val="20"/>
          <w:szCs w:val="20"/>
        </w:rPr>
        <w:t>Dependencia de la Dirección de Registro y Gestión de la Información de la Unidad para las Víctimas, encargada de la administración y operación de la Red Nacional de Información.</w:t>
      </w:r>
    </w:p>
    <w:p w14:paraId="76371BCB" w14:textId="77777777" w:rsidR="009D6A98" w:rsidRDefault="009D6A98" w:rsidP="00A064E7">
      <w:pPr>
        <w:spacing w:after="0"/>
        <w:jc w:val="both"/>
        <w:rPr>
          <w:rFonts w:ascii="Verdana" w:hAnsi="Verdana"/>
          <w:b/>
          <w:bCs/>
          <w:noProof/>
          <w:sz w:val="20"/>
          <w:szCs w:val="20"/>
        </w:rPr>
      </w:pPr>
    </w:p>
    <w:p w14:paraId="319B1DF9" w14:textId="54846582" w:rsidR="007F4DB3" w:rsidRPr="00316E44" w:rsidRDefault="007F4DB3" w:rsidP="00A064E7">
      <w:pPr>
        <w:spacing w:after="0"/>
        <w:jc w:val="both"/>
        <w:rPr>
          <w:rFonts w:ascii="Verdana" w:hAnsi="Verdana"/>
          <w:b/>
          <w:bCs/>
          <w:noProof/>
          <w:sz w:val="20"/>
          <w:szCs w:val="20"/>
        </w:rPr>
      </w:pPr>
      <w:r w:rsidRPr="00316E44">
        <w:rPr>
          <w:rFonts w:ascii="Verdana" w:hAnsi="Verdana"/>
          <w:b/>
          <w:bCs/>
          <w:noProof/>
          <w:sz w:val="20"/>
          <w:szCs w:val="20"/>
        </w:rPr>
        <w:lastRenderedPageBreak/>
        <w:t>Sistema Nacional de Derechos Humanos y Derecho Internacional Humanitario</w:t>
      </w:r>
      <w:r w:rsidR="0084099E" w:rsidRPr="00316E44">
        <w:rPr>
          <w:rFonts w:ascii="Verdana" w:hAnsi="Verdana"/>
          <w:b/>
          <w:bCs/>
          <w:noProof/>
          <w:sz w:val="20"/>
          <w:szCs w:val="20"/>
        </w:rPr>
        <w:t>:</w:t>
      </w:r>
    </w:p>
    <w:p w14:paraId="35F40E98" w14:textId="3C9A91F4" w:rsidR="0084099E" w:rsidRPr="00316E44" w:rsidRDefault="00414E86" w:rsidP="00A064E7">
      <w:pPr>
        <w:spacing w:after="0"/>
        <w:jc w:val="both"/>
        <w:rPr>
          <w:rFonts w:ascii="Verdana" w:hAnsi="Verdana" w:cs="Arial"/>
          <w:sz w:val="20"/>
          <w:szCs w:val="20"/>
          <w:shd w:val="clear" w:color="auto" w:fill="FFFFFF"/>
        </w:rPr>
      </w:pPr>
      <w:r w:rsidRPr="00316E44">
        <w:rPr>
          <w:rFonts w:ascii="Verdana" w:hAnsi="Verdana" w:cs="Arial"/>
          <w:sz w:val="20"/>
          <w:szCs w:val="20"/>
          <w:shd w:val="clear" w:color="auto" w:fill="FFFFFF"/>
        </w:rPr>
        <w:t>El Sistema Nacional de Derechos Humanos y DIH fue creado mediante el Decreto 4100 de 2011 y modificado por el Decreto 1081 de 2015, el Decreto 1216 de 2016, el Decreto 1784 de 2019 y Decreto 2082 de 2019 con el fin de articular a las entidades e instancias del orden nacional y territorial, y coordinar sus acciones para promover el respeto y garantía de los Derechos Humanos y la aplicación del Derecho Internacional Humanitario, mediante el diseño, implementación, seguimiento y evaluación de la Política Integral de Derechos Humanos y Derecho Internacional Humanitario, y el diseño y consolidación de las políticas públicas sectoriales con enfoque de derechos y enfoque diferencial.</w:t>
      </w:r>
    </w:p>
    <w:p w14:paraId="4D1A4D59" w14:textId="6C578748" w:rsidR="00414E86" w:rsidRPr="00316E44" w:rsidRDefault="00414E86" w:rsidP="00A064E7">
      <w:pPr>
        <w:spacing w:after="0"/>
        <w:jc w:val="both"/>
        <w:rPr>
          <w:rFonts w:ascii="Verdana" w:hAnsi="Verdana"/>
          <w:b/>
          <w:bCs/>
          <w:noProof/>
          <w:sz w:val="20"/>
          <w:szCs w:val="20"/>
        </w:rPr>
      </w:pPr>
    </w:p>
    <w:p w14:paraId="74EDD954" w14:textId="00453BBB" w:rsidR="00414E86" w:rsidRPr="00316E44" w:rsidRDefault="00414E86" w:rsidP="00A064E7">
      <w:pPr>
        <w:spacing w:after="0"/>
        <w:jc w:val="both"/>
        <w:rPr>
          <w:rFonts w:ascii="Verdana" w:hAnsi="Verdana"/>
          <w:noProof/>
          <w:sz w:val="20"/>
          <w:szCs w:val="20"/>
        </w:rPr>
      </w:pPr>
      <w:r w:rsidRPr="00316E44">
        <w:rPr>
          <w:rFonts w:ascii="Verdana" w:hAnsi="Verdana"/>
          <w:b/>
          <w:bCs/>
          <w:noProof/>
          <w:sz w:val="20"/>
          <w:szCs w:val="20"/>
        </w:rPr>
        <w:t xml:space="preserve">Lider: </w:t>
      </w:r>
      <w:r w:rsidRPr="00316E44">
        <w:rPr>
          <w:rFonts w:ascii="Verdana" w:hAnsi="Verdana"/>
          <w:noProof/>
          <w:sz w:val="20"/>
          <w:szCs w:val="20"/>
        </w:rPr>
        <w:t>Observatori</w:t>
      </w:r>
      <w:r w:rsidR="00E03DD0" w:rsidRPr="00316E44">
        <w:rPr>
          <w:rFonts w:ascii="Verdana" w:hAnsi="Verdana"/>
          <w:noProof/>
          <w:sz w:val="20"/>
          <w:szCs w:val="20"/>
        </w:rPr>
        <w:t>o elegido de manera periodica en cada nodo de la RODHI encargado de  apoyar los procesos de gestión de información, comunicación y seguimiento a los planes de trabajo definidos por los nodos.</w:t>
      </w:r>
    </w:p>
    <w:p w14:paraId="0C4FADFA" w14:textId="77777777" w:rsidR="00E03DD0" w:rsidRPr="00316E44" w:rsidRDefault="00E03DD0" w:rsidP="00A064E7">
      <w:pPr>
        <w:spacing w:after="0"/>
        <w:jc w:val="both"/>
        <w:rPr>
          <w:rFonts w:ascii="Verdana" w:hAnsi="Verdana"/>
          <w:noProof/>
          <w:sz w:val="20"/>
          <w:szCs w:val="20"/>
        </w:rPr>
      </w:pPr>
    </w:p>
    <w:p w14:paraId="4DA88245" w14:textId="77777777" w:rsidR="00F91D04" w:rsidRPr="00316E44" w:rsidRDefault="00F91D04" w:rsidP="00A064E7">
      <w:pPr>
        <w:spacing w:after="0"/>
        <w:jc w:val="both"/>
        <w:rPr>
          <w:rFonts w:ascii="Verdana" w:hAnsi="Verdana"/>
          <w:b/>
          <w:bCs/>
          <w:noProof/>
          <w:sz w:val="20"/>
          <w:szCs w:val="20"/>
        </w:rPr>
      </w:pPr>
    </w:p>
    <w:p w14:paraId="5B113DB3" w14:textId="1CC3E930" w:rsidR="00F91D04" w:rsidRPr="00316E44" w:rsidRDefault="005A3842" w:rsidP="00444629">
      <w:pPr>
        <w:jc w:val="both"/>
        <w:rPr>
          <w:rFonts w:ascii="Verdana" w:hAnsi="Verdana" w:cs="Arial"/>
          <w:sz w:val="20"/>
          <w:szCs w:val="20"/>
        </w:rPr>
      </w:pPr>
      <w:r w:rsidRPr="00316E44">
        <w:rPr>
          <w:rFonts w:ascii="Verdana" w:hAnsi="Verdana" w:cs="Arial"/>
          <w:b/>
          <w:sz w:val="20"/>
          <w:szCs w:val="20"/>
        </w:rPr>
        <w:t>ACTIVIDADES:</w:t>
      </w:r>
      <w:r w:rsidRPr="00316E44">
        <w:rPr>
          <w:rFonts w:ascii="Verdana" w:hAnsi="Verdana" w:cs="Arial"/>
          <w:sz w:val="20"/>
          <w:szCs w:val="20"/>
        </w:rPr>
        <w:t xml:space="preserve"> </w:t>
      </w:r>
      <w:r w:rsidR="00F91D04" w:rsidRPr="00316E44">
        <w:rPr>
          <w:rFonts w:ascii="Verdana" w:hAnsi="Verdana" w:cs="Arial"/>
          <w:sz w:val="20"/>
          <w:szCs w:val="20"/>
        </w:rPr>
        <w:t xml:space="preserve">Desde las entidades de la mesa de coordinación técnica </w:t>
      </w:r>
      <w:r w:rsidR="00D90AA9" w:rsidRPr="00316E44">
        <w:rPr>
          <w:rFonts w:ascii="Verdana" w:hAnsi="Verdana" w:cs="Arial"/>
          <w:sz w:val="20"/>
          <w:szCs w:val="20"/>
        </w:rPr>
        <w:t xml:space="preserve">se ha realizado una identificación de observatorios en Colombia, a partir de esta identificación y de criterios frente a la violación de derechos humanos en los territorios se ha priorizado la conformación de nodos territoriales de la RODHI. Se realiza un trabajo de fortalecimiento en temáticas pertinentes acordadas con los observatorios. Desde los nodos se acuerda un tema de observancia y una metodología para la realización de un informe anual en el cual todos los observatorios participan. Los informes de los nodos son posicionados en espacios de toma de decisiones y de esta forma se le hace seguimiento a las respectivas recomendaciones formuladas en los informes. </w:t>
      </w:r>
    </w:p>
    <w:p w14:paraId="4E774957" w14:textId="4DBE23F1" w:rsidR="00AB2BB8" w:rsidRPr="00316E44" w:rsidRDefault="00AB2BB8" w:rsidP="00646634">
      <w:pPr>
        <w:pStyle w:val="Prrafodelista"/>
        <w:numPr>
          <w:ilvl w:val="0"/>
          <w:numId w:val="9"/>
        </w:numPr>
        <w:tabs>
          <w:tab w:val="left" w:pos="284"/>
        </w:tabs>
        <w:spacing w:after="0"/>
        <w:rPr>
          <w:rFonts w:ascii="Verdana" w:hAnsi="Verdana" w:cs="Arial"/>
          <w:b/>
          <w:sz w:val="20"/>
          <w:szCs w:val="20"/>
        </w:rPr>
      </w:pPr>
      <w:r w:rsidRPr="00316E44">
        <w:rPr>
          <w:rFonts w:ascii="Verdana" w:hAnsi="Verdana" w:cs="Arial"/>
          <w:b/>
          <w:sz w:val="20"/>
          <w:szCs w:val="20"/>
        </w:rPr>
        <w:t xml:space="preserve">RECOMENDACIONES: </w:t>
      </w:r>
    </w:p>
    <w:p w14:paraId="51456A9E" w14:textId="77777777" w:rsidR="000F1D5D" w:rsidRPr="00316E44" w:rsidRDefault="000F1D5D" w:rsidP="005174B1">
      <w:pPr>
        <w:spacing w:after="0"/>
        <w:ind w:left="-142"/>
        <w:rPr>
          <w:rFonts w:ascii="Verdana" w:hAnsi="Verdana" w:cs="Arial"/>
          <w:b/>
          <w:sz w:val="20"/>
          <w:szCs w:val="20"/>
        </w:rPr>
      </w:pPr>
    </w:p>
    <w:p w14:paraId="0651793E" w14:textId="3DDF0294" w:rsidR="008346BB" w:rsidRPr="00316E44" w:rsidRDefault="00FA1EED" w:rsidP="00BF388C">
      <w:pPr>
        <w:numPr>
          <w:ilvl w:val="0"/>
          <w:numId w:val="9"/>
        </w:numPr>
        <w:tabs>
          <w:tab w:val="left" w:pos="2035"/>
        </w:tabs>
        <w:autoSpaceDE w:val="0"/>
        <w:autoSpaceDN w:val="0"/>
        <w:adjustRightInd w:val="0"/>
        <w:spacing w:after="0"/>
        <w:jc w:val="both"/>
        <w:rPr>
          <w:rFonts w:ascii="Verdana" w:hAnsi="Verdana" w:cs="Arial"/>
          <w:sz w:val="20"/>
          <w:szCs w:val="20"/>
        </w:rPr>
      </w:pPr>
      <w:r w:rsidRPr="00316E44">
        <w:rPr>
          <w:rFonts w:ascii="Verdana" w:hAnsi="Verdana" w:cs="Arial"/>
          <w:b/>
          <w:bCs/>
          <w:sz w:val="20"/>
          <w:szCs w:val="20"/>
          <w:lang w:val="es-CO" w:eastAsia="es-CO"/>
        </w:rPr>
        <w:t>ANEXOS</w:t>
      </w:r>
      <w:r w:rsidR="00001B84" w:rsidRPr="00316E44">
        <w:rPr>
          <w:rFonts w:ascii="Verdana" w:hAnsi="Verdana" w:cs="Arial"/>
          <w:b/>
          <w:bCs/>
          <w:sz w:val="20"/>
          <w:szCs w:val="20"/>
          <w:lang w:val="es-CO" w:eastAsia="es-CO"/>
        </w:rPr>
        <w:t xml:space="preserve"> </w:t>
      </w:r>
    </w:p>
    <w:p w14:paraId="2F72AF79" w14:textId="77777777" w:rsidR="007D0F50" w:rsidRPr="00316E44" w:rsidRDefault="007D0F50" w:rsidP="007D0F50">
      <w:pPr>
        <w:tabs>
          <w:tab w:val="left" w:pos="2035"/>
        </w:tabs>
        <w:autoSpaceDE w:val="0"/>
        <w:autoSpaceDN w:val="0"/>
        <w:adjustRightInd w:val="0"/>
        <w:spacing w:after="0"/>
        <w:jc w:val="both"/>
        <w:rPr>
          <w:rFonts w:ascii="Verdana" w:hAnsi="Verdana" w:cs="Arial"/>
          <w:sz w:val="20"/>
          <w:szCs w:val="20"/>
        </w:rPr>
      </w:pPr>
    </w:p>
    <w:p w14:paraId="0877B737" w14:textId="1D37F227" w:rsidR="00FA1EED" w:rsidRPr="00316E44" w:rsidRDefault="00FA1EED" w:rsidP="00FA1EED">
      <w:pPr>
        <w:autoSpaceDE w:val="0"/>
        <w:autoSpaceDN w:val="0"/>
        <w:adjustRightInd w:val="0"/>
        <w:jc w:val="both"/>
        <w:rPr>
          <w:rFonts w:ascii="Verdana" w:hAnsi="Verdana" w:cs="Arial"/>
          <w:sz w:val="20"/>
          <w:szCs w:val="20"/>
        </w:rPr>
      </w:pPr>
      <w:r w:rsidRPr="00316E44">
        <w:rPr>
          <w:rFonts w:ascii="Verdana" w:hAnsi="Verdana" w:cs="Arial"/>
          <w:sz w:val="20"/>
          <w:szCs w:val="20"/>
        </w:rPr>
        <w:t xml:space="preserve">Anexo 1. </w:t>
      </w:r>
      <w:r w:rsidR="006C4221" w:rsidRPr="00316E44">
        <w:rPr>
          <w:rFonts w:ascii="Verdana" w:hAnsi="Verdana" w:cs="Arial"/>
          <w:sz w:val="20"/>
          <w:szCs w:val="20"/>
        </w:rPr>
        <w:t>Reglamento Nodal de la Red Nacional de Observatorios de Derechos Humanos y Derecho Internacional Humanitario</w:t>
      </w:r>
      <w:r w:rsidR="003A69DF" w:rsidRPr="00316E44">
        <w:rPr>
          <w:rFonts w:ascii="Verdana" w:hAnsi="Verdana" w:cs="Arial"/>
          <w:sz w:val="20"/>
          <w:szCs w:val="20"/>
        </w:rPr>
        <w:t>.</w:t>
      </w:r>
    </w:p>
    <w:p w14:paraId="73BC6BDB" w14:textId="448B5645" w:rsidR="00FA1EED" w:rsidRPr="00316E44" w:rsidRDefault="00FA1EED" w:rsidP="00FA1EED">
      <w:pPr>
        <w:autoSpaceDE w:val="0"/>
        <w:autoSpaceDN w:val="0"/>
        <w:adjustRightInd w:val="0"/>
        <w:jc w:val="both"/>
        <w:rPr>
          <w:rFonts w:ascii="Verdana" w:hAnsi="Verdana" w:cs="Arial"/>
          <w:sz w:val="20"/>
          <w:szCs w:val="20"/>
          <w:lang w:val="es-CO"/>
        </w:rPr>
      </w:pPr>
      <w:r w:rsidRPr="00316E44">
        <w:rPr>
          <w:rFonts w:ascii="Verdana" w:hAnsi="Verdana" w:cs="Arial"/>
          <w:sz w:val="20"/>
          <w:szCs w:val="20"/>
          <w:lang w:val="es-CO"/>
        </w:rPr>
        <w:t>Anexo 2</w:t>
      </w:r>
      <w:r w:rsidR="003D355F" w:rsidRPr="00316E44">
        <w:rPr>
          <w:rFonts w:ascii="Verdana" w:hAnsi="Verdana" w:cs="Arial"/>
          <w:sz w:val="20"/>
          <w:szCs w:val="20"/>
          <w:lang w:val="es-CO"/>
        </w:rPr>
        <w:t>. Acta de Instalación Nodal.</w:t>
      </w:r>
    </w:p>
    <w:p w14:paraId="1E829736" w14:textId="77777777" w:rsidR="00CC0238" w:rsidRPr="00316E44" w:rsidRDefault="00AB2BB8" w:rsidP="009C2EBF">
      <w:pPr>
        <w:tabs>
          <w:tab w:val="left" w:pos="5280"/>
        </w:tabs>
        <w:spacing w:after="0"/>
        <w:ind w:left="-142"/>
        <w:rPr>
          <w:rFonts w:ascii="Verdana" w:hAnsi="Verdana" w:cs="Arial"/>
          <w:b/>
          <w:sz w:val="20"/>
          <w:szCs w:val="20"/>
        </w:rPr>
      </w:pPr>
      <w:r w:rsidRPr="00316E44">
        <w:rPr>
          <w:rFonts w:ascii="Verdana" w:hAnsi="Verdana" w:cs="Arial"/>
          <w:b/>
          <w:sz w:val="20"/>
          <w:szCs w:val="20"/>
        </w:rPr>
        <w:tab/>
      </w:r>
    </w:p>
    <w:p w14:paraId="12EFC6C4" w14:textId="77777777" w:rsidR="00FA1EED" w:rsidRPr="00316E44" w:rsidRDefault="00FA1EED" w:rsidP="00FA1EED">
      <w:pPr>
        <w:pStyle w:val="Prrafodelista"/>
        <w:numPr>
          <w:ilvl w:val="0"/>
          <w:numId w:val="9"/>
        </w:numPr>
        <w:tabs>
          <w:tab w:val="left" w:pos="2035"/>
        </w:tabs>
        <w:spacing w:after="0"/>
        <w:jc w:val="both"/>
        <w:rPr>
          <w:rFonts w:ascii="Verdana" w:hAnsi="Verdana" w:cs="Arial"/>
          <w:b/>
          <w:bCs/>
          <w:sz w:val="20"/>
          <w:szCs w:val="20"/>
          <w:lang w:val="es-CO" w:eastAsia="es-CO"/>
        </w:rPr>
      </w:pPr>
      <w:r w:rsidRPr="00316E44">
        <w:rPr>
          <w:rFonts w:ascii="Verdana" w:hAnsi="Verdana" w:cs="Arial"/>
          <w:b/>
          <w:bCs/>
          <w:sz w:val="20"/>
          <w:szCs w:val="20"/>
          <w:lang w:val="es-CO" w:eastAsia="es-CO"/>
        </w:rPr>
        <w:t xml:space="preserve">CONTROL DE CAMBIOS (Cambios realizados al procedimiento) </w:t>
      </w:r>
    </w:p>
    <w:p w14:paraId="125ED27A" w14:textId="77777777" w:rsidR="00FA1EED" w:rsidRPr="00316E44" w:rsidRDefault="00FA1EED" w:rsidP="00FA1EED">
      <w:pPr>
        <w:pStyle w:val="Sangradetextonormal"/>
        <w:spacing w:after="0"/>
        <w:ind w:left="0" w:right="-29"/>
        <w:rPr>
          <w:rFonts w:ascii="Verdana" w:hAnsi="Verdana" w:cs="Arial"/>
          <w:b/>
          <w:sz w:val="20"/>
          <w:szCs w:val="20"/>
        </w:rPr>
      </w:pPr>
    </w:p>
    <w:tbl>
      <w:tblPr>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82"/>
        <w:gridCol w:w="6415"/>
      </w:tblGrid>
      <w:tr w:rsidR="00316E44" w:rsidRPr="00316E44" w14:paraId="168CB7DA" w14:textId="77777777" w:rsidTr="00FB4A38">
        <w:trPr>
          <w:trHeight w:val="326"/>
        </w:trPr>
        <w:tc>
          <w:tcPr>
            <w:tcW w:w="1032" w:type="dxa"/>
            <w:shd w:val="clear" w:color="auto" w:fill="3366CC"/>
            <w:vAlign w:val="center"/>
          </w:tcPr>
          <w:p w14:paraId="5ABD5D2C" w14:textId="77777777" w:rsidR="00FA1EED" w:rsidRPr="00316E44" w:rsidRDefault="00FA1EED" w:rsidP="00FB4A38">
            <w:pPr>
              <w:pStyle w:val="TableParagraph"/>
              <w:jc w:val="center"/>
              <w:rPr>
                <w:b/>
                <w:sz w:val="20"/>
              </w:rPr>
            </w:pPr>
            <w:r w:rsidRPr="00316E44">
              <w:rPr>
                <w:b/>
                <w:sz w:val="20"/>
              </w:rPr>
              <w:t>Versión</w:t>
            </w:r>
          </w:p>
        </w:tc>
        <w:tc>
          <w:tcPr>
            <w:tcW w:w="1582" w:type="dxa"/>
            <w:shd w:val="clear" w:color="auto" w:fill="3366CC"/>
            <w:vAlign w:val="center"/>
          </w:tcPr>
          <w:p w14:paraId="2DAC4C6F" w14:textId="65FC0844" w:rsidR="00FA1EED" w:rsidRPr="00316E44" w:rsidRDefault="00FA1EED" w:rsidP="00FB4A38">
            <w:pPr>
              <w:pStyle w:val="TableParagraph"/>
              <w:jc w:val="center"/>
              <w:rPr>
                <w:b/>
                <w:sz w:val="20"/>
              </w:rPr>
            </w:pPr>
            <w:r w:rsidRPr="00316E44">
              <w:rPr>
                <w:b/>
                <w:sz w:val="20"/>
              </w:rPr>
              <w:t>Fecha</w:t>
            </w:r>
          </w:p>
        </w:tc>
        <w:tc>
          <w:tcPr>
            <w:tcW w:w="6415" w:type="dxa"/>
            <w:shd w:val="clear" w:color="auto" w:fill="3366CC"/>
            <w:vAlign w:val="center"/>
          </w:tcPr>
          <w:p w14:paraId="45FD03EF" w14:textId="77777777" w:rsidR="00FA1EED" w:rsidRPr="00316E44" w:rsidRDefault="00FA1EED" w:rsidP="00FB4A38">
            <w:pPr>
              <w:pStyle w:val="TableParagraph"/>
              <w:jc w:val="center"/>
              <w:rPr>
                <w:b/>
                <w:sz w:val="20"/>
              </w:rPr>
            </w:pPr>
            <w:r w:rsidRPr="00316E44">
              <w:rPr>
                <w:b/>
                <w:sz w:val="20"/>
              </w:rPr>
              <w:t>Descripción de la modificación</w:t>
            </w:r>
          </w:p>
        </w:tc>
      </w:tr>
      <w:tr w:rsidR="00316E44" w:rsidRPr="00316E44" w14:paraId="411B9B26" w14:textId="77777777" w:rsidTr="00753A23">
        <w:trPr>
          <w:trHeight w:val="462"/>
        </w:trPr>
        <w:tc>
          <w:tcPr>
            <w:tcW w:w="1032" w:type="dxa"/>
            <w:shd w:val="clear" w:color="auto" w:fill="auto"/>
            <w:vAlign w:val="center"/>
          </w:tcPr>
          <w:p w14:paraId="2F75D95F" w14:textId="0F09CED2" w:rsidR="00FA1EED" w:rsidRPr="00316E44" w:rsidRDefault="00A96442" w:rsidP="00A96442">
            <w:pPr>
              <w:pStyle w:val="TableParagraph"/>
              <w:spacing w:before="114"/>
              <w:ind w:left="11"/>
              <w:jc w:val="center"/>
              <w:rPr>
                <w:sz w:val="20"/>
              </w:rPr>
            </w:pPr>
            <w:r w:rsidRPr="00316E44">
              <w:rPr>
                <w:sz w:val="20"/>
              </w:rPr>
              <w:t>1</w:t>
            </w:r>
          </w:p>
        </w:tc>
        <w:tc>
          <w:tcPr>
            <w:tcW w:w="1582" w:type="dxa"/>
            <w:shd w:val="clear" w:color="auto" w:fill="auto"/>
            <w:vAlign w:val="center"/>
          </w:tcPr>
          <w:p w14:paraId="5720EDAC" w14:textId="311E77AC" w:rsidR="00FA1EED" w:rsidRPr="00316E44" w:rsidRDefault="00DD5E54" w:rsidP="00A96442">
            <w:pPr>
              <w:pStyle w:val="TableParagraph"/>
              <w:spacing w:before="114"/>
              <w:ind w:left="110"/>
              <w:jc w:val="center"/>
              <w:rPr>
                <w:sz w:val="20"/>
              </w:rPr>
            </w:pPr>
            <w:r>
              <w:rPr>
                <w:sz w:val="20"/>
              </w:rPr>
              <w:t>06-04-20222</w:t>
            </w:r>
          </w:p>
        </w:tc>
        <w:tc>
          <w:tcPr>
            <w:tcW w:w="6415" w:type="dxa"/>
            <w:shd w:val="clear" w:color="auto" w:fill="auto"/>
            <w:vAlign w:val="center"/>
          </w:tcPr>
          <w:p w14:paraId="254AC95C" w14:textId="3EE75B86" w:rsidR="00753A23" w:rsidRPr="00316E44" w:rsidRDefault="00396C60" w:rsidP="00753A23">
            <w:pPr>
              <w:pStyle w:val="TableParagraph"/>
              <w:spacing w:before="114"/>
              <w:rPr>
                <w:sz w:val="20"/>
              </w:rPr>
            </w:pPr>
            <w:r w:rsidRPr="00316E44">
              <w:rPr>
                <w:sz w:val="20"/>
              </w:rPr>
              <w:t>Creación</w:t>
            </w:r>
            <w:r w:rsidR="00A96442" w:rsidRPr="00316E44">
              <w:rPr>
                <w:sz w:val="20"/>
              </w:rPr>
              <w:t xml:space="preserve"> del documento. </w:t>
            </w:r>
          </w:p>
        </w:tc>
      </w:tr>
      <w:tr w:rsidR="00FA1EED" w:rsidRPr="00316E44" w14:paraId="528868D2" w14:textId="77777777" w:rsidTr="00A96442">
        <w:trPr>
          <w:trHeight w:val="450"/>
        </w:trPr>
        <w:tc>
          <w:tcPr>
            <w:tcW w:w="1032" w:type="dxa"/>
            <w:shd w:val="clear" w:color="auto" w:fill="auto"/>
            <w:vAlign w:val="center"/>
          </w:tcPr>
          <w:p w14:paraId="5B1BDAA4" w14:textId="77777777" w:rsidR="00FA1EED" w:rsidRPr="00316E44" w:rsidRDefault="00FA1EED" w:rsidP="00A96442">
            <w:pPr>
              <w:pStyle w:val="TableParagraph"/>
              <w:spacing w:line="208" w:lineRule="exact"/>
              <w:ind w:left="11"/>
              <w:jc w:val="center"/>
              <w:rPr>
                <w:sz w:val="20"/>
              </w:rPr>
            </w:pPr>
          </w:p>
        </w:tc>
        <w:tc>
          <w:tcPr>
            <w:tcW w:w="1582" w:type="dxa"/>
            <w:shd w:val="clear" w:color="auto" w:fill="auto"/>
            <w:vAlign w:val="center"/>
          </w:tcPr>
          <w:p w14:paraId="569FBD9D" w14:textId="77777777" w:rsidR="00FA1EED" w:rsidRPr="00316E44" w:rsidRDefault="00FA1EED" w:rsidP="00A96442">
            <w:pPr>
              <w:pStyle w:val="TableParagraph"/>
              <w:spacing w:line="208" w:lineRule="exact"/>
              <w:ind w:left="110"/>
              <w:jc w:val="center"/>
              <w:rPr>
                <w:sz w:val="20"/>
              </w:rPr>
            </w:pPr>
          </w:p>
        </w:tc>
        <w:tc>
          <w:tcPr>
            <w:tcW w:w="6415" w:type="dxa"/>
            <w:shd w:val="clear" w:color="auto" w:fill="auto"/>
            <w:vAlign w:val="center"/>
          </w:tcPr>
          <w:p w14:paraId="493A096D" w14:textId="77777777" w:rsidR="00FA1EED" w:rsidRPr="00316E44" w:rsidRDefault="00FA1EED" w:rsidP="00A96442">
            <w:pPr>
              <w:pStyle w:val="TableParagraph"/>
              <w:spacing w:line="169" w:lineRule="exact"/>
              <w:ind w:left="113"/>
              <w:rPr>
                <w:sz w:val="20"/>
              </w:rPr>
            </w:pPr>
          </w:p>
        </w:tc>
      </w:tr>
    </w:tbl>
    <w:p w14:paraId="562A3267" w14:textId="77777777" w:rsidR="00FA1EED" w:rsidRPr="00316E44" w:rsidRDefault="00FA1EED" w:rsidP="00FA1EED">
      <w:pPr>
        <w:pStyle w:val="Sangradetextonormal"/>
        <w:spacing w:after="0"/>
        <w:ind w:left="0" w:right="-29"/>
        <w:rPr>
          <w:rFonts w:ascii="Verdana" w:hAnsi="Verdana" w:cs="Arial"/>
          <w:b/>
          <w:sz w:val="20"/>
          <w:szCs w:val="20"/>
        </w:rPr>
      </w:pPr>
    </w:p>
    <w:p w14:paraId="2BDC8BC3" w14:textId="23A55ADC" w:rsidR="009E22F1" w:rsidRPr="00316E44" w:rsidRDefault="000E25DA" w:rsidP="000E25DA">
      <w:pPr>
        <w:pStyle w:val="Prrafodelista"/>
        <w:tabs>
          <w:tab w:val="left" w:pos="5595"/>
        </w:tabs>
        <w:ind w:left="-142"/>
      </w:pPr>
      <w:r w:rsidRPr="00316E44">
        <w:tab/>
      </w:r>
    </w:p>
    <w:p w14:paraId="46EA725C" w14:textId="77777777" w:rsidR="00F65943" w:rsidRPr="00316E44" w:rsidRDefault="00F65943" w:rsidP="00F65943">
      <w:pPr>
        <w:pStyle w:val="Prrafodelista"/>
        <w:ind w:left="-142"/>
      </w:pPr>
    </w:p>
    <w:p w14:paraId="2B3207F1" w14:textId="77777777" w:rsidR="00CD0112" w:rsidRPr="00316E44" w:rsidRDefault="00CD0112" w:rsidP="00F65943">
      <w:pPr>
        <w:pStyle w:val="Prrafodelista"/>
        <w:ind w:left="-142"/>
      </w:pPr>
    </w:p>
    <w:sectPr w:rsidR="00CD0112" w:rsidRPr="00316E44" w:rsidSect="00316E44">
      <w:headerReference w:type="even" r:id="rId12"/>
      <w:headerReference w:type="default" r:id="rId13"/>
      <w:footerReference w:type="default" r:id="rId14"/>
      <w:pgSz w:w="12240" w:h="15840"/>
      <w:pgMar w:top="1227" w:right="1418" w:bottom="1418" w:left="1418" w:header="0" w:footer="1" w:gutter="0"/>
      <w:pgNumType w:start="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ndra imelda sanchez peña" w:date="2022-03-18T19:32:00Z" w:initials="sisp">
    <w:p w14:paraId="46B71E11" w14:textId="00C22E53" w:rsidR="008D390A" w:rsidRDefault="008D390A">
      <w:pPr>
        <w:pStyle w:val="Textocomentario"/>
      </w:pPr>
      <w:r>
        <w:rPr>
          <w:rStyle w:val="Refdecomentario"/>
        </w:rPr>
        <w:annotationRef/>
      </w:r>
      <w:r>
        <w:t>Se recomienda agregar la portada y tabla de contenido.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B71E1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DF5CC7" w16cex:dateUtc="2022-03-19T0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71E11" w16cid:durableId="25DF5C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6A014" w14:textId="77777777" w:rsidR="00DB7D6C" w:rsidRDefault="00DB7D6C">
      <w:pPr>
        <w:spacing w:after="0"/>
      </w:pPr>
      <w:r>
        <w:separator/>
      </w:r>
    </w:p>
  </w:endnote>
  <w:endnote w:type="continuationSeparator" w:id="0">
    <w:p w14:paraId="642B345D" w14:textId="77777777" w:rsidR="00DB7D6C" w:rsidRDefault="00DB7D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DE2E" w14:textId="212E957B" w:rsidR="00844B2A" w:rsidRDefault="00844B2A">
    <w:pPr>
      <w:pStyle w:val="Piedepgina"/>
    </w:pPr>
    <w:r>
      <w:tab/>
    </w:r>
    <w:r>
      <w:tab/>
      <w:t>710.14.15-34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44DB" w14:textId="77777777" w:rsidR="00DB7D6C" w:rsidRDefault="00DB7D6C">
      <w:pPr>
        <w:spacing w:after="0"/>
      </w:pPr>
      <w:r>
        <w:separator/>
      </w:r>
    </w:p>
  </w:footnote>
  <w:footnote w:type="continuationSeparator" w:id="0">
    <w:p w14:paraId="10CAE329" w14:textId="77777777" w:rsidR="00DB7D6C" w:rsidRDefault="00DB7D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0EA8" w14:textId="77777777" w:rsidR="00E72035" w:rsidRDefault="003F0155">
    <w:pPr>
      <w:pStyle w:val="Encabezado"/>
    </w:pPr>
    <w:r>
      <w:rPr>
        <w:noProof/>
        <w:lang w:val="es-ES" w:eastAsia="es-ES"/>
      </w:rPr>
      <w:drawing>
        <wp:anchor distT="0" distB="0" distL="114300" distR="114300" simplePos="0" relativeHeight="251658752" behindDoc="1" locked="0" layoutInCell="1" allowOverlap="1" wp14:anchorId="5EDC84D5" wp14:editId="4CE0BC11">
          <wp:simplePos x="0" y="0"/>
          <wp:positionH relativeFrom="margin">
            <wp:align>center</wp:align>
          </wp:positionH>
          <wp:positionV relativeFrom="margin">
            <wp:align>center</wp:align>
          </wp:positionV>
          <wp:extent cx="8096250" cy="10477500"/>
          <wp:effectExtent l="0" t="0" r="0" b="0"/>
          <wp:wrapNone/>
          <wp:docPr id="20" name="Imagen 20" descr="papeleri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peleria-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104775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270763"/>
      <w:docPartObj>
        <w:docPartGallery w:val="Watermarks"/>
        <w:docPartUnique/>
      </w:docPartObj>
    </w:sdtPr>
    <w:sdtContent>
      <w:p w14:paraId="04FFA6EF" w14:textId="680EE2F0" w:rsidR="00B91F95" w:rsidRDefault="00000000" w:rsidP="000F539E">
        <w:pPr>
          <w:pStyle w:val="Encabezado"/>
          <w:jc w:val="center"/>
        </w:pPr>
      </w:p>
    </w:sdtContent>
  </w:sdt>
  <w:p w14:paraId="0E6B9584" w14:textId="77777777" w:rsidR="009D6A98" w:rsidRDefault="009D6A98" w:rsidP="000F539E">
    <w:pPr>
      <w:pStyle w:val="Encabezado"/>
      <w:jc w:val="center"/>
    </w:pPr>
  </w:p>
  <w:tbl>
    <w:tblPr>
      <w:tblW w:w="111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417"/>
      <w:gridCol w:w="2155"/>
    </w:tblGrid>
    <w:tr w:rsidR="008B0DA8" w:rsidRPr="00CD4AF9" w14:paraId="4AFFAA09" w14:textId="77777777" w:rsidTr="00DA5D8C">
      <w:trPr>
        <w:trHeight w:val="550"/>
      </w:trPr>
      <w:tc>
        <w:tcPr>
          <w:tcW w:w="3600" w:type="dxa"/>
          <w:vMerge w:val="restart"/>
          <w:shd w:val="clear" w:color="auto" w:fill="BFBFBF" w:themeFill="background1" w:themeFillShade="BF"/>
          <w:vAlign w:val="center"/>
        </w:tcPr>
        <w:p w14:paraId="5EB3D06D" w14:textId="1E24F4C5" w:rsidR="008B0DA8" w:rsidRPr="00CD4AF9" w:rsidRDefault="00DA5D8C" w:rsidP="009C2EBF">
          <w:pPr>
            <w:widowControl w:val="0"/>
            <w:tabs>
              <w:tab w:val="center" w:pos="1920"/>
              <w:tab w:val="left" w:pos="3045"/>
            </w:tabs>
            <w:jc w:val="center"/>
            <w:rPr>
              <w:rFonts w:ascii="Verdana" w:hAnsi="Verdana" w:cs="Arial"/>
              <w:b/>
              <w:color w:val="FFFFFF"/>
              <w:sz w:val="18"/>
              <w:szCs w:val="18"/>
            </w:rPr>
          </w:pPr>
          <w:r>
            <w:rPr>
              <w:noProof/>
            </w:rPr>
            <w:drawing>
              <wp:anchor distT="0" distB="0" distL="114300" distR="114300" simplePos="0" relativeHeight="251660800" behindDoc="0" locked="0" layoutInCell="1" allowOverlap="1" wp14:anchorId="1447571D" wp14:editId="508530D1">
                <wp:simplePos x="0" y="0"/>
                <wp:positionH relativeFrom="column">
                  <wp:posOffset>347980</wp:posOffset>
                </wp:positionH>
                <wp:positionV relativeFrom="paragraph">
                  <wp:posOffset>-100965</wp:posOffset>
                </wp:positionV>
                <wp:extent cx="1359535" cy="495300"/>
                <wp:effectExtent l="0" t="0" r="0" b="0"/>
                <wp:wrapNone/>
                <wp:docPr id="195744728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47289"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7" w:type="dxa"/>
          <w:shd w:val="clear" w:color="auto" w:fill="BFBFBF" w:themeFill="background1" w:themeFillShade="BF"/>
          <w:vAlign w:val="center"/>
        </w:tcPr>
        <w:p w14:paraId="334FC8E1" w14:textId="32C78D7B" w:rsidR="008B0DA8" w:rsidRPr="005E13DD" w:rsidRDefault="008D3D4B" w:rsidP="009C2EBF">
          <w:pPr>
            <w:widowControl w:val="0"/>
            <w:spacing w:after="0"/>
            <w:jc w:val="center"/>
            <w:rPr>
              <w:rFonts w:ascii="Arial" w:hAnsi="Arial" w:cs="Arial"/>
              <w:b/>
              <w:sz w:val="16"/>
              <w:szCs w:val="16"/>
            </w:rPr>
          </w:pPr>
          <w:r w:rsidRPr="005E13DD">
            <w:rPr>
              <w:rFonts w:ascii="Arial" w:hAnsi="Arial" w:cs="Arial"/>
              <w:b/>
              <w:color w:val="FFFFFF"/>
              <w:sz w:val="16"/>
              <w:szCs w:val="16"/>
            </w:rPr>
            <w:t>PROTOCOLO</w:t>
          </w:r>
          <w:r w:rsidR="00B877C1" w:rsidRPr="005E13DD">
            <w:rPr>
              <w:rFonts w:ascii="Arial" w:hAnsi="Arial" w:cs="Arial"/>
              <w:b/>
              <w:color w:val="FFFFFF"/>
              <w:sz w:val="16"/>
              <w:szCs w:val="16"/>
            </w:rPr>
            <w:t xml:space="preserve"> RED DE OBSERVATORIOS DE DERECHOS HUMANOS Y DERECHO INTERNACIONAL HUMANITARIO -RODHI-</w:t>
          </w:r>
        </w:p>
      </w:tc>
      <w:tc>
        <w:tcPr>
          <w:tcW w:w="2155" w:type="dxa"/>
          <w:shd w:val="clear" w:color="auto" w:fill="auto"/>
          <w:vAlign w:val="center"/>
        </w:tcPr>
        <w:p w14:paraId="16DA2D11" w14:textId="12E0232D" w:rsidR="008B0DA8" w:rsidRPr="005E13DD" w:rsidRDefault="008B0DA8" w:rsidP="00FB4A38">
          <w:pPr>
            <w:widowControl w:val="0"/>
            <w:spacing w:after="0"/>
            <w:rPr>
              <w:rFonts w:ascii="Arial" w:hAnsi="Arial" w:cs="Arial"/>
              <w:sz w:val="16"/>
              <w:szCs w:val="16"/>
            </w:rPr>
          </w:pPr>
          <w:r w:rsidRPr="005E13DD">
            <w:rPr>
              <w:rFonts w:ascii="Arial" w:hAnsi="Arial" w:cs="Arial"/>
              <w:sz w:val="16"/>
              <w:szCs w:val="16"/>
            </w:rPr>
            <w:t>Código:</w:t>
          </w:r>
          <w:r w:rsidR="00D24124" w:rsidRPr="005E13DD">
            <w:rPr>
              <w:rFonts w:ascii="Arial" w:hAnsi="Arial" w:cs="Arial"/>
              <w:sz w:val="16"/>
              <w:szCs w:val="16"/>
            </w:rPr>
            <w:t xml:space="preserve"> </w:t>
          </w:r>
          <w:r w:rsidR="007C6475" w:rsidRPr="005E13DD">
            <w:rPr>
              <w:rFonts w:ascii="Arial" w:hAnsi="Arial" w:cs="Arial"/>
              <w:sz w:val="16"/>
              <w:szCs w:val="16"/>
            </w:rPr>
            <w:t>520,06,10-9</w:t>
          </w:r>
        </w:p>
      </w:tc>
    </w:tr>
    <w:tr w:rsidR="008B0DA8" w:rsidRPr="00CD4AF9" w14:paraId="438E4DA5" w14:textId="77777777" w:rsidTr="009B525F">
      <w:trPr>
        <w:trHeight w:val="462"/>
      </w:trPr>
      <w:tc>
        <w:tcPr>
          <w:tcW w:w="3600" w:type="dxa"/>
          <w:vMerge/>
          <w:shd w:val="clear" w:color="auto" w:fill="auto"/>
        </w:tcPr>
        <w:p w14:paraId="4D2AF256" w14:textId="77777777" w:rsidR="008B0DA8" w:rsidRPr="00CD4AF9" w:rsidRDefault="008B0DA8" w:rsidP="008B0DA8">
          <w:pPr>
            <w:pStyle w:val="Encabezado"/>
            <w:widowControl w:val="0"/>
            <w:rPr>
              <w:rFonts w:ascii="Verdana" w:hAnsi="Verdana"/>
              <w:sz w:val="18"/>
              <w:szCs w:val="18"/>
            </w:rPr>
          </w:pPr>
        </w:p>
      </w:tc>
      <w:tc>
        <w:tcPr>
          <w:tcW w:w="5417" w:type="dxa"/>
          <w:shd w:val="clear" w:color="auto" w:fill="auto"/>
          <w:vAlign w:val="center"/>
        </w:tcPr>
        <w:p w14:paraId="039FA9A2" w14:textId="2A2F2AA1" w:rsidR="008B0DA8" w:rsidRPr="005E13DD" w:rsidRDefault="00ED3806" w:rsidP="009C2EBF">
          <w:pPr>
            <w:pStyle w:val="Encabezado"/>
            <w:widowControl w:val="0"/>
            <w:jc w:val="center"/>
            <w:rPr>
              <w:rFonts w:ascii="Arial" w:hAnsi="Arial" w:cs="Arial"/>
              <w:b/>
              <w:sz w:val="16"/>
              <w:szCs w:val="16"/>
            </w:rPr>
          </w:pPr>
          <w:r w:rsidRPr="005E13DD">
            <w:rPr>
              <w:rFonts w:ascii="Arial" w:hAnsi="Arial" w:cs="Arial"/>
              <w:b/>
              <w:sz w:val="16"/>
              <w:szCs w:val="16"/>
            </w:rPr>
            <w:t xml:space="preserve">PROCESO </w:t>
          </w:r>
          <w:r w:rsidR="00B877C1" w:rsidRPr="005E13DD">
            <w:rPr>
              <w:rFonts w:ascii="Arial" w:hAnsi="Arial" w:cs="Arial"/>
              <w:b/>
              <w:sz w:val="16"/>
              <w:szCs w:val="16"/>
            </w:rPr>
            <w:t>GESTIÓN DE LA INFORMACIÓN</w:t>
          </w:r>
        </w:p>
      </w:tc>
      <w:tc>
        <w:tcPr>
          <w:tcW w:w="2155" w:type="dxa"/>
          <w:shd w:val="clear" w:color="auto" w:fill="auto"/>
          <w:vAlign w:val="center"/>
        </w:tcPr>
        <w:p w14:paraId="1F3B5DE8" w14:textId="46D9F943" w:rsidR="008B0DA8" w:rsidRPr="005E13DD" w:rsidRDefault="008B0DA8" w:rsidP="00444629">
          <w:pPr>
            <w:widowControl w:val="0"/>
            <w:spacing w:after="0"/>
            <w:rPr>
              <w:rFonts w:ascii="Arial" w:hAnsi="Arial" w:cs="Arial"/>
              <w:sz w:val="16"/>
              <w:szCs w:val="16"/>
            </w:rPr>
          </w:pPr>
          <w:r w:rsidRPr="005E13DD">
            <w:rPr>
              <w:rFonts w:ascii="Arial" w:hAnsi="Arial" w:cs="Arial"/>
              <w:sz w:val="16"/>
              <w:szCs w:val="16"/>
            </w:rPr>
            <w:t>Versión:</w:t>
          </w:r>
          <w:r w:rsidR="00161B0C" w:rsidRPr="005E13DD">
            <w:rPr>
              <w:rFonts w:ascii="Arial" w:hAnsi="Arial" w:cs="Arial"/>
              <w:sz w:val="16"/>
              <w:szCs w:val="16"/>
            </w:rPr>
            <w:t>01</w:t>
          </w:r>
        </w:p>
      </w:tc>
    </w:tr>
    <w:tr w:rsidR="00AB2BB8" w:rsidRPr="00CD4AF9" w14:paraId="20D5EE8D" w14:textId="77777777" w:rsidTr="009B525F">
      <w:trPr>
        <w:trHeight w:val="248"/>
      </w:trPr>
      <w:tc>
        <w:tcPr>
          <w:tcW w:w="3600" w:type="dxa"/>
          <w:vMerge/>
          <w:shd w:val="clear" w:color="auto" w:fill="auto"/>
          <w:vAlign w:val="center"/>
        </w:tcPr>
        <w:p w14:paraId="45458DE8" w14:textId="77777777" w:rsidR="00AB2BB8" w:rsidRPr="00CD4AF9" w:rsidRDefault="00AB2BB8" w:rsidP="008B0DA8">
          <w:pPr>
            <w:pStyle w:val="Encabezado"/>
            <w:widowControl w:val="0"/>
            <w:rPr>
              <w:rFonts w:ascii="Verdana" w:hAnsi="Verdana"/>
            </w:rPr>
          </w:pPr>
        </w:p>
      </w:tc>
      <w:tc>
        <w:tcPr>
          <w:tcW w:w="5417" w:type="dxa"/>
          <w:vMerge w:val="restart"/>
          <w:shd w:val="clear" w:color="auto" w:fill="auto"/>
          <w:vAlign w:val="center"/>
        </w:tcPr>
        <w:p w14:paraId="1861C464" w14:textId="1A3367BA" w:rsidR="00AB2BB8" w:rsidRPr="005E13DD" w:rsidRDefault="00ED3806" w:rsidP="00ED3806">
          <w:pPr>
            <w:pStyle w:val="Encabezado"/>
            <w:widowControl w:val="0"/>
            <w:jc w:val="center"/>
            <w:rPr>
              <w:rFonts w:ascii="Arial" w:hAnsi="Arial" w:cs="Arial"/>
              <w:b/>
              <w:sz w:val="16"/>
              <w:szCs w:val="16"/>
            </w:rPr>
          </w:pPr>
          <w:r w:rsidRPr="005E13DD">
            <w:rPr>
              <w:rFonts w:ascii="Arial" w:hAnsi="Arial" w:cs="Arial"/>
              <w:b/>
              <w:sz w:val="16"/>
              <w:szCs w:val="16"/>
            </w:rPr>
            <w:t xml:space="preserve">PROCEDIMIENTO </w:t>
          </w:r>
          <w:r w:rsidR="00BD261C" w:rsidRPr="005E13DD">
            <w:rPr>
              <w:rFonts w:ascii="Arial" w:hAnsi="Arial" w:cs="Arial"/>
              <w:b/>
              <w:sz w:val="16"/>
              <w:szCs w:val="16"/>
            </w:rPr>
            <w:t>ARTICULACIÓN INTERINSTITUCIONAL Y DINAMIZACIÓN DE LA INFORMACIÓN</w:t>
          </w:r>
        </w:p>
      </w:tc>
      <w:tc>
        <w:tcPr>
          <w:tcW w:w="2155" w:type="dxa"/>
          <w:shd w:val="clear" w:color="auto" w:fill="auto"/>
          <w:vAlign w:val="center"/>
        </w:tcPr>
        <w:p w14:paraId="79B7F243" w14:textId="09D205A5" w:rsidR="00AB2BB8" w:rsidRPr="005E13DD" w:rsidRDefault="00AB2BB8" w:rsidP="00FB4A38">
          <w:pPr>
            <w:widowControl w:val="0"/>
            <w:spacing w:after="0"/>
            <w:rPr>
              <w:rFonts w:ascii="Arial" w:hAnsi="Arial" w:cs="Arial"/>
              <w:sz w:val="16"/>
              <w:szCs w:val="16"/>
            </w:rPr>
          </w:pPr>
          <w:r w:rsidRPr="005E13DD">
            <w:rPr>
              <w:rFonts w:ascii="Arial" w:hAnsi="Arial" w:cs="Arial"/>
              <w:sz w:val="16"/>
              <w:szCs w:val="16"/>
            </w:rPr>
            <w:t xml:space="preserve">Fecha: </w:t>
          </w:r>
          <w:r w:rsidR="00161B0C" w:rsidRPr="005E13DD">
            <w:rPr>
              <w:rFonts w:ascii="Arial" w:hAnsi="Arial" w:cs="Arial"/>
              <w:sz w:val="16"/>
              <w:szCs w:val="16"/>
            </w:rPr>
            <w:t>06/04/2022</w:t>
          </w:r>
        </w:p>
      </w:tc>
    </w:tr>
    <w:tr w:rsidR="00AB2BB8" w:rsidRPr="00CD4AF9" w14:paraId="544DE3DC" w14:textId="77777777" w:rsidTr="009B525F">
      <w:trPr>
        <w:trHeight w:val="355"/>
      </w:trPr>
      <w:tc>
        <w:tcPr>
          <w:tcW w:w="3600" w:type="dxa"/>
          <w:vMerge/>
          <w:shd w:val="clear" w:color="auto" w:fill="auto"/>
        </w:tcPr>
        <w:p w14:paraId="4A2D5497" w14:textId="77777777" w:rsidR="00AB2BB8" w:rsidRPr="00CD4AF9" w:rsidRDefault="00AB2BB8" w:rsidP="008B0DA8">
          <w:pPr>
            <w:pStyle w:val="Encabezado"/>
            <w:widowControl w:val="0"/>
            <w:rPr>
              <w:rFonts w:ascii="Verdana" w:hAnsi="Verdana"/>
            </w:rPr>
          </w:pPr>
        </w:p>
      </w:tc>
      <w:tc>
        <w:tcPr>
          <w:tcW w:w="5417" w:type="dxa"/>
          <w:vMerge/>
          <w:shd w:val="clear" w:color="auto" w:fill="auto"/>
          <w:vAlign w:val="center"/>
        </w:tcPr>
        <w:p w14:paraId="4812F5A1" w14:textId="77777777" w:rsidR="00AB2BB8" w:rsidRPr="00CD4AF9" w:rsidRDefault="00AB2BB8" w:rsidP="00FB4A38">
          <w:pPr>
            <w:pStyle w:val="Encabezado"/>
            <w:widowControl w:val="0"/>
            <w:rPr>
              <w:rFonts w:ascii="Verdana" w:hAnsi="Verdana"/>
            </w:rPr>
          </w:pPr>
        </w:p>
      </w:tc>
      <w:tc>
        <w:tcPr>
          <w:tcW w:w="2155" w:type="dxa"/>
          <w:shd w:val="clear" w:color="auto" w:fill="auto"/>
          <w:vAlign w:val="center"/>
        </w:tcPr>
        <w:p w14:paraId="1A65F3FD" w14:textId="5857ECFB" w:rsidR="00AB2BB8" w:rsidRPr="005E13DD" w:rsidRDefault="00FB4A38" w:rsidP="00FB4A38">
          <w:pPr>
            <w:widowControl w:val="0"/>
            <w:spacing w:after="0"/>
            <w:rPr>
              <w:rFonts w:ascii="Arial" w:hAnsi="Arial" w:cs="Arial"/>
              <w:sz w:val="16"/>
              <w:szCs w:val="16"/>
            </w:rPr>
          </w:pPr>
          <w:r w:rsidRPr="005E13DD">
            <w:rPr>
              <w:rFonts w:ascii="Arial" w:hAnsi="Arial" w:cs="Arial"/>
              <w:sz w:val="16"/>
              <w:szCs w:val="16"/>
              <w:lang w:val="es-ES"/>
            </w:rPr>
            <w:t xml:space="preserve">Página </w:t>
          </w:r>
          <w:r w:rsidRPr="005E13DD">
            <w:rPr>
              <w:rFonts w:ascii="Arial" w:hAnsi="Arial" w:cs="Arial"/>
              <w:b/>
              <w:bCs/>
              <w:sz w:val="16"/>
              <w:szCs w:val="16"/>
            </w:rPr>
            <w:fldChar w:fldCharType="begin"/>
          </w:r>
          <w:r w:rsidRPr="005E13DD">
            <w:rPr>
              <w:rFonts w:ascii="Arial" w:hAnsi="Arial" w:cs="Arial"/>
              <w:b/>
              <w:bCs/>
              <w:sz w:val="16"/>
              <w:szCs w:val="16"/>
            </w:rPr>
            <w:instrText>PAGE  \* Arabic  \* MERGEFORMAT</w:instrText>
          </w:r>
          <w:r w:rsidRPr="005E13DD">
            <w:rPr>
              <w:rFonts w:ascii="Arial" w:hAnsi="Arial" w:cs="Arial"/>
              <w:b/>
              <w:bCs/>
              <w:sz w:val="16"/>
              <w:szCs w:val="16"/>
            </w:rPr>
            <w:fldChar w:fldCharType="separate"/>
          </w:r>
          <w:r w:rsidR="009B525F" w:rsidRPr="005E13DD">
            <w:rPr>
              <w:rFonts w:ascii="Arial" w:hAnsi="Arial" w:cs="Arial"/>
              <w:b/>
              <w:bCs/>
              <w:noProof/>
              <w:sz w:val="16"/>
              <w:szCs w:val="16"/>
              <w:lang w:val="es-ES"/>
            </w:rPr>
            <w:t>1</w:t>
          </w:r>
          <w:r w:rsidRPr="005E13DD">
            <w:rPr>
              <w:rFonts w:ascii="Arial" w:hAnsi="Arial" w:cs="Arial"/>
              <w:b/>
              <w:bCs/>
              <w:sz w:val="16"/>
              <w:szCs w:val="16"/>
            </w:rPr>
            <w:fldChar w:fldCharType="end"/>
          </w:r>
          <w:r w:rsidRPr="005E13DD">
            <w:rPr>
              <w:rFonts w:ascii="Arial" w:hAnsi="Arial" w:cs="Arial"/>
              <w:sz w:val="16"/>
              <w:szCs w:val="16"/>
              <w:lang w:val="es-ES"/>
            </w:rPr>
            <w:t xml:space="preserve"> de </w:t>
          </w:r>
          <w:r w:rsidRPr="005E13DD">
            <w:rPr>
              <w:rFonts w:ascii="Arial" w:hAnsi="Arial" w:cs="Arial"/>
              <w:b/>
              <w:bCs/>
              <w:sz w:val="16"/>
              <w:szCs w:val="16"/>
            </w:rPr>
            <w:fldChar w:fldCharType="begin"/>
          </w:r>
          <w:r w:rsidRPr="005E13DD">
            <w:rPr>
              <w:rFonts w:ascii="Arial" w:hAnsi="Arial" w:cs="Arial"/>
              <w:b/>
              <w:bCs/>
              <w:sz w:val="16"/>
              <w:szCs w:val="16"/>
            </w:rPr>
            <w:instrText>NUMPAGES  \* Arabic  \* MERGEFORMAT</w:instrText>
          </w:r>
          <w:r w:rsidRPr="005E13DD">
            <w:rPr>
              <w:rFonts w:ascii="Arial" w:hAnsi="Arial" w:cs="Arial"/>
              <w:b/>
              <w:bCs/>
              <w:sz w:val="16"/>
              <w:szCs w:val="16"/>
            </w:rPr>
            <w:fldChar w:fldCharType="separate"/>
          </w:r>
          <w:r w:rsidR="009B525F" w:rsidRPr="005E13DD">
            <w:rPr>
              <w:rFonts w:ascii="Arial" w:hAnsi="Arial" w:cs="Arial"/>
              <w:b/>
              <w:bCs/>
              <w:noProof/>
              <w:sz w:val="16"/>
              <w:szCs w:val="16"/>
              <w:lang w:val="es-ES"/>
            </w:rPr>
            <w:t>1</w:t>
          </w:r>
          <w:r w:rsidRPr="005E13DD">
            <w:rPr>
              <w:rFonts w:ascii="Arial" w:hAnsi="Arial" w:cs="Arial"/>
              <w:b/>
              <w:bCs/>
              <w:sz w:val="16"/>
              <w:szCs w:val="16"/>
            </w:rPr>
            <w:fldChar w:fldCharType="end"/>
          </w:r>
        </w:p>
      </w:tc>
    </w:tr>
  </w:tbl>
  <w:p w14:paraId="4B2B5C8B" w14:textId="77777777" w:rsidR="00E72035" w:rsidRDefault="00E72035" w:rsidP="0022123A">
    <w:pPr>
      <w:pStyle w:val="Encabezado"/>
      <w:tabs>
        <w:tab w:val="clear" w:pos="8504"/>
        <w:tab w:val="left" w:pos="4956"/>
        <w:tab w:val="left" w:pos="5664"/>
        <w:tab w:val="left" w:pos="63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22575"/>
    <w:multiLevelType w:val="hybridMultilevel"/>
    <w:tmpl w:val="BCC8F832"/>
    <w:lvl w:ilvl="0" w:tplc="FE98D54C">
      <w:start w:val="1"/>
      <w:numFmt w:val="decimal"/>
      <w:lvlText w:val="%1."/>
      <w:lvlJc w:val="left"/>
      <w:pPr>
        <w:tabs>
          <w:tab w:val="num" w:pos="360"/>
        </w:tabs>
        <w:ind w:left="360" w:hanging="360"/>
      </w:pPr>
      <w:rPr>
        <w:rFonts w:ascii="Arial" w:hAnsi="Arial" w:hint="default"/>
        <w:b/>
      </w:rPr>
    </w:lvl>
    <w:lvl w:ilvl="1" w:tplc="0C0A0005">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7F75ADA"/>
    <w:multiLevelType w:val="hybridMultilevel"/>
    <w:tmpl w:val="52FC0A6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D469E9"/>
    <w:multiLevelType w:val="hybridMultilevel"/>
    <w:tmpl w:val="CEDA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9A65D32"/>
    <w:multiLevelType w:val="hybridMultilevel"/>
    <w:tmpl w:val="23000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E57795"/>
    <w:multiLevelType w:val="hybridMultilevel"/>
    <w:tmpl w:val="DE947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EA4324A"/>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2251171"/>
    <w:multiLevelType w:val="hybridMultilevel"/>
    <w:tmpl w:val="A8B0FF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52D16694"/>
    <w:multiLevelType w:val="multilevel"/>
    <w:tmpl w:val="FF201648"/>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5EE5F41"/>
    <w:multiLevelType w:val="hybridMultilevel"/>
    <w:tmpl w:val="37484256"/>
    <w:lvl w:ilvl="0" w:tplc="0C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9" w15:restartNumberingAfterBreak="0">
    <w:nsid w:val="62935CF5"/>
    <w:multiLevelType w:val="hybridMultilevel"/>
    <w:tmpl w:val="EB1EA0E6"/>
    <w:lvl w:ilvl="0" w:tplc="221AB44A">
      <w:start w:val="1"/>
      <w:numFmt w:val="decimal"/>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0" w15:restartNumberingAfterBreak="0">
    <w:nsid w:val="7D667F44"/>
    <w:multiLevelType w:val="hybridMultilevel"/>
    <w:tmpl w:val="3ECC9E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59127843">
    <w:abstractNumId w:val="9"/>
  </w:num>
  <w:num w:numId="2" w16cid:durableId="190729836">
    <w:abstractNumId w:val="0"/>
  </w:num>
  <w:num w:numId="3" w16cid:durableId="515385353">
    <w:abstractNumId w:val="2"/>
  </w:num>
  <w:num w:numId="4" w16cid:durableId="1557398062">
    <w:abstractNumId w:val="4"/>
  </w:num>
  <w:num w:numId="5" w16cid:durableId="504438360">
    <w:abstractNumId w:val="10"/>
  </w:num>
  <w:num w:numId="6" w16cid:durableId="176500437">
    <w:abstractNumId w:val="6"/>
  </w:num>
  <w:num w:numId="7" w16cid:durableId="374963599">
    <w:abstractNumId w:val="3"/>
  </w:num>
  <w:num w:numId="8" w16cid:durableId="1483815307">
    <w:abstractNumId w:val="8"/>
  </w:num>
  <w:num w:numId="9" w16cid:durableId="1038353296">
    <w:abstractNumId w:val="5"/>
  </w:num>
  <w:num w:numId="10" w16cid:durableId="1725635851">
    <w:abstractNumId w:val="7"/>
  </w:num>
  <w:num w:numId="11" w16cid:durableId="41755454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dra imelda sanchez peña">
    <w15:presenceInfo w15:providerId="Windows Live" w15:userId="60f74681b20979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137"/>
    <w:rsid w:val="00000DA5"/>
    <w:rsid w:val="00001B84"/>
    <w:rsid w:val="0000483F"/>
    <w:rsid w:val="00035906"/>
    <w:rsid w:val="00063A8E"/>
    <w:rsid w:val="00075304"/>
    <w:rsid w:val="00084629"/>
    <w:rsid w:val="00096A9C"/>
    <w:rsid w:val="000A06D3"/>
    <w:rsid w:val="000A0F79"/>
    <w:rsid w:val="000A3C94"/>
    <w:rsid w:val="000C2C8D"/>
    <w:rsid w:val="000D5FE0"/>
    <w:rsid w:val="000E25DA"/>
    <w:rsid w:val="000F1D5D"/>
    <w:rsid w:val="000F539E"/>
    <w:rsid w:val="00110BEE"/>
    <w:rsid w:val="00137487"/>
    <w:rsid w:val="00145604"/>
    <w:rsid w:val="00151DFC"/>
    <w:rsid w:val="00161B0C"/>
    <w:rsid w:val="00166B8B"/>
    <w:rsid w:val="0017127A"/>
    <w:rsid w:val="001737FD"/>
    <w:rsid w:val="00174DB0"/>
    <w:rsid w:val="00177334"/>
    <w:rsid w:val="00187F9F"/>
    <w:rsid w:val="001942E2"/>
    <w:rsid w:val="001B3AE0"/>
    <w:rsid w:val="001B66D8"/>
    <w:rsid w:val="002006B0"/>
    <w:rsid w:val="002129FF"/>
    <w:rsid w:val="0022123A"/>
    <w:rsid w:val="0023034C"/>
    <w:rsid w:val="00240F97"/>
    <w:rsid w:val="00244CA1"/>
    <w:rsid w:val="0024787C"/>
    <w:rsid w:val="00260188"/>
    <w:rsid w:val="00262034"/>
    <w:rsid w:val="002649D2"/>
    <w:rsid w:val="0027097D"/>
    <w:rsid w:val="0027751C"/>
    <w:rsid w:val="002813B1"/>
    <w:rsid w:val="002A08EF"/>
    <w:rsid w:val="002B18D9"/>
    <w:rsid w:val="002C241F"/>
    <w:rsid w:val="002E4DD0"/>
    <w:rsid w:val="002F2E76"/>
    <w:rsid w:val="002F45B7"/>
    <w:rsid w:val="00313355"/>
    <w:rsid w:val="00315DEC"/>
    <w:rsid w:val="00316E44"/>
    <w:rsid w:val="00327D50"/>
    <w:rsid w:val="00330E79"/>
    <w:rsid w:val="00332CC0"/>
    <w:rsid w:val="0033674E"/>
    <w:rsid w:val="00341BE4"/>
    <w:rsid w:val="00345328"/>
    <w:rsid w:val="00354C9B"/>
    <w:rsid w:val="003653B5"/>
    <w:rsid w:val="00377591"/>
    <w:rsid w:val="003900A2"/>
    <w:rsid w:val="00396C60"/>
    <w:rsid w:val="003A69DF"/>
    <w:rsid w:val="003B7FFD"/>
    <w:rsid w:val="003D265E"/>
    <w:rsid w:val="003D355F"/>
    <w:rsid w:val="003F0155"/>
    <w:rsid w:val="00414E86"/>
    <w:rsid w:val="00433D06"/>
    <w:rsid w:val="00444629"/>
    <w:rsid w:val="004806A4"/>
    <w:rsid w:val="004D7908"/>
    <w:rsid w:val="004F672E"/>
    <w:rsid w:val="005174B1"/>
    <w:rsid w:val="00554136"/>
    <w:rsid w:val="005A3842"/>
    <w:rsid w:val="005C332F"/>
    <w:rsid w:val="005D5EC5"/>
    <w:rsid w:val="005E13DD"/>
    <w:rsid w:val="005E6CDC"/>
    <w:rsid w:val="00601407"/>
    <w:rsid w:val="00614BA9"/>
    <w:rsid w:val="00636D5B"/>
    <w:rsid w:val="00643B53"/>
    <w:rsid w:val="00646634"/>
    <w:rsid w:val="00657EEC"/>
    <w:rsid w:val="00676B34"/>
    <w:rsid w:val="00685938"/>
    <w:rsid w:val="006A6B5D"/>
    <w:rsid w:val="006B5344"/>
    <w:rsid w:val="006B53A1"/>
    <w:rsid w:val="006C4221"/>
    <w:rsid w:val="00704B2C"/>
    <w:rsid w:val="0072262D"/>
    <w:rsid w:val="0073750F"/>
    <w:rsid w:val="00746283"/>
    <w:rsid w:val="00751137"/>
    <w:rsid w:val="00753A23"/>
    <w:rsid w:val="0076015E"/>
    <w:rsid w:val="0079015C"/>
    <w:rsid w:val="00792049"/>
    <w:rsid w:val="007B41D7"/>
    <w:rsid w:val="007C6475"/>
    <w:rsid w:val="007D0F50"/>
    <w:rsid w:val="007D58DF"/>
    <w:rsid w:val="007F4DB3"/>
    <w:rsid w:val="007F75E5"/>
    <w:rsid w:val="00825100"/>
    <w:rsid w:val="008346BB"/>
    <w:rsid w:val="0084099E"/>
    <w:rsid w:val="00840ABA"/>
    <w:rsid w:val="00844B2A"/>
    <w:rsid w:val="00872468"/>
    <w:rsid w:val="008803B7"/>
    <w:rsid w:val="008B0DA8"/>
    <w:rsid w:val="008C0846"/>
    <w:rsid w:val="008D390A"/>
    <w:rsid w:val="008D3D4B"/>
    <w:rsid w:val="008D7AF3"/>
    <w:rsid w:val="008E1C20"/>
    <w:rsid w:val="008E3801"/>
    <w:rsid w:val="0090224D"/>
    <w:rsid w:val="00914524"/>
    <w:rsid w:val="00955B94"/>
    <w:rsid w:val="00956727"/>
    <w:rsid w:val="0097776E"/>
    <w:rsid w:val="009A6861"/>
    <w:rsid w:val="009B525F"/>
    <w:rsid w:val="009C2EBF"/>
    <w:rsid w:val="009C6F9B"/>
    <w:rsid w:val="009D6A98"/>
    <w:rsid w:val="009D7818"/>
    <w:rsid w:val="009E0C76"/>
    <w:rsid w:val="009E22F1"/>
    <w:rsid w:val="00A00E59"/>
    <w:rsid w:val="00A064E7"/>
    <w:rsid w:val="00A10498"/>
    <w:rsid w:val="00A16F07"/>
    <w:rsid w:val="00A4098B"/>
    <w:rsid w:val="00A40BBC"/>
    <w:rsid w:val="00A50231"/>
    <w:rsid w:val="00A53A80"/>
    <w:rsid w:val="00A53B74"/>
    <w:rsid w:val="00A544CE"/>
    <w:rsid w:val="00A55CCD"/>
    <w:rsid w:val="00A56495"/>
    <w:rsid w:val="00A76423"/>
    <w:rsid w:val="00A82B2F"/>
    <w:rsid w:val="00A833D5"/>
    <w:rsid w:val="00A83DB4"/>
    <w:rsid w:val="00A96442"/>
    <w:rsid w:val="00AB2BB8"/>
    <w:rsid w:val="00AB65C6"/>
    <w:rsid w:val="00AD7A74"/>
    <w:rsid w:val="00B349DE"/>
    <w:rsid w:val="00B40884"/>
    <w:rsid w:val="00B57CA8"/>
    <w:rsid w:val="00B877C1"/>
    <w:rsid w:val="00B91F95"/>
    <w:rsid w:val="00BA20A8"/>
    <w:rsid w:val="00BA5C0B"/>
    <w:rsid w:val="00BB2C70"/>
    <w:rsid w:val="00BB2D1B"/>
    <w:rsid w:val="00BC0D1E"/>
    <w:rsid w:val="00BD027D"/>
    <w:rsid w:val="00BD2535"/>
    <w:rsid w:val="00BD261C"/>
    <w:rsid w:val="00C218F4"/>
    <w:rsid w:val="00C22560"/>
    <w:rsid w:val="00C2751D"/>
    <w:rsid w:val="00C31A5A"/>
    <w:rsid w:val="00C55B7B"/>
    <w:rsid w:val="00C6160D"/>
    <w:rsid w:val="00C83741"/>
    <w:rsid w:val="00C87C6F"/>
    <w:rsid w:val="00C97A50"/>
    <w:rsid w:val="00CC0238"/>
    <w:rsid w:val="00CD0112"/>
    <w:rsid w:val="00CD670A"/>
    <w:rsid w:val="00CD73A2"/>
    <w:rsid w:val="00CD7616"/>
    <w:rsid w:val="00CF1E3B"/>
    <w:rsid w:val="00CF526F"/>
    <w:rsid w:val="00D06DB3"/>
    <w:rsid w:val="00D24124"/>
    <w:rsid w:val="00D45786"/>
    <w:rsid w:val="00D56A39"/>
    <w:rsid w:val="00D60CE9"/>
    <w:rsid w:val="00D6225E"/>
    <w:rsid w:val="00D73F0B"/>
    <w:rsid w:val="00D84A48"/>
    <w:rsid w:val="00D90AA9"/>
    <w:rsid w:val="00D93530"/>
    <w:rsid w:val="00DA5D8C"/>
    <w:rsid w:val="00DB7D6C"/>
    <w:rsid w:val="00DD5E54"/>
    <w:rsid w:val="00DF7F68"/>
    <w:rsid w:val="00E02216"/>
    <w:rsid w:val="00E03DD0"/>
    <w:rsid w:val="00E07BA3"/>
    <w:rsid w:val="00E52BA4"/>
    <w:rsid w:val="00E72035"/>
    <w:rsid w:val="00E73C1B"/>
    <w:rsid w:val="00E82F7C"/>
    <w:rsid w:val="00E84481"/>
    <w:rsid w:val="00EA189F"/>
    <w:rsid w:val="00EA5401"/>
    <w:rsid w:val="00EB009D"/>
    <w:rsid w:val="00EB2102"/>
    <w:rsid w:val="00ED3806"/>
    <w:rsid w:val="00ED66AB"/>
    <w:rsid w:val="00F06797"/>
    <w:rsid w:val="00F338AD"/>
    <w:rsid w:val="00F51B20"/>
    <w:rsid w:val="00F65943"/>
    <w:rsid w:val="00F65D55"/>
    <w:rsid w:val="00F71D66"/>
    <w:rsid w:val="00F91D04"/>
    <w:rsid w:val="00F95F2C"/>
    <w:rsid w:val="00FA1EED"/>
    <w:rsid w:val="00FA1F9F"/>
    <w:rsid w:val="00FB4A38"/>
    <w:rsid w:val="00FE7AC4"/>
  </w:rsids>
  <m:mathPr>
    <m:mathFont m:val="Cambria Math"/>
    <m:brkBin m:val="before"/>
    <m:brkBinSub m:val="--"/>
    <m:smallFrac m:val="0"/>
    <m:dispDef m:val="0"/>
    <m:lMargin m:val="0"/>
    <m:rMargin m:val="0"/>
    <m:defJc m:val="centerGroup"/>
    <m:wrapRight/>
    <m:intLim m:val="subSup"/>
    <m:naryLim m:val="subSup"/>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5FB627"/>
  <w15:docId w15:val="{2E5CF0F0-D6C1-40B9-A565-33E9D530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9F"/>
    <w:pPr>
      <w:spacing w:after="200"/>
    </w:pPr>
    <w:rPr>
      <w:sz w:val="24"/>
      <w:szCs w:val="24"/>
      <w:lang w:val="es-ES_tradnl" w:eastAsia="en-US"/>
    </w:rPr>
  </w:style>
  <w:style w:type="paragraph" w:styleId="Ttulo1">
    <w:name w:val="heading 1"/>
    <w:basedOn w:val="Normal"/>
    <w:next w:val="Normal"/>
    <w:link w:val="Ttulo1Car"/>
    <w:uiPriority w:val="9"/>
    <w:qFormat/>
    <w:rsid w:val="00C837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D9353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encabezado"/>
    <w:basedOn w:val="Normal"/>
    <w:link w:val="EncabezadoCar"/>
    <w:unhideWhenUsed/>
    <w:rsid w:val="00751137"/>
    <w:pPr>
      <w:tabs>
        <w:tab w:val="center" w:pos="4252"/>
        <w:tab w:val="right" w:pos="8504"/>
      </w:tabs>
      <w:spacing w:after="0"/>
    </w:pPr>
  </w:style>
  <w:style w:type="character" w:customStyle="1" w:styleId="EncabezadoCar">
    <w:name w:val="Encabezado Car"/>
    <w:aliases w:val="Haut de page Car,encabezado Car"/>
    <w:basedOn w:val="Fuentedeprrafopredeter"/>
    <w:link w:val="Encabezado"/>
    <w:rsid w:val="00751137"/>
  </w:style>
  <w:style w:type="paragraph" w:styleId="Piedepgina">
    <w:name w:val="footer"/>
    <w:basedOn w:val="Normal"/>
    <w:link w:val="PiedepginaCar"/>
    <w:uiPriority w:val="99"/>
    <w:unhideWhenUsed/>
    <w:rsid w:val="00751137"/>
    <w:pPr>
      <w:tabs>
        <w:tab w:val="center" w:pos="4252"/>
        <w:tab w:val="right" w:pos="8504"/>
      </w:tabs>
      <w:spacing w:after="0"/>
    </w:pPr>
  </w:style>
  <w:style w:type="character" w:customStyle="1" w:styleId="PiedepginaCar">
    <w:name w:val="Pie de página Car"/>
    <w:basedOn w:val="Fuentedeprrafopredeter"/>
    <w:link w:val="Piedepgina"/>
    <w:uiPriority w:val="99"/>
    <w:rsid w:val="00751137"/>
  </w:style>
  <w:style w:type="table" w:styleId="Tablaconcuadrcula">
    <w:name w:val="Table Grid"/>
    <w:basedOn w:val="Tablanormal"/>
    <w:uiPriority w:val="59"/>
    <w:rsid w:val="00B91F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A189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89F"/>
    <w:rPr>
      <w:rFonts w:ascii="Tahoma" w:hAnsi="Tahoma" w:cs="Tahoma"/>
      <w:sz w:val="16"/>
      <w:szCs w:val="16"/>
      <w:lang w:val="es-ES_tradnl" w:eastAsia="en-US"/>
    </w:rPr>
  </w:style>
  <w:style w:type="paragraph" w:styleId="Prrafodelista">
    <w:name w:val="List Paragraph"/>
    <w:basedOn w:val="Normal"/>
    <w:uiPriority w:val="34"/>
    <w:qFormat/>
    <w:rsid w:val="00F338AD"/>
    <w:pPr>
      <w:ind w:left="720"/>
      <w:contextualSpacing/>
    </w:pPr>
  </w:style>
  <w:style w:type="paragraph" w:styleId="Textoindependiente2">
    <w:name w:val="Body Text 2"/>
    <w:basedOn w:val="Normal"/>
    <w:link w:val="Textoindependiente2Car"/>
    <w:rsid w:val="0076015E"/>
    <w:pPr>
      <w:spacing w:after="120" w:line="480" w:lineRule="auto"/>
    </w:pPr>
    <w:rPr>
      <w:rFonts w:ascii="Times New Roman" w:eastAsia="Times New Roman" w:hAnsi="Times New Roman"/>
      <w:lang w:val="es-CO" w:eastAsia="es-ES"/>
    </w:rPr>
  </w:style>
  <w:style w:type="character" w:customStyle="1" w:styleId="Textoindependiente2Car">
    <w:name w:val="Texto independiente 2 Car"/>
    <w:basedOn w:val="Fuentedeprrafopredeter"/>
    <w:link w:val="Textoindependiente2"/>
    <w:rsid w:val="0076015E"/>
    <w:rPr>
      <w:rFonts w:ascii="Times New Roman" w:eastAsia="Times New Roman" w:hAnsi="Times New Roman"/>
      <w:sz w:val="24"/>
      <w:szCs w:val="24"/>
      <w:lang w:val="es-CO"/>
    </w:rPr>
  </w:style>
  <w:style w:type="paragraph" w:styleId="Sangradetextonormal">
    <w:name w:val="Body Text Indent"/>
    <w:basedOn w:val="Normal"/>
    <w:link w:val="SangradetextonormalCar"/>
    <w:rsid w:val="00FA1EED"/>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rsid w:val="00FA1EED"/>
    <w:rPr>
      <w:rFonts w:ascii="Times New Roman" w:eastAsia="Times New Roman" w:hAnsi="Times New Roman"/>
      <w:sz w:val="24"/>
      <w:szCs w:val="24"/>
    </w:rPr>
  </w:style>
  <w:style w:type="paragraph" w:styleId="Textocomentario">
    <w:name w:val="annotation text"/>
    <w:basedOn w:val="Normal"/>
    <w:link w:val="TextocomentarioCar"/>
    <w:uiPriority w:val="99"/>
    <w:unhideWhenUsed/>
    <w:rsid w:val="00FA1EED"/>
    <w:pPr>
      <w:spacing w:after="0"/>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A1EED"/>
    <w:rPr>
      <w:rFonts w:ascii="Times New Roman" w:eastAsia="Times New Roman" w:hAnsi="Times New Roman"/>
    </w:rPr>
  </w:style>
  <w:style w:type="character" w:styleId="Refdecomentario">
    <w:name w:val="annotation reference"/>
    <w:rsid w:val="00FA1EED"/>
    <w:rPr>
      <w:sz w:val="16"/>
      <w:szCs w:val="16"/>
    </w:rPr>
  </w:style>
  <w:style w:type="paragraph" w:customStyle="1" w:styleId="TableParagraph">
    <w:name w:val="Table Paragraph"/>
    <w:basedOn w:val="Normal"/>
    <w:uiPriority w:val="1"/>
    <w:qFormat/>
    <w:rsid w:val="00FA1EED"/>
    <w:pPr>
      <w:widowControl w:val="0"/>
      <w:autoSpaceDE w:val="0"/>
      <w:autoSpaceDN w:val="0"/>
      <w:spacing w:after="0"/>
    </w:pPr>
    <w:rPr>
      <w:rFonts w:ascii="Arial" w:eastAsia="Arial" w:hAnsi="Arial" w:cs="Arial"/>
      <w:sz w:val="22"/>
      <w:szCs w:val="22"/>
      <w:lang w:val="es-ES" w:eastAsia="es-ES" w:bidi="es-ES"/>
    </w:rPr>
  </w:style>
  <w:style w:type="paragraph" w:customStyle="1" w:styleId="SUBTITULOS">
    <w:name w:val="SUBTITULOS"/>
    <w:basedOn w:val="Normal"/>
    <w:link w:val="SUBTITULOSCar"/>
    <w:qFormat/>
    <w:rsid w:val="00A76423"/>
    <w:pPr>
      <w:spacing w:before="120" w:after="120"/>
    </w:pPr>
    <w:rPr>
      <w:rFonts w:ascii="Century Gothic" w:hAnsi="Century Gothic" w:cs="Arial"/>
      <w:b/>
      <w:noProof/>
      <w:color w:val="7F7F7F"/>
    </w:rPr>
  </w:style>
  <w:style w:type="character" w:customStyle="1" w:styleId="SUBTITULOSCar">
    <w:name w:val="SUBTITULOS Car"/>
    <w:link w:val="SUBTITULOS"/>
    <w:rsid w:val="00A76423"/>
    <w:rPr>
      <w:rFonts w:ascii="Century Gothic" w:hAnsi="Century Gothic" w:cs="Arial"/>
      <w:b/>
      <w:noProof/>
      <w:color w:val="7F7F7F"/>
      <w:sz w:val="24"/>
      <w:szCs w:val="24"/>
      <w:lang w:val="es-ES_tradnl" w:eastAsia="en-US"/>
    </w:rPr>
  </w:style>
  <w:style w:type="paragraph" w:styleId="Asuntodelcomentario">
    <w:name w:val="annotation subject"/>
    <w:basedOn w:val="Textocomentario"/>
    <w:next w:val="Textocomentario"/>
    <w:link w:val="AsuntodelcomentarioCar"/>
    <w:uiPriority w:val="99"/>
    <w:semiHidden/>
    <w:unhideWhenUsed/>
    <w:rsid w:val="008D390A"/>
    <w:pPr>
      <w:spacing w:after="200"/>
    </w:pPr>
    <w:rPr>
      <w:rFonts w:ascii="Cambria" w:eastAsia="Cambria" w:hAnsi="Cambria"/>
      <w:b/>
      <w:bCs/>
      <w:lang w:val="es-ES_tradnl" w:eastAsia="en-US"/>
    </w:rPr>
  </w:style>
  <w:style w:type="character" w:customStyle="1" w:styleId="AsuntodelcomentarioCar">
    <w:name w:val="Asunto del comentario Car"/>
    <w:basedOn w:val="TextocomentarioCar"/>
    <w:link w:val="Asuntodelcomentario"/>
    <w:uiPriority w:val="99"/>
    <w:semiHidden/>
    <w:rsid w:val="008D390A"/>
    <w:rPr>
      <w:rFonts w:ascii="Times New Roman" w:eastAsia="Times New Roman" w:hAnsi="Times New Roman"/>
      <w:b/>
      <w:bCs/>
      <w:lang w:val="es-ES_tradnl" w:eastAsia="en-US"/>
    </w:rPr>
  </w:style>
  <w:style w:type="character" w:customStyle="1" w:styleId="Ttulo1Car">
    <w:name w:val="Título 1 Car"/>
    <w:basedOn w:val="Fuentedeprrafopredeter"/>
    <w:link w:val="Ttulo1"/>
    <w:uiPriority w:val="9"/>
    <w:rsid w:val="00C83741"/>
    <w:rPr>
      <w:rFonts w:asciiTheme="majorHAnsi" w:eastAsiaTheme="majorEastAsia" w:hAnsiTheme="majorHAnsi" w:cstheme="majorBidi"/>
      <w:color w:val="365F91" w:themeColor="accent1" w:themeShade="BF"/>
      <w:sz w:val="32"/>
      <w:szCs w:val="32"/>
      <w:lang w:val="es-ES_tradnl" w:eastAsia="en-US"/>
    </w:rPr>
  </w:style>
  <w:style w:type="character" w:customStyle="1" w:styleId="Ttulo2Car">
    <w:name w:val="Título 2 Car"/>
    <w:basedOn w:val="Fuentedeprrafopredeter"/>
    <w:link w:val="Ttulo2"/>
    <w:uiPriority w:val="9"/>
    <w:semiHidden/>
    <w:rsid w:val="00D93530"/>
    <w:rPr>
      <w:rFonts w:asciiTheme="majorHAnsi" w:eastAsiaTheme="majorEastAsia" w:hAnsiTheme="majorHAnsi" w:cstheme="majorBidi"/>
      <w:color w:val="365F91" w:themeColor="accent1" w:themeShade="BF"/>
      <w:sz w:val="26"/>
      <w:szCs w:val="26"/>
      <w:lang w:val="es-ES_tradnl" w:eastAsia="en-US"/>
    </w:rPr>
  </w:style>
  <w:style w:type="paragraph" w:styleId="TtuloTDC">
    <w:name w:val="TOC Heading"/>
    <w:basedOn w:val="Ttulo1"/>
    <w:next w:val="Normal"/>
    <w:uiPriority w:val="39"/>
    <w:unhideWhenUsed/>
    <w:qFormat/>
    <w:rsid w:val="004D7908"/>
    <w:pPr>
      <w:spacing w:line="259" w:lineRule="auto"/>
      <w:outlineLvl w:val="9"/>
    </w:pPr>
    <w:rPr>
      <w:lang w:val="es-CO" w:eastAsia="es-CO"/>
    </w:rPr>
  </w:style>
  <w:style w:type="paragraph" w:styleId="TDC2">
    <w:name w:val="toc 2"/>
    <w:basedOn w:val="Normal"/>
    <w:next w:val="Normal"/>
    <w:autoRedefine/>
    <w:uiPriority w:val="39"/>
    <w:unhideWhenUsed/>
    <w:rsid w:val="004D7908"/>
    <w:pPr>
      <w:spacing w:after="100" w:line="259" w:lineRule="auto"/>
      <w:ind w:left="220"/>
    </w:pPr>
    <w:rPr>
      <w:rFonts w:asciiTheme="minorHAnsi" w:eastAsiaTheme="minorEastAsia" w:hAnsiTheme="minorHAnsi"/>
      <w:sz w:val="22"/>
      <w:szCs w:val="22"/>
      <w:lang w:val="es-CO" w:eastAsia="es-CO"/>
    </w:rPr>
  </w:style>
  <w:style w:type="paragraph" w:styleId="TDC1">
    <w:name w:val="toc 1"/>
    <w:basedOn w:val="Normal"/>
    <w:next w:val="Normal"/>
    <w:autoRedefine/>
    <w:uiPriority w:val="39"/>
    <w:unhideWhenUsed/>
    <w:rsid w:val="004D7908"/>
    <w:pPr>
      <w:spacing w:after="100" w:line="259" w:lineRule="auto"/>
    </w:pPr>
    <w:rPr>
      <w:rFonts w:asciiTheme="minorHAnsi" w:eastAsiaTheme="minorEastAsia" w:hAnsiTheme="minorHAnsi"/>
      <w:sz w:val="22"/>
      <w:szCs w:val="22"/>
      <w:lang w:val="es-CO" w:eastAsia="es-CO"/>
    </w:rPr>
  </w:style>
  <w:style w:type="paragraph" w:styleId="TDC3">
    <w:name w:val="toc 3"/>
    <w:basedOn w:val="Normal"/>
    <w:next w:val="Normal"/>
    <w:autoRedefine/>
    <w:uiPriority w:val="39"/>
    <w:unhideWhenUsed/>
    <w:rsid w:val="004D7908"/>
    <w:pPr>
      <w:spacing w:after="100" w:line="259" w:lineRule="auto"/>
      <w:ind w:left="440"/>
    </w:pPr>
    <w:rPr>
      <w:rFonts w:asciiTheme="minorHAnsi" w:eastAsiaTheme="minorEastAsia" w:hAnsiTheme="minorHAnsi"/>
      <w:sz w:val="22"/>
      <w:szCs w:val="2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999">
      <w:bodyDiv w:val="1"/>
      <w:marLeft w:val="0"/>
      <w:marRight w:val="0"/>
      <w:marTop w:val="0"/>
      <w:marBottom w:val="0"/>
      <w:divBdr>
        <w:top w:val="none" w:sz="0" w:space="0" w:color="auto"/>
        <w:left w:val="none" w:sz="0" w:space="0" w:color="auto"/>
        <w:bottom w:val="none" w:sz="0" w:space="0" w:color="auto"/>
        <w:right w:val="none" w:sz="0" w:space="0" w:color="auto"/>
      </w:divBdr>
    </w:div>
    <w:div w:id="125583257">
      <w:bodyDiv w:val="1"/>
      <w:marLeft w:val="0"/>
      <w:marRight w:val="0"/>
      <w:marTop w:val="0"/>
      <w:marBottom w:val="0"/>
      <w:divBdr>
        <w:top w:val="none" w:sz="0" w:space="0" w:color="auto"/>
        <w:left w:val="none" w:sz="0" w:space="0" w:color="auto"/>
        <w:bottom w:val="none" w:sz="0" w:space="0" w:color="auto"/>
        <w:right w:val="none" w:sz="0" w:space="0" w:color="auto"/>
      </w:divBdr>
    </w:div>
    <w:div w:id="169373291">
      <w:bodyDiv w:val="1"/>
      <w:marLeft w:val="0"/>
      <w:marRight w:val="0"/>
      <w:marTop w:val="0"/>
      <w:marBottom w:val="0"/>
      <w:divBdr>
        <w:top w:val="none" w:sz="0" w:space="0" w:color="auto"/>
        <w:left w:val="none" w:sz="0" w:space="0" w:color="auto"/>
        <w:bottom w:val="none" w:sz="0" w:space="0" w:color="auto"/>
        <w:right w:val="none" w:sz="0" w:space="0" w:color="auto"/>
      </w:divBdr>
    </w:div>
    <w:div w:id="429008140">
      <w:bodyDiv w:val="1"/>
      <w:marLeft w:val="0"/>
      <w:marRight w:val="0"/>
      <w:marTop w:val="0"/>
      <w:marBottom w:val="0"/>
      <w:divBdr>
        <w:top w:val="none" w:sz="0" w:space="0" w:color="auto"/>
        <w:left w:val="none" w:sz="0" w:space="0" w:color="auto"/>
        <w:bottom w:val="none" w:sz="0" w:space="0" w:color="auto"/>
        <w:right w:val="none" w:sz="0" w:space="0" w:color="auto"/>
      </w:divBdr>
    </w:div>
    <w:div w:id="592320094">
      <w:bodyDiv w:val="1"/>
      <w:marLeft w:val="0"/>
      <w:marRight w:val="0"/>
      <w:marTop w:val="0"/>
      <w:marBottom w:val="0"/>
      <w:divBdr>
        <w:top w:val="none" w:sz="0" w:space="0" w:color="auto"/>
        <w:left w:val="none" w:sz="0" w:space="0" w:color="auto"/>
        <w:bottom w:val="none" w:sz="0" w:space="0" w:color="auto"/>
        <w:right w:val="none" w:sz="0" w:space="0" w:color="auto"/>
      </w:divBdr>
    </w:div>
    <w:div w:id="640616595">
      <w:bodyDiv w:val="1"/>
      <w:marLeft w:val="0"/>
      <w:marRight w:val="0"/>
      <w:marTop w:val="0"/>
      <w:marBottom w:val="0"/>
      <w:divBdr>
        <w:top w:val="none" w:sz="0" w:space="0" w:color="auto"/>
        <w:left w:val="none" w:sz="0" w:space="0" w:color="auto"/>
        <w:bottom w:val="none" w:sz="0" w:space="0" w:color="auto"/>
        <w:right w:val="none" w:sz="0" w:space="0" w:color="auto"/>
      </w:divBdr>
    </w:div>
    <w:div w:id="692150178">
      <w:bodyDiv w:val="1"/>
      <w:marLeft w:val="0"/>
      <w:marRight w:val="0"/>
      <w:marTop w:val="0"/>
      <w:marBottom w:val="0"/>
      <w:divBdr>
        <w:top w:val="none" w:sz="0" w:space="0" w:color="auto"/>
        <w:left w:val="none" w:sz="0" w:space="0" w:color="auto"/>
        <w:bottom w:val="none" w:sz="0" w:space="0" w:color="auto"/>
        <w:right w:val="none" w:sz="0" w:space="0" w:color="auto"/>
      </w:divBdr>
    </w:div>
    <w:div w:id="872770837">
      <w:bodyDiv w:val="1"/>
      <w:marLeft w:val="0"/>
      <w:marRight w:val="0"/>
      <w:marTop w:val="0"/>
      <w:marBottom w:val="0"/>
      <w:divBdr>
        <w:top w:val="none" w:sz="0" w:space="0" w:color="auto"/>
        <w:left w:val="none" w:sz="0" w:space="0" w:color="auto"/>
        <w:bottom w:val="none" w:sz="0" w:space="0" w:color="auto"/>
        <w:right w:val="none" w:sz="0" w:space="0" w:color="auto"/>
      </w:divBdr>
    </w:div>
    <w:div w:id="997686420">
      <w:bodyDiv w:val="1"/>
      <w:marLeft w:val="0"/>
      <w:marRight w:val="0"/>
      <w:marTop w:val="0"/>
      <w:marBottom w:val="0"/>
      <w:divBdr>
        <w:top w:val="none" w:sz="0" w:space="0" w:color="auto"/>
        <w:left w:val="none" w:sz="0" w:space="0" w:color="auto"/>
        <w:bottom w:val="none" w:sz="0" w:space="0" w:color="auto"/>
        <w:right w:val="none" w:sz="0" w:space="0" w:color="auto"/>
      </w:divBdr>
    </w:div>
    <w:div w:id="1070423951">
      <w:bodyDiv w:val="1"/>
      <w:marLeft w:val="0"/>
      <w:marRight w:val="0"/>
      <w:marTop w:val="0"/>
      <w:marBottom w:val="0"/>
      <w:divBdr>
        <w:top w:val="none" w:sz="0" w:space="0" w:color="auto"/>
        <w:left w:val="none" w:sz="0" w:space="0" w:color="auto"/>
        <w:bottom w:val="none" w:sz="0" w:space="0" w:color="auto"/>
        <w:right w:val="none" w:sz="0" w:space="0" w:color="auto"/>
      </w:divBdr>
    </w:div>
    <w:div w:id="1365055749">
      <w:bodyDiv w:val="1"/>
      <w:marLeft w:val="0"/>
      <w:marRight w:val="0"/>
      <w:marTop w:val="0"/>
      <w:marBottom w:val="0"/>
      <w:divBdr>
        <w:top w:val="none" w:sz="0" w:space="0" w:color="auto"/>
        <w:left w:val="none" w:sz="0" w:space="0" w:color="auto"/>
        <w:bottom w:val="none" w:sz="0" w:space="0" w:color="auto"/>
        <w:right w:val="none" w:sz="0" w:space="0" w:color="auto"/>
      </w:divBdr>
    </w:div>
    <w:div w:id="1381784834">
      <w:bodyDiv w:val="1"/>
      <w:marLeft w:val="0"/>
      <w:marRight w:val="0"/>
      <w:marTop w:val="0"/>
      <w:marBottom w:val="0"/>
      <w:divBdr>
        <w:top w:val="none" w:sz="0" w:space="0" w:color="auto"/>
        <w:left w:val="none" w:sz="0" w:space="0" w:color="auto"/>
        <w:bottom w:val="none" w:sz="0" w:space="0" w:color="auto"/>
        <w:right w:val="none" w:sz="0" w:space="0" w:color="auto"/>
      </w:divBdr>
    </w:div>
    <w:div w:id="1390106962">
      <w:bodyDiv w:val="1"/>
      <w:marLeft w:val="0"/>
      <w:marRight w:val="0"/>
      <w:marTop w:val="0"/>
      <w:marBottom w:val="0"/>
      <w:divBdr>
        <w:top w:val="none" w:sz="0" w:space="0" w:color="auto"/>
        <w:left w:val="none" w:sz="0" w:space="0" w:color="auto"/>
        <w:bottom w:val="none" w:sz="0" w:space="0" w:color="auto"/>
        <w:right w:val="none" w:sz="0" w:space="0" w:color="auto"/>
      </w:divBdr>
    </w:div>
    <w:div w:id="1419596313">
      <w:bodyDiv w:val="1"/>
      <w:marLeft w:val="0"/>
      <w:marRight w:val="0"/>
      <w:marTop w:val="0"/>
      <w:marBottom w:val="0"/>
      <w:divBdr>
        <w:top w:val="none" w:sz="0" w:space="0" w:color="auto"/>
        <w:left w:val="none" w:sz="0" w:space="0" w:color="auto"/>
        <w:bottom w:val="none" w:sz="0" w:space="0" w:color="auto"/>
        <w:right w:val="none" w:sz="0" w:space="0" w:color="auto"/>
      </w:divBdr>
    </w:div>
    <w:div w:id="1499612439">
      <w:bodyDiv w:val="1"/>
      <w:marLeft w:val="0"/>
      <w:marRight w:val="0"/>
      <w:marTop w:val="0"/>
      <w:marBottom w:val="0"/>
      <w:divBdr>
        <w:top w:val="none" w:sz="0" w:space="0" w:color="auto"/>
        <w:left w:val="none" w:sz="0" w:space="0" w:color="auto"/>
        <w:bottom w:val="none" w:sz="0" w:space="0" w:color="auto"/>
        <w:right w:val="none" w:sz="0" w:space="0" w:color="auto"/>
      </w:divBdr>
    </w:div>
    <w:div w:id="1524517685">
      <w:bodyDiv w:val="1"/>
      <w:marLeft w:val="0"/>
      <w:marRight w:val="0"/>
      <w:marTop w:val="0"/>
      <w:marBottom w:val="0"/>
      <w:divBdr>
        <w:top w:val="none" w:sz="0" w:space="0" w:color="auto"/>
        <w:left w:val="none" w:sz="0" w:space="0" w:color="auto"/>
        <w:bottom w:val="none" w:sz="0" w:space="0" w:color="auto"/>
        <w:right w:val="none" w:sz="0" w:space="0" w:color="auto"/>
      </w:divBdr>
    </w:div>
    <w:div w:id="1526675132">
      <w:bodyDiv w:val="1"/>
      <w:marLeft w:val="0"/>
      <w:marRight w:val="0"/>
      <w:marTop w:val="0"/>
      <w:marBottom w:val="0"/>
      <w:divBdr>
        <w:top w:val="none" w:sz="0" w:space="0" w:color="auto"/>
        <w:left w:val="none" w:sz="0" w:space="0" w:color="auto"/>
        <w:bottom w:val="none" w:sz="0" w:space="0" w:color="auto"/>
        <w:right w:val="none" w:sz="0" w:space="0" w:color="auto"/>
      </w:divBdr>
    </w:div>
    <w:div w:id="1678069667">
      <w:bodyDiv w:val="1"/>
      <w:marLeft w:val="0"/>
      <w:marRight w:val="0"/>
      <w:marTop w:val="0"/>
      <w:marBottom w:val="0"/>
      <w:divBdr>
        <w:top w:val="none" w:sz="0" w:space="0" w:color="auto"/>
        <w:left w:val="none" w:sz="0" w:space="0" w:color="auto"/>
        <w:bottom w:val="none" w:sz="0" w:space="0" w:color="auto"/>
        <w:right w:val="none" w:sz="0" w:space="0" w:color="auto"/>
      </w:divBdr>
    </w:div>
    <w:div w:id="1688822818">
      <w:bodyDiv w:val="1"/>
      <w:marLeft w:val="0"/>
      <w:marRight w:val="0"/>
      <w:marTop w:val="0"/>
      <w:marBottom w:val="0"/>
      <w:divBdr>
        <w:top w:val="none" w:sz="0" w:space="0" w:color="auto"/>
        <w:left w:val="none" w:sz="0" w:space="0" w:color="auto"/>
        <w:bottom w:val="none" w:sz="0" w:space="0" w:color="auto"/>
        <w:right w:val="none" w:sz="0" w:space="0" w:color="auto"/>
      </w:divBdr>
    </w:div>
    <w:div w:id="1707563180">
      <w:bodyDiv w:val="1"/>
      <w:marLeft w:val="0"/>
      <w:marRight w:val="0"/>
      <w:marTop w:val="0"/>
      <w:marBottom w:val="0"/>
      <w:divBdr>
        <w:top w:val="none" w:sz="0" w:space="0" w:color="auto"/>
        <w:left w:val="none" w:sz="0" w:space="0" w:color="auto"/>
        <w:bottom w:val="none" w:sz="0" w:space="0" w:color="auto"/>
        <w:right w:val="none" w:sz="0" w:space="0" w:color="auto"/>
      </w:divBdr>
    </w:div>
    <w:div w:id="1826314239">
      <w:bodyDiv w:val="1"/>
      <w:marLeft w:val="0"/>
      <w:marRight w:val="0"/>
      <w:marTop w:val="0"/>
      <w:marBottom w:val="0"/>
      <w:divBdr>
        <w:top w:val="none" w:sz="0" w:space="0" w:color="auto"/>
        <w:left w:val="none" w:sz="0" w:space="0" w:color="auto"/>
        <w:bottom w:val="none" w:sz="0" w:space="0" w:color="auto"/>
        <w:right w:val="none" w:sz="0" w:space="0" w:color="auto"/>
      </w:divBdr>
    </w:div>
    <w:div w:id="1863320815">
      <w:bodyDiv w:val="1"/>
      <w:marLeft w:val="0"/>
      <w:marRight w:val="0"/>
      <w:marTop w:val="0"/>
      <w:marBottom w:val="0"/>
      <w:divBdr>
        <w:top w:val="none" w:sz="0" w:space="0" w:color="auto"/>
        <w:left w:val="none" w:sz="0" w:space="0" w:color="auto"/>
        <w:bottom w:val="none" w:sz="0" w:space="0" w:color="auto"/>
        <w:right w:val="none" w:sz="0" w:space="0" w:color="auto"/>
      </w:divBdr>
    </w:div>
    <w:div w:id="1879270211">
      <w:bodyDiv w:val="1"/>
      <w:marLeft w:val="0"/>
      <w:marRight w:val="0"/>
      <w:marTop w:val="0"/>
      <w:marBottom w:val="0"/>
      <w:divBdr>
        <w:top w:val="none" w:sz="0" w:space="0" w:color="auto"/>
        <w:left w:val="none" w:sz="0" w:space="0" w:color="auto"/>
        <w:bottom w:val="none" w:sz="0" w:space="0" w:color="auto"/>
        <w:right w:val="none" w:sz="0" w:space="0" w:color="auto"/>
      </w:divBdr>
    </w:div>
    <w:div w:id="196315321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4EFD3-0391-4D55-8696-853DD557C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727</Words>
  <Characters>4000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CharactersWithSpaces>
  <SharedDoc>false</SharedDoc>
  <HLinks>
    <vt:vector size="42" baseType="variant">
      <vt:variant>
        <vt:i4>1703958</vt:i4>
      </vt:variant>
      <vt:variant>
        <vt:i4>2069</vt:i4>
      </vt:variant>
      <vt:variant>
        <vt:i4>1025</vt:i4>
      </vt:variant>
      <vt:variant>
        <vt:i4>1</vt:i4>
      </vt:variant>
      <vt:variant>
        <vt:lpwstr>papeleria-trans-cabezote</vt:lpwstr>
      </vt:variant>
      <vt:variant>
        <vt:lpwstr/>
      </vt:variant>
      <vt:variant>
        <vt:i4>6291491</vt:i4>
      </vt:variant>
      <vt:variant>
        <vt:i4>2072</vt:i4>
      </vt:variant>
      <vt:variant>
        <vt:i4>1026</vt:i4>
      </vt:variant>
      <vt:variant>
        <vt:i4>1</vt:i4>
      </vt:variant>
      <vt:variant>
        <vt:lpwstr>papeleria-trans-pie2-02-02</vt:lpwstr>
      </vt:variant>
      <vt:variant>
        <vt:lpwstr/>
      </vt:variant>
      <vt:variant>
        <vt:i4>1310799</vt:i4>
      </vt:variant>
      <vt:variant>
        <vt:i4>-1</vt:i4>
      </vt:variant>
      <vt:variant>
        <vt:i4>2065</vt:i4>
      </vt:variant>
      <vt:variant>
        <vt:i4>1</vt:i4>
      </vt:variant>
      <vt:variant>
        <vt:lpwstr>papeleria-01</vt:lpwstr>
      </vt:variant>
      <vt:variant>
        <vt:lpwstr/>
      </vt:variant>
      <vt:variant>
        <vt:i4>1310799</vt:i4>
      </vt:variant>
      <vt:variant>
        <vt:i4>-1</vt:i4>
      </vt:variant>
      <vt:variant>
        <vt:i4>2066</vt:i4>
      </vt:variant>
      <vt:variant>
        <vt:i4>1</vt:i4>
      </vt:variant>
      <vt:variant>
        <vt:lpwstr>papeleria-01</vt:lpwstr>
      </vt:variant>
      <vt:variant>
        <vt:lpwstr/>
      </vt:variant>
      <vt:variant>
        <vt:i4>1441871</vt:i4>
      </vt:variant>
      <vt:variant>
        <vt:i4>-1</vt:i4>
      </vt:variant>
      <vt:variant>
        <vt:i4>2067</vt:i4>
      </vt:variant>
      <vt:variant>
        <vt:i4>1</vt:i4>
      </vt:variant>
      <vt:variant>
        <vt:lpwstr>papeleria-03</vt:lpwstr>
      </vt:variant>
      <vt:variant>
        <vt:lpwstr/>
      </vt:variant>
      <vt:variant>
        <vt:i4>1441871</vt:i4>
      </vt:variant>
      <vt:variant>
        <vt:i4>-1</vt:i4>
      </vt:variant>
      <vt:variant>
        <vt:i4>2068</vt:i4>
      </vt:variant>
      <vt:variant>
        <vt:i4>1</vt:i4>
      </vt:variant>
      <vt:variant>
        <vt:lpwstr>papeleria-03</vt:lpwstr>
      </vt:variant>
      <vt:variant>
        <vt:lpwstr/>
      </vt:variant>
      <vt:variant>
        <vt:i4>1441871</vt:i4>
      </vt:variant>
      <vt:variant>
        <vt:i4>-1</vt:i4>
      </vt:variant>
      <vt:variant>
        <vt:i4>2069</vt:i4>
      </vt:variant>
      <vt:variant>
        <vt:i4>1</vt:i4>
      </vt:variant>
      <vt:variant>
        <vt:lpwstr>papeleria-03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 Salazar Muñoz</dc:creator>
  <cp:lastModifiedBy>Alexander Castro Rivera</cp:lastModifiedBy>
  <cp:revision>8</cp:revision>
  <cp:lastPrinted>2019-02-20T15:20:00Z</cp:lastPrinted>
  <dcterms:created xsi:type="dcterms:W3CDTF">2023-05-15T15:07:00Z</dcterms:created>
  <dcterms:modified xsi:type="dcterms:W3CDTF">2023-11-23T03:20:00Z</dcterms:modified>
</cp:coreProperties>
</file>