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019F" w14:textId="77777777" w:rsidR="009246F2" w:rsidRDefault="009246F2"/>
    <w:tbl>
      <w:tblPr>
        <w:tblW w:w="98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12"/>
      </w:tblGrid>
      <w:tr w:rsidR="005431EA" w:rsidRPr="00620C39" w14:paraId="71345E38" w14:textId="77777777" w:rsidTr="00620C39">
        <w:trPr>
          <w:trHeight w:val="10519"/>
        </w:trPr>
        <w:tc>
          <w:tcPr>
            <w:tcW w:w="9812" w:type="dxa"/>
            <w:shd w:val="clear" w:color="auto" w:fill="auto"/>
          </w:tcPr>
          <w:p w14:paraId="74710068" w14:textId="77777777" w:rsidR="00B842DD" w:rsidRPr="00620C39" w:rsidRDefault="005431EA" w:rsidP="003B3519">
            <w:pPr>
              <w:pStyle w:val="Sinespaciado"/>
              <w:jc w:val="both"/>
              <w:rPr>
                <w:rFonts w:ascii="Verdana" w:hAnsi="Verdana"/>
                <w:sz w:val="20"/>
                <w:szCs w:val="20"/>
                <w:lang w:val="es-CO"/>
              </w:rPr>
            </w:pPr>
            <w:bookmarkStart w:id="0" w:name="_Hlk11683635"/>
            <w:bookmarkStart w:id="1" w:name="_Hlk14689046"/>
            <w:r w:rsidRPr="00620C39">
              <w:rPr>
                <w:rFonts w:ascii="Verdana" w:hAnsi="Verdana"/>
                <w:sz w:val="20"/>
                <w:szCs w:val="20"/>
                <w:lang w:val="es-CO"/>
              </w:rPr>
              <w:t>Para</w:t>
            </w:r>
            <w:r w:rsidR="00027AA0" w:rsidRPr="00620C39">
              <w:rPr>
                <w:rFonts w:ascii="Verdana" w:hAnsi="Verdana"/>
                <w:sz w:val="20"/>
                <w:szCs w:val="20"/>
                <w:lang w:val="es-CO"/>
              </w:rPr>
              <w:t xml:space="preserve"> facilitar el acceso de víctimas privadas de la libertad (PPL) a </w:t>
            </w:r>
            <w:r w:rsidRPr="00620C39">
              <w:rPr>
                <w:rFonts w:ascii="Verdana" w:hAnsi="Verdana"/>
                <w:sz w:val="20"/>
                <w:szCs w:val="20"/>
                <w:lang w:val="es-CO"/>
              </w:rPr>
              <w:t>la indemnización administrativa</w:t>
            </w:r>
            <w:r w:rsidR="0000055E" w:rsidRPr="00620C39">
              <w:rPr>
                <w:rFonts w:ascii="Verdana" w:hAnsi="Verdana"/>
                <w:sz w:val="20"/>
                <w:szCs w:val="20"/>
                <w:lang w:val="es-CO"/>
              </w:rPr>
              <w:t>,</w:t>
            </w:r>
            <w:r w:rsidR="00B842DD" w:rsidRPr="00620C39">
              <w:rPr>
                <w:rFonts w:ascii="Verdana" w:hAnsi="Verdana"/>
                <w:sz w:val="20"/>
                <w:szCs w:val="20"/>
                <w:lang w:val="es-CO"/>
              </w:rPr>
              <w:t xml:space="preserve"> es </w:t>
            </w:r>
            <w:r w:rsidR="00027AA0" w:rsidRPr="00620C39">
              <w:rPr>
                <w:rFonts w:ascii="Verdana" w:hAnsi="Verdana"/>
                <w:sz w:val="20"/>
                <w:szCs w:val="20"/>
                <w:lang w:val="es-CO"/>
              </w:rPr>
              <w:t xml:space="preserve">preciso </w:t>
            </w:r>
            <w:r w:rsidR="00B842DD" w:rsidRPr="00620C39">
              <w:rPr>
                <w:rFonts w:ascii="Verdana" w:hAnsi="Verdana"/>
                <w:sz w:val="20"/>
                <w:szCs w:val="20"/>
                <w:lang w:val="es-CO"/>
              </w:rPr>
              <w:t>tener en cuenta la siguiente información:</w:t>
            </w:r>
          </w:p>
          <w:p w14:paraId="2E299935" w14:textId="77777777" w:rsidR="00B842DD" w:rsidRPr="00620C39" w:rsidRDefault="00B842DD" w:rsidP="003B3519">
            <w:pPr>
              <w:pStyle w:val="Sinespaciado"/>
              <w:jc w:val="both"/>
              <w:rPr>
                <w:rFonts w:ascii="Verdana" w:hAnsi="Verdana"/>
                <w:sz w:val="20"/>
                <w:szCs w:val="20"/>
                <w:lang w:val="es-CO"/>
              </w:rPr>
            </w:pPr>
          </w:p>
          <w:p w14:paraId="0CE750D0" w14:textId="77777777" w:rsidR="007F3C79" w:rsidRPr="00620C39" w:rsidRDefault="000556DF" w:rsidP="003B3519">
            <w:pPr>
              <w:pStyle w:val="Sinespaciado"/>
              <w:jc w:val="both"/>
              <w:rPr>
                <w:rFonts w:ascii="Verdana" w:hAnsi="Verdana"/>
                <w:b/>
                <w:sz w:val="20"/>
                <w:szCs w:val="20"/>
                <w:lang w:val="es-CO"/>
              </w:rPr>
            </w:pPr>
            <w:r w:rsidRPr="00620C39">
              <w:rPr>
                <w:rFonts w:ascii="Verdana" w:hAnsi="Verdana"/>
                <w:b/>
                <w:sz w:val="20"/>
                <w:szCs w:val="20"/>
                <w:lang w:val="es-CO"/>
              </w:rPr>
              <w:t>*</w:t>
            </w:r>
            <w:r w:rsidR="00027AA0" w:rsidRPr="00620C39">
              <w:rPr>
                <w:rFonts w:ascii="Verdana" w:hAnsi="Verdana"/>
                <w:b/>
                <w:sz w:val="20"/>
                <w:szCs w:val="20"/>
                <w:lang w:val="es-CO"/>
              </w:rPr>
              <w:t>En el propósito acceder al</w:t>
            </w:r>
            <w:r w:rsidR="007F3C79" w:rsidRPr="00620C39">
              <w:rPr>
                <w:rFonts w:ascii="Verdana" w:hAnsi="Verdana"/>
                <w:b/>
                <w:sz w:val="20"/>
                <w:szCs w:val="20"/>
                <w:lang w:val="es-CO"/>
              </w:rPr>
              <w:t xml:space="preserve"> procedimiento </w:t>
            </w:r>
            <w:r w:rsidR="00027AA0" w:rsidRPr="00620C39">
              <w:rPr>
                <w:rFonts w:ascii="Verdana" w:hAnsi="Verdana"/>
                <w:b/>
                <w:sz w:val="20"/>
                <w:szCs w:val="20"/>
                <w:lang w:val="es-CO"/>
              </w:rPr>
              <w:t>de reconocimiento</w:t>
            </w:r>
            <w:r w:rsidR="000170A6">
              <w:rPr>
                <w:rFonts w:ascii="Verdana" w:hAnsi="Verdana"/>
                <w:b/>
                <w:sz w:val="20"/>
                <w:szCs w:val="20"/>
                <w:lang w:val="es-CO"/>
              </w:rPr>
              <w:t xml:space="preserve"> </w:t>
            </w:r>
            <w:r w:rsidR="000170A6" w:rsidRPr="00620C39">
              <w:rPr>
                <w:rFonts w:ascii="Verdana" w:hAnsi="Verdana"/>
                <w:b/>
                <w:sz w:val="20"/>
                <w:szCs w:val="20"/>
                <w:lang w:val="es-CO"/>
              </w:rPr>
              <w:t>de la indemnización administrativa</w:t>
            </w:r>
            <w:r w:rsidR="00027AA0" w:rsidRPr="00620C39">
              <w:rPr>
                <w:rFonts w:ascii="Verdana" w:hAnsi="Verdana"/>
                <w:b/>
                <w:sz w:val="20"/>
                <w:szCs w:val="20"/>
                <w:lang w:val="es-CO"/>
              </w:rPr>
              <w:t xml:space="preserve"> y </w:t>
            </w:r>
            <w:r w:rsidR="000170A6">
              <w:rPr>
                <w:rFonts w:ascii="Verdana" w:hAnsi="Verdana"/>
                <w:b/>
                <w:sz w:val="20"/>
                <w:szCs w:val="20"/>
                <w:lang w:val="es-CO"/>
              </w:rPr>
              <w:t xml:space="preserve">al procedimiento de </w:t>
            </w:r>
            <w:r w:rsidR="00027AA0" w:rsidRPr="00620C39">
              <w:rPr>
                <w:rFonts w:ascii="Verdana" w:hAnsi="Verdana"/>
                <w:b/>
                <w:sz w:val="20"/>
                <w:szCs w:val="20"/>
                <w:lang w:val="es-CO"/>
              </w:rPr>
              <w:t>pago de</w:t>
            </w:r>
            <w:r w:rsidR="007F3C79" w:rsidRPr="00620C39">
              <w:rPr>
                <w:rFonts w:ascii="Verdana" w:hAnsi="Verdana"/>
                <w:b/>
                <w:sz w:val="20"/>
                <w:szCs w:val="20"/>
                <w:lang w:val="es-CO"/>
              </w:rPr>
              <w:t xml:space="preserve"> la indemnización administrativa</w:t>
            </w:r>
            <w:r w:rsidR="00027AA0" w:rsidRPr="00620C39">
              <w:rPr>
                <w:rFonts w:ascii="Verdana" w:hAnsi="Verdana"/>
                <w:b/>
                <w:sz w:val="20"/>
                <w:szCs w:val="20"/>
                <w:lang w:val="es-CO"/>
              </w:rPr>
              <w:t xml:space="preserve"> tenga en cuenta:</w:t>
            </w:r>
          </w:p>
          <w:p w14:paraId="2113E4C6" w14:textId="77777777" w:rsidR="007F3C79" w:rsidRPr="00620C39" w:rsidRDefault="007F3C79" w:rsidP="003B3519">
            <w:pPr>
              <w:pStyle w:val="Sinespaciado"/>
              <w:jc w:val="both"/>
              <w:rPr>
                <w:rFonts w:ascii="Verdana" w:hAnsi="Verdana"/>
                <w:b/>
                <w:sz w:val="20"/>
                <w:szCs w:val="20"/>
                <w:lang w:val="es-CO"/>
              </w:rPr>
            </w:pPr>
          </w:p>
          <w:p w14:paraId="133C5606" w14:textId="77777777" w:rsidR="00B842DD" w:rsidRPr="00620C39" w:rsidRDefault="00B842DD" w:rsidP="003B3519">
            <w:pPr>
              <w:pStyle w:val="Sinespaciado"/>
              <w:jc w:val="both"/>
              <w:rPr>
                <w:rFonts w:ascii="Verdana" w:hAnsi="Verdana"/>
                <w:sz w:val="20"/>
                <w:szCs w:val="20"/>
                <w:lang w:val="es-CO"/>
              </w:rPr>
            </w:pPr>
            <w:r w:rsidRPr="00620C39">
              <w:rPr>
                <w:rFonts w:ascii="Verdana" w:hAnsi="Verdana"/>
                <w:b/>
                <w:sz w:val="20"/>
                <w:szCs w:val="20"/>
                <w:lang w:val="es-CO"/>
              </w:rPr>
              <w:t>1.</w:t>
            </w:r>
            <w:r w:rsidR="00027AA0" w:rsidRPr="00620C39">
              <w:rPr>
                <w:rFonts w:ascii="Verdana" w:hAnsi="Verdana"/>
                <w:b/>
                <w:sz w:val="20"/>
                <w:szCs w:val="20"/>
                <w:lang w:val="es-CO"/>
              </w:rPr>
              <w:t xml:space="preserve"> </w:t>
            </w:r>
            <w:r w:rsidR="00027AA0" w:rsidRPr="00620C39">
              <w:rPr>
                <w:rFonts w:ascii="Verdana" w:hAnsi="Verdana"/>
                <w:sz w:val="20"/>
                <w:szCs w:val="20"/>
                <w:lang w:val="es-CO"/>
              </w:rPr>
              <w:t xml:space="preserve">Respecto de las solicitudes relativas a casos de </w:t>
            </w:r>
            <w:r w:rsidRPr="00620C39">
              <w:rPr>
                <w:rFonts w:ascii="Verdana" w:hAnsi="Verdana"/>
                <w:sz w:val="20"/>
                <w:szCs w:val="20"/>
                <w:lang w:val="es-CO"/>
              </w:rPr>
              <w:t xml:space="preserve">homicidio, desaparición forzada y/o desplazamiento forzado, </w:t>
            </w:r>
            <w:r w:rsidR="00B438E3" w:rsidRPr="00620C39">
              <w:rPr>
                <w:rFonts w:ascii="Verdana" w:hAnsi="Verdana"/>
                <w:sz w:val="20"/>
                <w:szCs w:val="20"/>
                <w:lang w:val="es-CO"/>
              </w:rPr>
              <w:t xml:space="preserve">si además </w:t>
            </w:r>
            <w:r w:rsidR="008410EA" w:rsidRPr="00620C39">
              <w:rPr>
                <w:rFonts w:ascii="Verdana" w:hAnsi="Verdana"/>
                <w:sz w:val="20"/>
                <w:szCs w:val="20"/>
                <w:lang w:val="es-CO"/>
              </w:rPr>
              <w:t>de la</w:t>
            </w:r>
            <w:r w:rsidR="00B438E3" w:rsidRPr="00620C39">
              <w:rPr>
                <w:rFonts w:ascii="Verdana" w:hAnsi="Verdana"/>
                <w:sz w:val="20"/>
                <w:szCs w:val="20"/>
                <w:lang w:val="es-CO"/>
              </w:rPr>
              <w:t xml:space="preserve"> PPL, </w:t>
            </w:r>
            <w:r w:rsidRPr="00620C39">
              <w:rPr>
                <w:rFonts w:ascii="Verdana" w:hAnsi="Verdana"/>
                <w:sz w:val="20"/>
                <w:szCs w:val="20"/>
                <w:lang w:val="es-CO"/>
              </w:rPr>
              <w:t xml:space="preserve">existen </w:t>
            </w:r>
            <w:r w:rsidR="00B438E3" w:rsidRPr="00620C39">
              <w:rPr>
                <w:rFonts w:ascii="Verdana" w:hAnsi="Verdana"/>
                <w:sz w:val="20"/>
                <w:szCs w:val="20"/>
                <w:lang w:val="es-CO"/>
              </w:rPr>
              <w:t xml:space="preserve">más </w:t>
            </w:r>
            <w:r w:rsidRPr="00620C39">
              <w:rPr>
                <w:rFonts w:ascii="Verdana" w:hAnsi="Verdana"/>
                <w:sz w:val="20"/>
                <w:szCs w:val="20"/>
                <w:lang w:val="es-CO"/>
              </w:rPr>
              <w:t>destinatario</w:t>
            </w:r>
            <w:r w:rsidR="00B438E3" w:rsidRPr="00620C39">
              <w:rPr>
                <w:rFonts w:ascii="Verdana" w:hAnsi="Verdana"/>
                <w:sz w:val="20"/>
                <w:szCs w:val="20"/>
                <w:lang w:val="es-CO"/>
              </w:rPr>
              <w:t>s</w:t>
            </w:r>
            <w:r w:rsidRPr="00620C39">
              <w:rPr>
                <w:rFonts w:ascii="Verdana" w:hAnsi="Verdana"/>
                <w:sz w:val="20"/>
                <w:szCs w:val="20"/>
                <w:lang w:val="es-CO"/>
              </w:rPr>
              <w:t xml:space="preserve"> de la </w:t>
            </w:r>
            <w:r w:rsidR="004629FC" w:rsidRPr="00620C39">
              <w:rPr>
                <w:rFonts w:ascii="Verdana" w:hAnsi="Verdana"/>
                <w:sz w:val="20"/>
                <w:szCs w:val="20"/>
                <w:lang w:val="es-CO"/>
              </w:rPr>
              <w:t>indemnización administrativa</w:t>
            </w:r>
            <w:r w:rsidR="008410EA" w:rsidRPr="00620C39">
              <w:rPr>
                <w:rFonts w:ascii="Verdana" w:hAnsi="Verdana"/>
                <w:sz w:val="20"/>
                <w:szCs w:val="20"/>
                <w:lang w:val="es-CO"/>
              </w:rPr>
              <w:t xml:space="preserve"> pretendida</w:t>
            </w:r>
            <w:r w:rsidRPr="00620C39">
              <w:rPr>
                <w:rFonts w:ascii="Verdana" w:hAnsi="Verdana"/>
                <w:sz w:val="20"/>
                <w:szCs w:val="20"/>
                <w:lang w:val="es-CO"/>
              </w:rPr>
              <w:t>,</w:t>
            </w:r>
            <w:r w:rsidR="00B438E3" w:rsidRPr="00620C39">
              <w:rPr>
                <w:rFonts w:ascii="Verdana" w:hAnsi="Verdana"/>
                <w:sz w:val="20"/>
                <w:szCs w:val="20"/>
                <w:lang w:val="es-CO"/>
              </w:rPr>
              <w:t xml:space="preserve"> cualquiera de ellos</w:t>
            </w:r>
            <w:r w:rsidRPr="00620C39">
              <w:rPr>
                <w:rFonts w:ascii="Verdana" w:hAnsi="Verdana"/>
                <w:sz w:val="20"/>
                <w:szCs w:val="20"/>
                <w:lang w:val="es-CO"/>
              </w:rPr>
              <w:t xml:space="preserve"> p</w:t>
            </w:r>
            <w:r w:rsidR="008410EA" w:rsidRPr="00620C39">
              <w:rPr>
                <w:rFonts w:ascii="Verdana" w:hAnsi="Verdana"/>
                <w:sz w:val="20"/>
                <w:szCs w:val="20"/>
                <w:lang w:val="es-CO"/>
              </w:rPr>
              <w:t>odrá</w:t>
            </w:r>
            <w:r w:rsidRPr="00620C39">
              <w:rPr>
                <w:rFonts w:ascii="Verdana" w:hAnsi="Verdana"/>
                <w:sz w:val="20"/>
                <w:szCs w:val="20"/>
                <w:lang w:val="es-CO"/>
              </w:rPr>
              <w:t xml:space="preserve"> adelantar el </w:t>
            </w:r>
            <w:r w:rsidR="007F3C79" w:rsidRPr="00620C39">
              <w:rPr>
                <w:rFonts w:ascii="Verdana" w:hAnsi="Verdana"/>
                <w:sz w:val="20"/>
                <w:szCs w:val="20"/>
                <w:lang w:val="es-CO"/>
              </w:rPr>
              <w:t xml:space="preserve">procedimiento para reconocer y otorgar la indemnización por vía administrativa en los términos de la Resolución 1049 de 2019 </w:t>
            </w:r>
            <w:r w:rsidR="004629FC" w:rsidRPr="00620C39">
              <w:rPr>
                <w:rFonts w:ascii="Verdana" w:hAnsi="Verdana"/>
                <w:sz w:val="20"/>
                <w:szCs w:val="20"/>
                <w:lang w:val="es-CO"/>
              </w:rPr>
              <w:t>en representación del PPL</w:t>
            </w:r>
            <w:r w:rsidRPr="00620C39">
              <w:rPr>
                <w:rFonts w:ascii="Verdana" w:hAnsi="Verdana"/>
                <w:sz w:val="20"/>
                <w:szCs w:val="20"/>
                <w:lang w:val="es-CO"/>
              </w:rPr>
              <w:t>.</w:t>
            </w:r>
          </w:p>
          <w:p w14:paraId="0CBCF2B5" w14:textId="77777777" w:rsidR="00B842DD" w:rsidRPr="00620C39" w:rsidRDefault="00B842DD" w:rsidP="003B3519">
            <w:pPr>
              <w:pStyle w:val="Sinespaciado"/>
              <w:jc w:val="both"/>
              <w:rPr>
                <w:rFonts w:ascii="Verdana" w:hAnsi="Verdana"/>
                <w:sz w:val="20"/>
                <w:szCs w:val="20"/>
                <w:lang w:val="es-CO"/>
              </w:rPr>
            </w:pPr>
          </w:p>
          <w:p w14:paraId="47B7CB04" w14:textId="77777777" w:rsidR="00B842DD" w:rsidRPr="00620C39" w:rsidRDefault="00B842DD" w:rsidP="004629FC">
            <w:pPr>
              <w:pStyle w:val="Sinespaciado"/>
              <w:jc w:val="both"/>
              <w:rPr>
                <w:rFonts w:ascii="Verdana" w:hAnsi="Verdana"/>
                <w:sz w:val="20"/>
                <w:szCs w:val="20"/>
                <w:lang w:val="es-CO"/>
              </w:rPr>
            </w:pPr>
            <w:r w:rsidRPr="00620C39">
              <w:rPr>
                <w:rFonts w:ascii="Verdana" w:hAnsi="Verdana"/>
                <w:b/>
                <w:sz w:val="20"/>
                <w:szCs w:val="20"/>
                <w:lang w:val="es-CO"/>
              </w:rPr>
              <w:t>2.</w:t>
            </w:r>
            <w:r w:rsidRPr="00620C39">
              <w:rPr>
                <w:rFonts w:ascii="Verdana" w:hAnsi="Verdana"/>
                <w:sz w:val="20"/>
                <w:szCs w:val="20"/>
                <w:lang w:val="es-CO"/>
              </w:rPr>
              <w:t xml:space="preserve"> </w:t>
            </w:r>
            <w:r w:rsidR="004629FC" w:rsidRPr="00620C39">
              <w:rPr>
                <w:rFonts w:ascii="Verdana" w:hAnsi="Verdana"/>
                <w:sz w:val="20"/>
                <w:szCs w:val="20"/>
                <w:lang w:val="es-CO"/>
              </w:rPr>
              <w:t>En</w:t>
            </w:r>
            <w:r w:rsidR="008410EA" w:rsidRPr="00620C39">
              <w:rPr>
                <w:rFonts w:ascii="Verdana" w:hAnsi="Verdana"/>
                <w:sz w:val="20"/>
                <w:szCs w:val="20"/>
                <w:lang w:val="es-CO"/>
              </w:rPr>
              <w:t xml:space="preserve"> el evento que el único posible destinatario de la indemnización administrativa sea la PPL, </w:t>
            </w:r>
            <w:r w:rsidR="004629FC" w:rsidRPr="00620C39">
              <w:rPr>
                <w:rFonts w:ascii="Verdana" w:hAnsi="Verdana"/>
                <w:sz w:val="20"/>
                <w:szCs w:val="20"/>
                <w:lang w:val="es-CO"/>
              </w:rPr>
              <w:t xml:space="preserve">el proceso de documentación de la solicitud podrá </w:t>
            </w:r>
            <w:r w:rsidR="005E5481" w:rsidRPr="00620C39">
              <w:rPr>
                <w:rFonts w:ascii="Verdana" w:hAnsi="Verdana"/>
                <w:sz w:val="20"/>
                <w:szCs w:val="20"/>
                <w:lang w:val="es-CO"/>
              </w:rPr>
              <w:t>gestionarse</w:t>
            </w:r>
            <w:r w:rsidR="008410EA" w:rsidRPr="00620C39">
              <w:rPr>
                <w:rFonts w:ascii="Verdana" w:hAnsi="Verdana"/>
                <w:sz w:val="20"/>
                <w:szCs w:val="20"/>
                <w:lang w:val="es-CO"/>
              </w:rPr>
              <w:t xml:space="preserve"> </w:t>
            </w:r>
            <w:r w:rsidR="004629FC" w:rsidRPr="00620C39">
              <w:rPr>
                <w:rFonts w:ascii="Verdana" w:hAnsi="Verdana"/>
                <w:sz w:val="20"/>
                <w:szCs w:val="20"/>
                <w:lang w:val="es-CO"/>
              </w:rPr>
              <w:t xml:space="preserve">a través de un tercero, </w:t>
            </w:r>
            <w:r w:rsidR="005E5481" w:rsidRPr="00620C39">
              <w:rPr>
                <w:rFonts w:ascii="Verdana" w:hAnsi="Verdana"/>
                <w:sz w:val="20"/>
                <w:szCs w:val="20"/>
                <w:lang w:val="es-CO"/>
              </w:rPr>
              <w:t xml:space="preserve">siempre que la persona autorizada </w:t>
            </w:r>
            <w:r w:rsidR="004629FC" w:rsidRPr="00620C39">
              <w:rPr>
                <w:rFonts w:ascii="Verdana" w:hAnsi="Verdana"/>
                <w:sz w:val="20"/>
                <w:szCs w:val="20"/>
                <w:lang w:val="es-CO"/>
              </w:rPr>
              <w:t>aporte documento</w:t>
            </w:r>
            <w:r w:rsidR="005E5481" w:rsidRPr="00620C39">
              <w:rPr>
                <w:rFonts w:ascii="Verdana" w:hAnsi="Verdana"/>
                <w:sz w:val="20"/>
                <w:szCs w:val="20"/>
                <w:lang w:val="es-CO"/>
              </w:rPr>
              <w:t xml:space="preserve"> en el que se le haya</w:t>
            </w:r>
            <w:r w:rsidR="009704DA" w:rsidRPr="00620C39">
              <w:rPr>
                <w:rFonts w:ascii="Verdana" w:hAnsi="Verdana"/>
                <w:sz w:val="20"/>
                <w:szCs w:val="20"/>
                <w:lang w:val="es-CO"/>
              </w:rPr>
              <w:t>n</w:t>
            </w:r>
            <w:r w:rsidR="005E5481" w:rsidRPr="00620C39">
              <w:rPr>
                <w:rFonts w:ascii="Verdana" w:hAnsi="Verdana"/>
                <w:sz w:val="20"/>
                <w:szCs w:val="20"/>
                <w:lang w:val="es-CO"/>
              </w:rPr>
              <w:t xml:space="preserve"> </w:t>
            </w:r>
            <w:r w:rsidR="009704DA" w:rsidRPr="00620C39">
              <w:rPr>
                <w:rFonts w:ascii="Verdana" w:hAnsi="Verdana"/>
                <w:sz w:val="20"/>
                <w:szCs w:val="20"/>
                <w:lang w:val="es-CO"/>
              </w:rPr>
              <w:t xml:space="preserve">atribuido clara y expresamente facultades </w:t>
            </w:r>
            <w:r w:rsidR="004629FC" w:rsidRPr="00620C39">
              <w:rPr>
                <w:rFonts w:ascii="Verdana" w:hAnsi="Verdana"/>
                <w:sz w:val="20"/>
                <w:szCs w:val="20"/>
                <w:lang w:val="es-CO"/>
              </w:rPr>
              <w:t xml:space="preserve">para </w:t>
            </w:r>
            <w:r w:rsidR="009704DA" w:rsidRPr="00620C39">
              <w:rPr>
                <w:rFonts w:ascii="Verdana" w:hAnsi="Verdana"/>
                <w:sz w:val="20"/>
                <w:szCs w:val="20"/>
                <w:lang w:val="es-CO"/>
              </w:rPr>
              <w:t xml:space="preserve">adelantar </w:t>
            </w:r>
            <w:r w:rsidR="004629FC" w:rsidRPr="00620C39">
              <w:rPr>
                <w:rFonts w:ascii="Verdana" w:hAnsi="Verdana"/>
                <w:sz w:val="20"/>
                <w:szCs w:val="20"/>
                <w:lang w:val="es-CO"/>
              </w:rPr>
              <w:t>dicho trámite.</w:t>
            </w:r>
          </w:p>
          <w:p w14:paraId="70F43A4F" w14:textId="77777777" w:rsidR="004629FC" w:rsidRPr="00620C39" w:rsidRDefault="004629FC" w:rsidP="004629FC">
            <w:pPr>
              <w:pStyle w:val="Sinespaciado"/>
              <w:jc w:val="both"/>
              <w:rPr>
                <w:rFonts w:ascii="Verdana" w:hAnsi="Verdana"/>
                <w:sz w:val="20"/>
                <w:szCs w:val="20"/>
                <w:lang w:val="es-CO"/>
              </w:rPr>
            </w:pPr>
          </w:p>
          <w:p w14:paraId="646DCB14" w14:textId="77777777" w:rsidR="00B842DD" w:rsidRPr="00620C39" w:rsidRDefault="004629FC" w:rsidP="003B3519">
            <w:pPr>
              <w:pStyle w:val="Sinespaciado"/>
              <w:jc w:val="both"/>
              <w:rPr>
                <w:rFonts w:ascii="Verdana" w:hAnsi="Verdana"/>
                <w:sz w:val="20"/>
                <w:szCs w:val="20"/>
                <w:lang w:val="es-CO"/>
              </w:rPr>
            </w:pPr>
            <w:r w:rsidRPr="00620C39">
              <w:rPr>
                <w:rFonts w:ascii="Verdana" w:hAnsi="Verdana"/>
                <w:b/>
                <w:sz w:val="20"/>
                <w:szCs w:val="20"/>
                <w:lang w:val="es-CO"/>
              </w:rPr>
              <w:t>3.</w:t>
            </w:r>
            <w:r w:rsidR="008D73F1" w:rsidRPr="00620C39">
              <w:rPr>
                <w:rFonts w:ascii="Verdana" w:hAnsi="Verdana"/>
                <w:b/>
                <w:sz w:val="20"/>
                <w:szCs w:val="20"/>
                <w:lang w:val="es-CO"/>
              </w:rPr>
              <w:t xml:space="preserve"> </w:t>
            </w:r>
            <w:r w:rsidR="009704DA" w:rsidRPr="00620C39">
              <w:rPr>
                <w:rFonts w:ascii="Verdana" w:hAnsi="Verdana"/>
                <w:sz w:val="20"/>
                <w:szCs w:val="20"/>
                <w:lang w:val="es-CO"/>
              </w:rPr>
              <w:t>Finalmente, e</w:t>
            </w:r>
            <w:r w:rsidR="007F3C79" w:rsidRPr="00620C39">
              <w:rPr>
                <w:rFonts w:ascii="Verdana" w:hAnsi="Verdana"/>
                <w:sz w:val="20"/>
                <w:szCs w:val="20"/>
                <w:lang w:val="es-CO"/>
              </w:rPr>
              <w:t xml:space="preserve">n los casos en que </w:t>
            </w:r>
            <w:r w:rsidR="009704DA" w:rsidRPr="00620C39">
              <w:rPr>
                <w:rFonts w:ascii="Verdana" w:hAnsi="Verdana"/>
                <w:sz w:val="20"/>
                <w:szCs w:val="20"/>
                <w:lang w:val="es-CO"/>
              </w:rPr>
              <w:t xml:space="preserve">la </w:t>
            </w:r>
            <w:r w:rsidR="007F3C79" w:rsidRPr="00620C39">
              <w:rPr>
                <w:rFonts w:ascii="Verdana" w:hAnsi="Verdana"/>
                <w:sz w:val="20"/>
                <w:szCs w:val="20"/>
                <w:lang w:val="es-CO"/>
              </w:rPr>
              <w:t xml:space="preserve">PPL no cuente con </w:t>
            </w:r>
            <w:r w:rsidR="009704DA" w:rsidRPr="00620C39">
              <w:rPr>
                <w:rFonts w:ascii="Verdana" w:hAnsi="Verdana"/>
                <w:sz w:val="20"/>
                <w:szCs w:val="20"/>
                <w:lang w:val="es-CO"/>
              </w:rPr>
              <w:t xml:space="preserve">alguna de las alternativas previamente </w:t>
            </w:r>
            <w:r w:rsidR="007F3C79" w:rsidRPr="00620C39">
              <w:rPr>
                <w:rFonts w:ascii="Verdana" w:hAnsi="Verdana"/>
                <w:sz w:val="20"/>
                <w:szCs w:val="20"/>
                <w:lang w:val="es-CO"/>
              </w:rPr>
              <w:t>descritas,</w:t>
            </w:r>
            <w:r w:rsidR="009704DA" w:rsidRPr="00620C39">
              <w:rPr>
                <w:rFonts w:ascii="Verdana" w:hAnsi="Verdana"/>
                <w:sz w:val="20"/>
                <w:szCs w:val="20"/>
                <w:lang w:val="es-CO"/>
              </w:rPr>
              <w:t xml:space="preserve"> éste</w:t>
            </w:r>
            <w:r w:rsidR="007F3C79" w:rsidRPr="00620C39">
              <w:rPr>
                <w:rFonts w:ascii="Verdana" w:hAnsi="Verdana"/>
                <w:sz w:val="20"/>
                <w:szCs w:val="20"/>
                <w:lang w:val="es-CO"/>
              </w:rPr>
              <w:t xml:space="preserve"> podrá </w:t>
            </w:r>
            <w:r w:rsidR="009704DA" w:rsidRPr="00620C39">
              <w:rPr>
                <w:rFonts w:ascii="Verdana" w:hAnsi="Verdana"/>
                <w:sz w:val="20"/>
                <w:szCs w:val="20"/>
                <w:lang w:val="es-CO"/>
              </w:rPr>
              <w:t xml:space="preserve">acceder al procedimiento de reconocimiento y pago de la indemnización, </w:t>
            </w:r>
            <w:r w:rsidR="007F3C79" w:rsidRPr="00620C39">
              <w:rPr>
                <w:rFonts w:ascii="Verdana" w:hAnsi="Verdana"/>
                <w:sz w:val="20"/>
                <w:szCs w:val="20"/>
                <w:lang w:val="es-CO"/>
              </w:rPr>
              <w:t>en los términos</w:t>
            </w:r>
            <w:r w:rsidR="009704DA" w:rsidRPr="00620C39">
              <w:rPr>
                <w:rFonts w:ascii="Verdana" w:hAnsi="Verdana"/>
                <w:sz w:val="20"/>
                <w:szCs w:val="20"/>
                <w:lang w:val="es-CO"/>
              </w:rPr>
              <w:t xml:space="preserve"> descritos en</w:t>
            </w:r>
            <w:r w:rsidR="007F3C79" w:rsidRPr="00620C39">
              <w:rPr>
                <w:rFonts w:ascii="Verdana" w:hAnsi="Verdana"/>
                <w:sz w:val="20"/>
                <w:szCs w:val="20"/>
                <w:lang w:val="es-CO"/>
              </w:rPr>
              <w:t xml:space="preserve"> la Resolución 1049 de 2019</w:t>
            </w:r>
            <w:r w:rsidR="009704DA" w:rsidRPr="00620C39">
              <w:rPr>
                <w:rFonts w:ascii="Verdana" w:hAnsi="Verdana"/>
                <w:sz w:val="20"/>
                <w:szCs w:val="20"/>
                <w:lang w:val="es-CO"/>
              </w:rPr>
              <w:t xml:space="preserve">, es decir, </w:t>
            </w:r>
            <w:r w:rsidR="007F3C79" w:rsidRPr="00620C39">
              <w:rPr>
                <w:rFonts w:ascii="Verdana" w:hAnsi="Verdana"/>
                <w:sz w:val="20"/>
                <w:szCs w:val="20"/>
                <w:lang w:val="es-CO"/>
              </w:rPr>
              <w:t xml:space="preserve">a través del canal virtual de la Unidad para las Víctimas o a través del correo electrónico </w:t>
            </w:r>
            <w:hyperlink r:id="rId8" w:history="1">
              <w:r w:rsidR="007F3C79" w:rsidRPr="00620C39">
                <w:rPr>
                  <w:rStyle w:val="Hipervnculo"/>
                  <w:rFonts w:ascii="Verdana" w:hAnsi="Verdana"/>
                  <w:sz w:val="20"/>
                  <w:szCs w:val="20"/>
                  <w:lang w:val="es-CO"/>
                </w:rPr>
                <w:t>documentacion@unidadvictimas.gov.co</w:t>
              </w:r>
            </w:hyperlink>
            <w:r w:rsidR="007F3C79" w:rsidRPr="00620C39">
              <w:rPr>
                <w:rFonts w:ascii="Verdana" w:hAnsi="Verdana"/>
                <w:sz w:val="20"/>
                <w:szCs w:val="20"/>
                <w:lang w:val="es-CO"/>
              </w:rPr>
              <w:t>. Lo anterior</w:t>
            </w:r>
            <w:r w:rsidR="009704DA" w:rsidRPr="00620C39">
              <w:rPr>
                <w:rFonts w:ascii="Verdana" w:hAnsi="Verdana"/>
                <w:sz w:val="20"/>
                <w:szCs w:val="20"/>
                <w:lang w:val="es-CO"/>
              </w:rPr>
              <w:t>,</w:t>
            </w:r>
            <w:r w:rsidR="007F3C79" w:rsidRPr="00620C39">
              <w:rPr>
                <w:rFonts w:ascii="Verdana" w:hAnsi="Verdana"/>
                <w:sz w:val="20"/>
                <w:szCs w:val="20"/>
                <w:lang w:val="es-CO"/>
              </w:rPr>
              <w:t xml:space="preserve"> sin perjuicio de</w:t>
            </w:r>
            <w:r w:rsidR="009704DA" w:rsidRPr="00620C39">
              <w:rPr>
                <w:rFonts w:ascii="Verdana" w:hAnsi="Verdana"/>
                <w:sz w:val="20"/>
                <w:szCs w:val="20"/>
                <w:lang w:val="es-CO"/>
              </w:rPr>
              <w:t xml:space="preserve"> que </w:t>
            </w:r>
            <w:r w:rsidR="007F3C79" w:rsidRPr="00620C39">
              <w:rPr>
                <w:rFonts w:ascii="Verdana" w:hAnsi="Verdana"/>
                <w:sz w:val="20"/>
                <w:szCs w:val="20"/>
                <w:lang w:val="es-CO"/>
              </w:rPr>
              <w:t>utili</w:t>
            </w:r>
            <w:r w:rsidR="009704DA" w:rsidRPr="00620C39">
              <w:rPr>
                <w:rFonts w:ascii="Verdana" w:hAnsi="Verdana"/>
                <w:sz w:val="20"/>
                <w:szCs w:val="20"/>
                <w:lang w:val="es-CO"/>
              </w:rPr>
              <w:t>ce</w:t>
            </w:r>
            <w:r w:rsidR="007F3C79" w:rsidRPr="00620C39">
              <w:rPr>
                <w:rFonts w:ascii="Verdana" w:hAnsi="Verdana"/>
                <w:sz w:val="20"/>
                <w:szCs w:val="20"/>
                <w:lang w:val="es-CO"/>
              </w:rPr>
              <w:t xml:space="preserve"> </w:t>
            </w:r>
            <w:r w:rsidR="006B5989" w:rsidRPr="00620C39">
              <w:rPr>
                <w:rFonts w:ascii="Verdana" w:hAnsi="Verdana"/>
                <w:sz w:val="20"/>
                <w:szCs w:val="20"/>
                <w:lang w:val="es-CO"/>
              </w:rPr>
              <w:t>los demás canales de atención de la Unidad para las Víctimas.</w:t>
            </w:r>
          </w:p>
          <w:p w14:paraId="6314AB22" w14:textId="77777777" w:rsidR="00972144" w:rsidRPr="00620C39" w:rsidRDefault="00972144" w:rsidP="003B3519">
            <w:pPr>
              <w:pStyle w:val="Sinespaciado"/>
              <w:jc w:val="both"/>
              <w:rPr>
                <w:rFonts w:ascii="Verdana" w:hAnsi="Verdana"/>
                <w:sz w:val="20"/>
                <w:szCs w:val="20"/>
                <w:lang w:val="es-CO"/>
              </w:rPr>
            </w:pPr>
          </w:p>
          <w:p w14:paraId="2AF634A2" w14:textId="77777777" w:rsidR="003C684C" w:rsidRPr="00620C39" w:rsidRDefault="003C684C" w:rsidP="003B3519">
            <w:pPr>
              <w:pStyle w:val="Sinespaciado"/>
              <w:jc w:val="both"/>
              <w:rPr>
                <w:rFonts w:ascii="Verdana" w:hAnsi="Verdana"/>
                <w:sz w:val="20"/>
                <w:szCs w:val="20"/>
                <w:lang w:val="es-CO"/>
              </w:rPr>
            </w:pPr>
            <w:r w:rsidRPr="00620C39">
              <w:rPr>
                <w:rFonts w:ascii="Verdana" w:hAnsi="Verdana"/>
                <w:b/>
                <w:sz w:val="20"/>
                <w:szCs w:val="20"/>
                <w:lang w:val="es-CO"/>
              </w:rPr>
              <w:t>Nota:</w:t>
            </w:r>
            <w:r w:rsidRPr="00620C39">
              <w:rPr>
                <w:rFonts w:ascii="Verdana" w:hAnsi="Verdana"/>
                <w:sz w:val="20"/>
                <w:szCs w:val="20"/>
                <w:lang w:val="es-CO"/>
              </w:rPr>
              <w:t xml:space="preserve"> En el escenario del numeral 3,</w:t>
            </w:r>
            <w:r w:rsidR="008078D2" w:rsidRPr="00620C39">
              <w:rPr>
                <w:rFonts w:ascii="Verdana" w:hAnsi="Verdana"/>
                <w:sz w:val="20"/>
                <w:szCs w:val="20"/>
                <w:lang w:val="es-CO"/>
              </w:rPr>
              <w:t xml:space="preserve"> los PPL podrán gestionar ante las oficinas administrativas de </w:t>
            </w:r>
            <w:r w:rsidRPr="00620C39">
              <w:rPr>
                <w:rFonts w:ascii="Verdana" w:hAnsi="Verdana"/>
                <w:sz w:val="20"/>
                <w:szCs w:val="20"/>
                <w:lang w:val="es-CO"/>
              </w:rPr>
              <w:t xml:space="preserve">los </w:t>
            </w:r>
            <w:r w:rsidR="008078D2" w:rsidRPr="00620C39">
              <w:rPr>
                <w:rFonts w:ascii="Verdana" w:hAnsi="Verdana"/>
                <w:sz w:val="20"/>
                <w:szCs w:val="20"/>
                <w:lang w:val="es-CO"/>
              </w:rPr>
              <w:t>Ce</w:t>
            </w:r>
            <w:r w:rsidRPr="00620C39">
              <w:rPr>
                <w:rFonts w:ascii="Verdana" w:hAnsi="Verdana"/>
                <w:sz w:val="20"/>
                <w:szCs w:val="20"/>
                <w:lang w:val="es-CO"/>
              </w:rPr>
              <w:t>ntros penitenciarios la comunicación con la U</w:t>
            </w:r>
            <w:r w:rsidR="008078D2" w:rsidRPr="00620C39">
              <w:rPr>
                <w:rFonts w:ascii="Verdana" w:hAnsi="Verdana"/>
                <w:sz w:val="20"/>
                <w:szCs w:val="20"/>
                <w:lang w:val="es-CO"/>
              </w:rPr>
              <w:t xml:space="preserve">nidad </w:t>
            </w:r>
            <w:r w:rsidRPr="00620C39">
              <w:rPr>
                <w:rFonts w:ascii="Verdana" w:hAnsi="Verdana"/>
                <w:sz w:val="20"/>
                <w:szCs w:val="20"/>
                <w:lang w:val="es-CO"/>
              </w:rPr>
              <w:t>p</w:t>
            </w:r>
            <w:r w:rsidR="008078D2" w:rsidRPr="00620C39">
              <w:rPr>
                <w:rFonts w:ascii="Verdana" w:hAnsi="Verdana"/>
                <w:sz w:val="20"/>
                <w:szCs w:val="20"/>
                <w:lang w:val="es-CO"/>
              </w:rPr>
              <w:t xml:space="preserve">ara las Víctimas a través de los canales dispuestos. En el marco de dicho propósito los Centros penitenciarios fungirán como facilitadores de la interacción entre las partes.  </w:t>
            </w:r>
            <w:r w:rsidRPr="00620C39">
              <w:rPr>
                <w:rFonts w:ascii="Verdana" w:hAnsi="Verdana"/>
                <w:sz w:val="20"/>
                <w:szCs w:val="20"/>
                <w:lang w:val="es-CO"/>
              </w:rPr>
              <w:t xml:space="preserve">   </w:t>
            </w:r>
          </w:p>
          <w:p w14:paraId="424DF94D" w14:textId="77777777" w:rsidR="008078D2" w:rsidRPr="00620C39" w:rsidRDefault="008078D2" w:rsidP="00972144">
            <w:pPr>
              <w:pStyle w:val="Sinespaciado"/>
              <w:jc w:val="both"/>
              <w:rPr>
                <w:rFonts w:ascii="Verdana" w:hAnsi="Verdana"/>
                <w:b/>
                <w:sz w:val="20"/>
                <w:szCs w:val="20"/>
                <w:lang w:val="es-CO"/>
              </w:rPr>
            </w:pPr>
          </w:p>
          <w:p w14:paraId="4461DFA1" w14:textId="77777777" w:rsidR="00972144" w:rsidRPr="00620C39" w:rsidRDefault="000556DF" w:rsidP="00972144">
            <w:pPr>
              <w:pStyle w:val="Sinespaciado"/>
              <w:jc w:val="both"/>
              <w:rPr>
                <w:rFonts w:ascii="Verdana" w:hAnsi="Verdana"/>
                <w:b/>
                <w:sz w:val="20"/>
                <w:szCs w:val="20"/>
                <w:lang w:val="es-CO"/>
              </w:rPr>
            </w:pPr>
            <w:r w:rsidRPr="00620C39">
              <w:rPr>
                <w:rFonts w:ascii="Verdana" w:hAnsi="Verdana"/>
                <w:b/>
                <w:sz w:val="20"/>
                <w:szCs w:val="20"/>
                <w:lang w:val="es-CO"/>
              </w:rPr>
              <w:t>*</w:t>
            </w:r>
            <w:r w:rsidR="00972144" w:rsidRPr="00620C39">
              <w:rPr>
                <w:rFonts w:ascii="Verdana" w:hAnsi="Verdana"/>
                <w:b/>
                <w:sz w:val="20"/>
                <w:szCs w:val="20"/>
                <w:lang w:val="es-CO"/>
              </w:rPr>
              <w:t xml:space="preserve">Para </w:t>
            </w:r>
            <w:r w:rsidR="008078D2" w:rsidRPr="00620C39">
              <w:rPr>
                <w:rFonts w:ascii="Verdana" w:hAnsi="Verdana"/>
                <w:b/>
                <w:sz w:val="20"/>
                <w:szCs w:val="20"/>
                <w:lang w:val="es-CO"/>
              </w:rPr>
              <w:t xml:space="preserve">lograr la </w:t>
            </w:r>
            <w:r w:rsidR="00972144" w:rsidRPr="00620C39">
              <w:rPr>
                <w:rFonts w:ascii="Verdana" w:hAnsi="Verdana"/>
                <w:b/>
                <w:sz w:val="20"/>
                <w:szCs w:val="20"/>
                <w:lang w:val="es-CO"/>
              </w:rPr>
              <w:t>notifica</w:t>
            </w:r>
            <w:r w:rsidR="008078D2" w:rsidRPr="00620C39">
              <w:rPr>
                <w:rFonts w:ascii="Verdana" w:hAnsi="Verdana"/>
                <w:b/>
                <w:sz w:val="20"/>
                <w:szCs w:val="20"/>
                <w:lang w:val="es-CO"/>
              </w:rPr>
              <w:t>ción</w:t>
            </w:r>
            <w:r w:rsidR="00972144" w:rsidRPr="00620C39">
              <w:rPr>
                <w:rFonts w:ascii="Verdana" w:hAnsi="Verdana"/>
                <w:b/>
                <w:sz w:val="20"/>
                <w:szCs w:val="20"/>
                <w:lang w:val="es-CO"/>
              </w:rPr>
              <w:t xml:space="preserve"> </w:t>
            </w:r>
            <w:r w:rsidR="008078D2" w:rsidRPr="00620C39">
              <w:rPr>
                <w:rFonts w:ascii="Verdana" w:hAnsi="Verdana"/>
                <w:b/>
                <w:sz w:val="20"/>
                <w:szCs w:val="20"/>
                <w:lang w:val="es-CO"/>
              </w:rPr>
              <w:t>d</w:t>
            </w:r>
            <w:r w:rsidR="00972144" w:rsidRPr="00620C39">
              <w:rPr>
                <w:rFonts w:ascii="Verdana" w:hAnsi="Verdana"/>
                <w:b/>
                <w:sz w:val="20"/>
                <w:szCs w:val="20"/>
                <w:lang w:val="es-CO"/>
              </w:rPr>
              <w:t xml:space="preserve">el acto administrativo que decide sobre el reconocimiento </w:t>
            </w:r>
            <w:r w:rsidR="008078D2" w:rsidRPr="00620C39">
              <w:rPr>
                <w:rFonts w:ascii="Verdana" w:hAnsi="Verdana"/>
                <w:b/>
                <w:sz w:val="20"/>
                <w:szCs w:val="20"/>
                <w:lang w:val="es-CO"/>
              </w:rPr>
              <w:t>de la indemnización administrativa se sugiere:</w:t>
            </w:r>
          </w:p>
          <w:p w14:paraId="79CD0976" w14:textId="77777777" w:rsidR="00972144" w:rsidRPr="00620C39" w:rsidRDefault="00972144" w:rsidP="00972144">
            <w:pPr>
              <w:pStyle w:val="Sinespaciado"/>
              <w:jc w:val="both"/>
              <w:rPr>
                <w:rFonts w:ascii="Verdana" w:hAnsi="Verdana"/>
                <w:sz w:val="20"/>
                <w:szCs w:val="20"/>
                <w:lang w:val="es-CO"/>
              </w:rPr>
            </w:pPr>
          </w:p>
          <w:p w14:paraId="49F0FC3D" w14:textId="77777777" w:rsidR="00972144" w:rsidRPr="00620C39" w:rsidRDefault="00972144" w:rsidP="00972144">
            <w:pPr>
              <w:pStyle w:val="Sinespaciado"/>
              <w:jc w:val="both"/>
              <w:rPr>
                <w:rFonts w:ascii="Verdana" w:hAnsi="Verdana"/>
                <w:sz w:val="20"/>
                <w:szCs w:val="20"/>
                <w:lang w:val="es-CO"/>
              </w:rPr>
            </w:pPr>
            <w:r w:rsidRPr="00620C39">
              <w:rPr>
                <w:rFonts w:ascii="Verdana" w:hAnsi="Verdana"/>
                <w:b/>
                <w:sz w:val="20"/>
                <w:szCs w:val="20"/>
                <w:lang w:val="es-CO"/>
              </w:rPr>
              <w:t xml:space="preserve">1. </w:t>
            </w:r>
            <w:r w:rsidRPr="00620C39">
              <w:rPr>
                <w:rFonts w:ascii="Verdana" w:hAnsi="Verdana"/>
                <w:sz w:val="20"/>
                <w:szCs w:val="20"/>
                <w:lang w:val="es-CO"/>
              </w:rPr>
              <w:t xml:space="preserve">Con el </w:t>
            </w:r>
            <w:r w:rsidR="008078D2" w:rsidRPr="00620C39">
              <w:rPr>
                <w:rFonts w:ascii="Verdana" w:hAnsi="Verdana"/>
                <w:sz w:val="20"/>
                <w:szCs w:val="20"/>
                <w:lang w:val="es-CO"/>
              </w:rPr>
              <w:t xml:space="preserve">objetivo </w:t>
            </w:r>
            <w:r w:rsidRPr="00620C39">
              <w:rPr>
                <w:rFonts w:ascii="Verdana" w:hAnsi="Verdana"/>
                <w:sz w:val="20"/>
                <w:szCs w:val="20"/>
                <w:lang w:val="es-CO"/>
              </w:rPr>
              <w:t xml:space="preserve">de </w:t>
            </w:r>
            <w:r w:rsidR="008078D2" w:rsidRPr="00620C39">
              <w:rPr>
                <w:rFonts w:ascii="Verdana" w:hAnsi="Verdana"/>
                <w:sz w:val="20"/>
                <w:szCs w:val="20"/>
                <w:lang w:val="es-CO"/>
              </w:rPr>
              <w:t xml:space="preserve">facilitar </w:t>
            </w:r>
            <w:r w:rsidRPr="00620C39">
              <w:rPr>
                <w:rFonts w:ascii="Verdana" w:hAnsi="Verdana"/>
                <w:sz w:val="20"/>
                <w:szCs w:val="20"/>
                <w:lang w:val="es-CO"/>
              </w:rPr>
              <w:t xml:space="preserve">la notificación del acto administrativo que </w:t>
            </w:r>
            <w:r w:rsidR="008078D2" w:rsidRPr="00620C39">
              <w:rPr>
                <w:rFonts w:ascii="Verdana" w:hAnsi="Verdana"/>
                <w:sz w:val="20"/>
                <w:szCs w:val="20"/>
                <w:lang w:val="es-CO"/>
              </w:rPr>
              <w:t xml:space="preserve">resuelve </w:t>
            </w:r>
            <w:r w:rsidRPr="00620C39">
              <w:rPr>
                <w:rFonts w:ascii="Verdana" w:hAnsi="Verdana"/>
                <w:sz w:val="20"/>
                <w:szCs w:val="20"/>
                <w:lang w:val="es-CO"/>
              </w:rPr>
              <w:t xml:space="preserve">el reconocimiento de la indemnización administrativa </w:t>
            </w:r>
            <w:r w:rsidR="000556DF" w:rsidRPr="00620C39">
              <w:rPr>
                <w:rFonts w:ascii="Verdana" w:hAnsi="Verdana"/>
                <w:sz w:val="20"/>
                <w:szCs w:val="20"/>
                <w:lang w:val="es-CO"/>
              </w:rPr>
              <w:t>y/</w:t>
            </w:r>
            <w:r w:rsidRPr="00620C39">
              <w:rPr>
                <w:rFonts w:ascii="Verdana" w:hAnsi="Verdana"/>
                <w:sz w:val="20"/>
                <w:szCs w:val="20"/>
                <w:lang w:val="es-CO"/>
              </w:rPr>
              <w:t xml:space="preserve">o ser informado de cualquier trámite </w:t>
            </w:r>
            <w:r w:rsidR="000556DF" w:rsidRPr="00620C39">
              <w:rPr>
                <w:rFonts w:ascii="Verdana" w:hAnsi="Verdana"/>
                <w:sz w:val="20"/>
                <w:szCs w:val="20"/>
                <w:lang w:val="es-CO"/>
              </w:rPr>
              <w:t xml:space="preserve">que </w:t>
            </w:r>
            <w:r w:rsidRPr="00620C39">
              <w:rPr>
                <w:rFonts w:ascii="Verdana" w:hAnsi="Verdana"/>
                <w:sz w:val="20"/>
                <w:szCs w:val="20"/>
                <w:lang w:val="es-CO"/>
              </w:rPr>
              <w:t>adicional</w:t>
            </w:r>
            <w:r w:rsidR="000556DF" w:rsidRPr="00620C39">
              <w:rPr>
                <w:rFonts w:ascii="Verdana" w:hAnsi="Verdana"/>
                <w:sz w:val="20"/>
                <w:szCs w:val="20"/>
                <w:lang w:val="es-CO"/>
              </w:rPr>
              <w:t>mente se requiera</w:t>
            </w:r>
            <w:r w:rsidRPr="00620C39">
              <w:rPr>
                <w:rFonts w:ascii="Verdana" w:hAnsi="Verdana"/>
                <w:sz w:val="20"/>
                <w:szCs w:val="20"/>
                <w:lang w:val="es-CO"/>
              </w:rPr>
              <w:t>, l</w:t>
            </w:r>
            <w:r w:rsidR="00494D70" w:rsidRPr="00620C39">
              <w:rPr>
                <w:rFonts w:ascii="Verdana" w:hAnsi="Verdana"/>
                <w:sz w:val="20"/>
                <w:szCs w:val="20"/>
                <w:lang w:val="es-CO"/>
              </w:rPr>
              <w:t xml:space="preserve">a </w:t>
            </w:r>
            <w:r w:rsidRPr="00620C39">
              <w:rPr>
                <w:rFonts w:ascii="Verdana" w:hAnsi="Verdana"/>
                <w:sz w:val="20"/>
                <w:szCs w:val="20"/>
                <w:lang w:val="es-CO"/>
              </w:rPr>
              <w:t xml:space="preserve">PPL o </w:t>
            </w:r>
            <w:r w:rsidR="000556DF" w:rsidRPr="00620C39">
              <w:rPr>
                <w:rFonts w:ascii="Verdana" w:hAnsi="Verdana"/>
                <w:sz w:val="20"/>
                <w:szCs w:val="20"/>
                <w:lang w:val="es-CO"/>
              </w:rPr>
              <w:t xml:space="preserve">su </w:t>
            </w:r>
            <w:r w:rsidRPr="00620C39">
              <w:rPr>
                <w:rFonts w:ascii="Verdana" w:hAnsi="Verdana"/>
                <w:sz w:val="20"/>
                <w:szCs w:val="20"/>
                <w:lang w:val="es-CO"/>
              </w:rPr>
              <w:t xml:space="preserve">autorizado, </w:t>
            </w:r>
            <w:r w:rsidR="000556DF" w:rsidRPr="00620C39">
              <w:rPr>
                <w:rFonts w:ascii="Verdana" w:hAnsi="Verdana"/>
                <w:sz w:val="20"/>
                <w:szCs w:val="20"/>
                <w:lang w:val="es-CO"/>
              </w:rPr>
              <w:t xml:space="preserve">podrá </w:t>
            </w:r>
            <w:r w:rsidRPr="00620C39">
              <w:rPr>
                <w:rFonts w:ascii="Verdana" w:hAnsi="Verdana"/>
                <w:sz w:val="20"/>
                <w:szCs w:val="20"/>
                <w:lang w:val="es-CO"/>
              </w:rPr>
              <w:t>diligenciar el formato de “</w:t>
            </w:r>
            <w:r w:rsidRPr="00620C39">
              <w:rPr>
                <w:rFonts w:ascii="Verdana" w:hAnsi="Verdana"/>
                <w:i/>
                <w:sz w:val="20"/>
                <w:szCs w:val="20"/>
                <w:lang w:val="es-CO"/>
              </w:rPr>
              <w:t>Autorización para recibir notificaciones por medios electrónicos</w:t>
            </w:r>
            <w:r w:rsidRPr="00620C39">
              <w:rPr>
                <w:rFonts w:ascii="Verdana" w:hAnsi="Verdana"/>
                <w:sz w:val="20"/>
                <w:szCs w:val="20"/>
                <w:lang w:val="es-CO"/>
              </w:rPr>
              <w:t>”</w:t>
            </w:r>
            <w:r w:rsidR="000556DF" w:rsidRPr="00620C39">
              <w:rPr>
                <w:rFonts w:ascii="Verdana" w:hAnsi="Verdana"/>
                <w:sz w:val="20"/>
                <w:szCs w:val="20"/>
                <w:lang w:val="es-CO"/>
              </w:rPr>
              <w:t xml:space="preserve">. </w:t>
            </w:r>
            <w:r w:rsidR="000556DF" w:rsidRPr="00620C39">
              <w:rPr>
                <w:rFonts w:ascii="Verdana" w:hAnsi="Verdana"/>
                <w:b/>
                <w:sz w:val="20"/>
                <w:szCs w:val="20"/>
                <w:lang w:val="es-CO"/>
              </w:rPr>
              <w:t>(A</w:t>
            </w:r>
            <w:r w:rsidRPr="00620C39">
              <w:rPr>
                <w:rFonts w:ascii="Verdana" w:hAnsi="Verdana"/>
                <w:b/>
                <w:sz w:val="20"/>
                <w:szCs w:val="20"/>
                <w:lang w:val="es-CO"/>
              </w:rPr>
              <w:t>djunto</w:t>
            </w:r>
            <w:r w:rsidR="000556DF" w:rsidRPr="00620C39">
              <w:rPr>
                <w:rFonts w:ascii="Verdana" w:hAnsi="Verdana"/>
                <w:b/>
                <w:sz w:val="20"/>
                <w:szCs w:val="20"/>
                <w:lang w:val="es-CO"/>
              </w:rPr>
              <w:t>)</w:t>
            </w:r>
            <w:r w:rsidRPr="00620C39">
              <w:rPr>
                <w:rFonts w:ascii="Verdana" w:hAnsi="Verdana"/>
                <w:sz w:val="20"/>
                <w:szCs w:val="20"/>
                <w:lang w:val="es-CO"/>
              </w:rPr>
              <w:t>.</w:t>
            </w:r>
          </w:p>
          <w:p w14:paraId="3D097A1D" w14:textId="77777777" w:rsidR="00494D70" w:rsidRPr="00620C39" w:rsidRDefault="00494D70" w:rsidP="00972144">
            <w:pPr>
              <w:pStyle w:val="Sinespaciado"/>
              <w:jc w:val="both"/>
              <w:rPr>
                <w:rFonts w:ascii="Verdana" w:hAnsi="Verdana"/>
                <w:sz w:val="20"/>
                <w:szCs w:val="20"/>
                <w:lang w:val="es-CO"/>
              </w:rPr>
            </w:pPr>
          </w:p>
          <w:p w14:paraId="2F9E8F17" w14:textId="77777777" w:rsidR="002077FB" w:rsidRPr="00620C39" w:rsidRDefault="000556DF" w:rsidP="002077FB">
            <w:pPr>
              <w:pStyle w:val="Sinespaciado"/>
              <w:jc w:val="both"/>
              <w:rPr>
                <w:rFonts w:ascii="Verdana" w:hAnsi="Verdana"/>
                <w:b/>
                <w:sz w:val="20"/>
                <w:szCs w:val="20"/>
                <w:lang w:val="es-CO"/>
              </w:rPr>
            </w:pPr>
            <w:r w:rsidRPr="00620C39">
              <w:rPr>
                <w:rFonts w:ascii="Verdana" w:hAnsi="Verdana"/>
                <w:b/>
                <w:sz w:val="20"/>
                <w:szCs w:val="20"/>
                <w:lang w:val="es-CO"/>
              </w:rPr>
              <w:t>*</w:t>
            </w:r>
            <w:r w:rsidR="00494D70" w:rsidRPr="00620C39">
              <w:rPr>
                <w:rFonts w:ascii="Verdana" w:hAnsi="Verdana"/>
                <w:b/>
                <w:sz w:val="20"/>
                <w:szCs w:val="20"/>
                <w:lang w:val="es-CO"/>
              </w:rPr>
              <w:t xml:space="preserve">Para </w:t>
            </w:r>
            <w:r w:rsidR="005446E3" w:rsidRPr="00620C39">
              <w:rPr>
                <w:rFonts w:ascii="Verdana" w:hAnsi="Verdana"/>
                <w:b/>
                <w:sz w:val="20"/>
                <w:szCs w:val="20"/>
                <w:lang w:val="es-CO"/>
              </w:rPr>
              <w:t xml:space="preserve">facilitar el recibo de los recursos girados por concepto de </w:t>
            </w:r>
            <w:r w:rsidR="0054054D" w:rsidRPr="00620C39">
              <w:rPr>
                <w:rFonts w:ascii="Verdana" w:hAnsi="Verdana"/>
                <w:b/>
                <w:sz w:val="20"/>
                <w:szCs w:val="20"/>
              </w:rPr>
              <w:t>la</w:t>
            </w:r>
            <w:r w:rsidR="0054054D" w:rsidRPr="00620C39">
              <w:rPr>
                <w:rFonts w:ascii="Verdana" w:hAnsi="Verdana"/>
                <w:sz w:val="20"/>
                <w:szCs w:val="20"/>
              </w:rPr>
              <w:t xml:space="preserve"> </w:t>
            </w:r>
            <w:r w:rsidR="0054054D" w:rsidRPr="00620C39">
              <w:rPr>
                <w:rFonts w:ascii="Verdana" w:hAnsi="Verdana"/>
                <w:b/>
                <w:sz w:val="20"/>
                <w:szCs w:val="20"/>
                <w:lang w:val="es-CO"/>
              </w:rPr>
              <w:t>medida de indemnización administrativa</w:t>
            </w:r>
            <w:r w:rsidR="005446E3" w:rsidRPr="00620C39">
              <w:rPr>
                <w:rFonts w:ascii="Verdana" w:hAnsi="Verdana"/>
                <w:b/>
                <w:sz w:val="20"/>
                <w:szCs w:val="20"/>
                <w:lang w:val="es-CO"/>
              </w:rPr>
              <w:t xml:space="preserve"> </w:t>
            </w:r>
            <w:r w:rsidR="002077FB" w:rsidRPr="00620C39">
              <w:rPr>
                <w:rFonts w:ascii="Verdana" w:hAnsi="Verdana"/>
                <w:b/>
                <w:sz w:val="20"/>
                <w:szCs w:val="20"/>
                <w:lang w:val="es-CO"/>
              </w:rPr>
              <w:t>se sugiere:</w:t>
            </w:r>
          </w:p>
          <w:p w14:paraId="70E4360D" w14:textId="77777777" w:rsidR="005446E3" w:rsidRPr="00620C39" w:rsidRDefault="005446E3" w:rsidP="0054054D">
            <w:pPr>
              <w:pStyle w:val="Sinespaciado"/>
              <w:jc w:val="both"/>
              <w:rPr>
                <w:rFonts w:ascii="Verdana" w:hAnsi="Verdana"/>
                <w:sz w:val="20"/>
                <w:szCs w:val="20"/>
              </w:rPr>
            </w:pPr>
          </w:p>
          <w:p w14:paraId="7DFA829C" w14:textId="77777777" w:rsidR="002077FB" w:rsidRPr="00620C39" w:rsidRDefault="0054054D" w:rsidP="00494D70">
            <w:pPr>
              <w:pStyle w:val="Sinespaciado"/>
              <w:jc w:val="both"/>
              <w:rPr>
                <w:rFonts w:ascii="Verdana" w:hAnsi="Verdana"/>
                <w:sz w:val="20"/>
                <w:szCs w:val="20"/>
              </w:rPr>
            </w:pPr>
            <w:r w:rsidRPr="00620C39">
              <w:rPr>
                <w:rFonts w:ascii="Verdana" w:hAnsi="Verdana"/>
                <w:b/>
                <w:sz w:val="20"/>
                <w:szCs w:val="20"/>
              </w:rPr>
              <w:t>1</w:t>
            </w:r>
            <w:r w:rsidRPr="00620C39">
              <w:rPr>
                <w:rFonts w:ascii="Verdana" w:hAnsi="Verdana"/>
                <w:sz w:val="20"/>
                <w:szCs w:val="20"/>
              </w:rPr>
              <w:t xml:space="preserve">. </w:t>
            </w:r>
            <w:r w:rsidR="002077FB" w:rsidRPr="00620C39">
              <w:rPr>
                <w:rFonts w:ascii="Verdana" w:hAnsi="Verdana"/>
                <w:sz w:val="20"/>
                <w:szCs w:val="20"/>
              </w:rPr>
              <w:t>Al</w:t>
            </w:r>
            <w:r w:rsidR="00494D70" w:rsidRPr="00620C39">
              <w:rPr>
                <w:rFonts w:ascii="Verdana" w:hAnsi="Verdana"/>
                <w:sz w:val="20"/>
                <w:szCs w:val="20"/>
              </w:rPr>
              <w:t xml:space="preserve"> PPL aperturar una cuenta bancaria</w:t>
            </w:r>
            <w:r w:rsidR="002077FB" w:rsidRPr="00620C39">
              <w:rPr>
                <w:rFonts w:ascii="Verdana" w:hAnsi="Verdana"/>
                <w:sz w:val="20"/>
                <w:szCs w:val="20"/>
              </w:rPr>
              <w:t xml:space="preserve"> y, posteriormente, remitir la información de la cuenta a la Unidad para las Víctimas</w:t>
            </w:r>
            <w:r w:rsidR="00494D70" w:rsidRPr="00620C39">
              <w:rPr>
                <w:rFonts w:ascii="Verdana" w:hAnsi="Verdana"/>
                <w:sz w:val="20"/>
                <w:szCs w:val="20"/>
              </w:rPr>
              <w:t>. Para ello, si se</w:t>
            </w:r>
            <w:r w:rsidR="002077FB" w:rsidRPr="00620C39">
              <w:rPr>
                <w:rFonts w:ascii="Verdana" w:hAnsi="Verdana"/>
                <w:sz w:val="20"/>
                <w:szCs w:val="20"/>
              </w:rPr>
              <w:t xml:space="preserve"> autorizó la notificación electrónica</w:t>
            </w:r>
            <w:r w:rsidRPr="00620C39">
              <w:rPr>
                <w:rFonts w:ascii="Verdana" w:hAnsi="Verdana"/>
                <w:sz w:val="20"/>
                <w:szCs w:val="20"/>
              </w:rPr>
              <w:t>, se remitirá a</w:t>
            </w:r>
            <w:r w:rsidR="002077FB" w:rsidRPr="00620C39">
              <w:rPr>
                <w:rFonts w:ascii="Verdana" w:hAnsi="Verdana"/>
                <w:sz w:val="20"/>
                <w:szCs w:val="20"/>
              </w:rPr>
              <w:t xml:space="preserve"> dicho correo el</w:t>
            </w:r>
            <w:r w:rsidRPr="00620C39">
              <w:rPr>
                <w:rFonts w:ascii="Verdana" w:hAnsi="Verdana"/>
                <w:sz w:val="20"/>
                <w:szCs w:val="20"/>
              </w:rPr>
              <w:t xml:space="preserve"> formato de </w:t>
            </w:r>
            <w:r w:rsidRPr="00620C39">
              <w:rPr>
                <w:rFonts w:ascii="Verdana" w:hAnsi="Verdana"/>
                <w:b/>
                <w:sz w:val="20"/>
                <w:szCs w:val="20"/>
                <w:u w:val="single"/>
              </w:rPr>
              <w:t>“</w:t>
            </w:r>
            <w:r w:rsidRPr="00620C39">
              <w:rPr>
                <w:rFonts w:ascii="Verdana" w:hAnsi="Verdana"/>
                <w:b/>
                <w:i/>
                <w:sz w:val="20"/>
                <w:szCs w:val="20"/>
                <w:u w:val="single"/>
              </w:rPr>
              <w:t>Autorización de abono en cuenta</w:t>
            </w:r>
            <w:r w:rsidRPr="00620C39">
              <w:rPr>
                <w:rFonts w:ascii="Verdana" w:hAnsi="Verdana"/>
                <w:b/>
                <w:sz w:val="20"/>
                <w:szCs w:val="20"/>
                <w:u w:val="single"/>
              </w:rPr>
              <w:t>”</w:t>
            </w:r>
            <w:r w:rsidR="002077FB" w:rsidRPr="00620C39">
              <w:rPr>
                <w:rFonts w:ascii="Verdana" w:hAnsi="Verdana"/>
                <w:sz w:val="20"/>
                <w:szCs w:val="20"/>
              </w:rPr>
              <w:t xml:space="preserve"> para que sea </w:t>
            </w:r>
            <w:r w:rsidRPr="00620C39">
              <w:rPr>
                <w:rFonts w:ascii="Verdana" w:hAnsi="Verdana"/>
                <w:sz w:val="20"/>
                <w:szCs w:val="20"/>
              </w:rPr>
              <w:t>diligenciado</w:t>
            </w:r>
            <w:r w:rsidR="002077FB" w:rsidRPr="00620C39">
              <w:rPr>
                <w:rFonts w:ascii="Verdana" w:hAnsi="Verdana"/>
                <w:sz w:val="20"/>
                <w:szCs w:val="20"/>
              </w:rPr>
              <w:t>, escaneado</w:t>
            </w:r>
            <w:r w:rsidRPr="00620C39">
              <w:rPr>
                <w:rFonts w:ascii="Verdana" w:hAnsi="Verdana"/>
                <w:sz w:val="20"/>
                <w:szCs w:val="20"/>
              </w:rPr>
              <w:t xml:space="preserve"> y </w:t>
            </w:r>
            <w:r w:rsidR="002077FB" w:rsidRPr="00620C39">
              <w:rPr>
                <w:rFonts w:ascii="Verdana" w:hAnsi="Verdana"/>
                <w:sz w:val="20"/>
                <w:szCs w:val="20"/>
              </w:rPr>
              <w:t xml:space="preserve">devuelto a la Unidad para las Víctimas. </w:t>
            </w:r>
            <w:r w:rsidR="00553188" w:rsidRPr="00620C39">
              <w:rPr>
                <w:rFonts w:ascii="Verdana" w:hAnsi="Verdana"/>
                <w:sz w:val="20"/>
                <w:szCs w:val="20"/>
              </w:rPr>
              <w:t xml:space="preserve">Se aclara que la autorización suscrita por el tercero </w:t>
            </w:r>
            <w:r w:rsidR="009A1752" w:rsidRPr="00620C39">
              <w:rPr>
                <w:rFonts w:ascii="Verdana" w:hAnsi="Verdana"/>
                <w:sz w:val="20"/>
                <w:szCs w:val="20"/>
              </w:rPr>
              <w:t>facultado</w:t>
            </w:r>
            <w:r w:rsidR="00553188" w:rsidRPr="00620C39">
              <w:rPr>
                <w:rFonts w:ascii="Verdana" w:hAnsi="Verdana"/>
                <w:sz w:val="20"/>
                <w:szCs w:val="20"/>
              </w:rPr>
              <w:t xml:space="preserve"> debe versar únicamente sobre la cuenta bancaria de</w:t>
            </w:r>
            <w:r w:rsidR="00E763CE" w:rsidRPr="00620C39">
              <w:rPr>
                <w:rFonts w:ascii="Verdana" w:hAnsi="Verdana"/>
                <w:sz w:val="20"/>
                <w:szCs w:val="20"/>
              </w:rPr>
              <w:t xml:space="preserve"> </w:t>
            </w:r>
            <w:r w:rsidR="00553188" w:rsidRPr="00620C39">
              <w:rPr>
                <w:rFonts w:ascii="Verdana" w:hAnsi="Verdana"/>
                <w:sz w:val="20"/>
                <w:szCs w:val="20"/>
              </w:rPr>
              <w:t>l</w:t>
            </w:r>
            <w:r w:rsidR="00E763CE" w:rsidRPr="00620C39">
              <w:rPr>
                <w:rFonts w:ascii="Verdana" w:hAnsi="Verdana"/>
                <w:sz w:val="20"/>
                <w:szCs w:val="20"/>
              </w:rPr>
              <w:t xml:space="preserve">a </w:t>
            </w:r>
            <w:r w:rsidR="00553188" w:rsidRPr="00620C39">
              <w:rPr>
                <w:rFonts w:ascii="Verdana" w:hAnsi="Verdana"/>
                <w:sz w:val="20"/>
                <w:szCs w:val="20"/>
              </w:rPr>
              <w:t xml:space="preserve">PPL. </w:t>
            </w:r>
          </w:p>
          <w:p w14:paraId="0E719E79" w14:textId="77777777" w:rsidR="0054054D" w:rsidRPr="00620C39" w:rsidRDefault="0054054D" w:rsidP="0054054D">
            <w:pPr>
              <w:pStyle w:val="Sinespaciado"/>
              <w:jc w:val="both"/>
              <w:rPr>
                <w:rFonts w:ascii="Verdana" w:hAnsi="Verdana"/>
                <w:sz w:val="20"/>
                <w:szCs w:val="20"/>
              </w:rPr>
            </w:pPr>
          </w:p>
          <w:p w14:paraId="37D94EEA" w14:textId="77777777" w:rsidR="0054054D" w:rsidRPr="00620C39" w:rsidRDefault="00F94CDA" w:rsidP="0054054D">
            <w:pPr>
              <w:pStyle w:val="Sinespaciado"/>
              <w:jc w:val="both"/>
              <w:rPr>
                <w:rFonts w:ascii="Verdana" w:hAnsi="Verdana"/>
                <w:sz w:val="20"/>
                <w:szCs w:val="20"/>
              </w:rPr>
            </w:pPr>
            <w:r w:rsidRPr="00620C39">
              <w:rPr>
                <w:rFonts w:ascii="Verdana" w:hAnsi="Verdana"/>
                <w:b/>
                <w:sz w:val="20"/>
                <w:szCs w:val="20"/>
              </w:rPr>
              <w:t>2</w:t>
            </w:r>
            <w:r w:rsidR="0054054D" w:rsidRPr="00620C39">
              <w:rPr>
                <w:rFonts w:ascii="Verdana" w:hAnsi="Verdana"/>
                <w:b/>
                <w:sz w:val="20"/>
                <w:szCs w:val="20"/>
              </w:rPr>
              <w:t>.</w:t>
            </w:r>
            <w:r w:rsidR="0054054D" w:rsidRPr="00620C39">
              <w:rPr>
                <w:rFonts w:ascii="Verdana" w:hAnsi="Verdana"/>
                <w:sz w:val="20"/>
                <w:szCs w:val="20"/>
              </w:rPr>
              <w:t xml:space="preserve"> </w:t>
            </w:r>
            <w:r w:rsidR="00EF452C" w:rsidRPr="00620C39">
              <w:rPr>
                <w:rFonts w:ascii="Verdana" w:hAnsi="Verdana"/>
                <w:sz w:val="20"/>
                <w:szCs w:val="20"/>
              </w:rPr>
              <w:t xml:space="preserve">En el evento de no haberse autorizado la notificación electrónica </w:t>
            </w:r>
            <w:r w:rsidR="00553188" w:rsidRPr="00620C39">
              <w:rPr>
                <w:rFonts w:ascii="Verdana" w:hAnsi="Verdana"/>
                <w:sz w:val="20"/>
                <w:szCs w:val="20"/>
              </w:rPr>
              <w:t xml:space="preserve">del PPL </w:t>
            </w:r>
            <w:r w:rsidR="005A63F8" w:rsidRPr="00620C39">
              <w:rPr>
                <w:rFonts w:ascii="Verdana" w:hAnsi="Verdana"/>
                <w:sz w:val="20"/>
                <w:szCs w:val="20"/>
              </w:rPr>
              <w:t xml:space="preserve">o de su </w:t>
            </w:r>
            <w:r w:rsidR="005A63F8" w:rsidRPr="00620C39">
              <w:rPr>
                <w:rFonts w:ascii="Verdana" w:hAnsi="Verdana"/>
                <w:sz w:val="20"/>
                <w:szCs w:val="20"/>
              </w:rPr>
              <w:lastRenderedPageBreak/>
              <w:t>representante autorizado</w:t>
            </w:r>
            <w:r w:rsidR="0054054D" w:rsidRPr="00620C39">
              <w:rPr>
                <w:rFonts w:ascii="Verdana" w:hAnsi="Verdana"/>
                <w:sz w:val="20"/>
                <w:szCs w:val="20"/>
              </w:rPr>
              <w:t>,</w:t>
            </w:r>
            <w:r w:rsidR="00653CC3" w:rsidRPr="00620C39">
              <w:rPr>
                <w:rFonts w:ascii="Verdana" w:hAnsi="Verdana"/>
                <w:sz w:val="20"/>
                <w:szCs w:val="20"/>
              </w:rPr>
              <w:t xml:space="preserve"> la Unidad para las Víctimas </w:t>
            </w:r>
            <w:r w:rsidR="0054054D" w:rsidRPr="00620C39">
              <w:rPr>
                <w:rFonts w:ascii="Verdana" w:hAnsi="Verdana"/>
                <w:sz w:val="20"/>
                <w:szCs w:val="20"/>
              </w:rPr>
              <w:t xml:space="preserve">remitirá </w:t>
            </w:r>
            <w:r w:rsidR="00653CC3" w:rsidRPr="00620C39">
              <w:rPr>
                <w:rFonts w:ascii="Verdana" w:hAnsi="Verdana"/>
                <w:sz w:val="20"/>
                <w:szCs w:val="20"/>
              </w:rPr>
              <w:t xml:space="preserve">el formato de </w:t>
            </w:r>
            <w:r w:rsidR="00653CC3" w:rsidRPr="00620C39">
              <w:rPr>
                <w:rFonts w:ascii="Verdana" w:hAnsi="Verdana"/>
                <w:b/>
                <w:sz w:val="20"/>
                <w:szCs w:val="20"/>
              </w:rPr>
              <w:t>“</w:t>
            </w:r>
            <w:r w:rsidR="00653CC3" w:rsidRPr="00620C39">
              <w:rPr>
                <w:rFonts w:ascii="Verdana" w:hAnsi="Verdana"/>
                <w:b/>
                <w:i/>
                <w:sz w:val="20"/>
                <w:szCs w:val="20"/>
              </w:rPr>
              <w:t>Autorización de abono en cuenta</w:t>
            </w:r>
            <w:r w:rsidR="00653CC3" w:rsidRPr="00620C39">
              <w:rPr>
                <w:rFonts w:ascii="Verdana" w:hAnsi="Verdana"/>
                <w:b/>
                <w:sz w:val="20"/>
                <w:szCs w:val="20"/>
              </w:rPr>
              <w:t>”</w:t>
            </w:r>
            <w:r w:rsidR="00653CC3" w:rsidRPr="00620C39">
              <w:rPr>
                <w:rFonts w:ascii="Verdana" w:hAnsi="Verdana"/>
                <w:sz w:val="20"/>
                <w:szCs w:val="20"/>
              </w:rPr>
              <w:t xml:space="preserve"> </w:t>
            </w:r>
            <w:r w:rsidR="0054054D" w:rsidRPr="00620C39">
              <w:rPr>
                <w:rFonts w:ascii="Verdana" w:hAnsi="Verdana"/>
                <w:sz w:val="20"/>
                <w:szCs w:val="20"/>
              </w:rPr>
              <w:t>al correo electrónico</w:t>
            </w:r>
            <w:r w:rsidR="00653CC3" w:rsidRPr="00620C39">
              <w:rPr>
                <w:rFonts w:ascii="Verdana" w:hAnsi="Verdana"/>
                <w:sz w:val="20"/>
                <w:szCs w:val="20"/>
              </w:rPr>
              <w:t xml:space="preserve"> dispuesto por la</w:t>
            </w:r>
            <w:r w:rsidR="0054054D" w:rsidRPr="00620C39">
              <w:rPr>
                <w:rFonts w:ascii="Verdana" w:hAnsi="Verdana"/>
                <w:sz w:val="20"/>
                <w:szCs w:val="20"/>
              </w:rPr>
              <w:t xml:space="preserve"> Direccion del Centro Penitenciario</w:t>
            </w:r>
            <w:r w:rsidR="00653CC3" w:rsidRPr="00620C39">
              <w:rPr>
                <w:rFonts w:ascii="Verdana" w:hAnsi="Verdana"/>
                <w:sz w:val="20"/>
                <w:szCs w:val="20"/>
              </w:rPr>
              <w:t>,</w:t>
            </w:r>
            <w:r w:rsidR="0054054D" w:rsidRPr="00620C39">
              <w:rPr>
                <w:rFonts w:ascii="Verdana" w:hAnsi="Verdana"/>
                <w:sz w:val="20"/>
                <w:szCs w:val="20"/>
              </w:rPr>
              <w:t xml:space="preserve"> solicit</w:t>
            </w:r>
            <w:r w:rsidR="00653CC3" w:rsidRPr="00620C39">
              <w:rPr>
                <w:rFonts w:ascii="Verdana" w:hAnsi="Verdana"/>
                <w:sz w:val="20"/>
                <w:szCs w:val="20"/>
              </w:rPr>
              <w:t>ándole que el formato sea impreso y comunicado al PPL para que éste lo suscriba y lo envíe de vuelta a la Unidad para las Víctimas.</w:t>
            </w:r>
          </w:p>
          <w:p w14:paraId="26B54160" w14:textId="77777777" w:rsidR="002077FB" w:rsidRPr="00620C39" w:rsidRDefault="002077FB" w:rsidP="002077FB">
            <w:pPr>
              <w:pStyle w:val="Sinespaciado"/>
              <w:jc w:val="both"/>
              <w:rPr>
                <w:rFonts w:ascii="Verdana" w:hAnsi="Verdana"/>
                <w:b/>
                <w:sz w:val="20"/>
                <w:szCs w:val="20"/>
              </w:rPr>
            </w:pPr>
          </w:p>
          <w:p w14:paraId="1299B59A" w14:textId="77777777" w:rsidR="002077FB" w:rsidRPr="00620C39" w:rsidRDefault="002077FB" w:rsidP="002077FB">
            <w:pPr>
              <w:pStyle w:val="Sinespaciado"/>
              <w:jc w:val="both"/>
              <w:rPr>
                <w:rFonts w:ascii="Verdana" w:hAnsi="Verdana"/>
                <w:sz w:val="20"/>
                <w:szCs w:val="20"/>
              </w:rPr>
            </w:pPr>
            <w:r w:rsidRPr="00620C39">
              <w:rPr>
                <w:rFonts w:ascii="Verdana" w:hAnsi="Verdana"/>
                <w:b/>
                <w:sz w:val="20"/>
                <w:szCs w:val="20"/>
              </w:rPr>
              <w:t>Nota:</w:t>
            </w:r>
            <w:r w:rsidR="00653CC3" w:rsidRPr="00620C39">
              <w:rPr>
                <w:rFonts w:ascii="Verdana" w:hAnsi="Verdana"/>
                <w:b/>
                <w:sz w:val="20"/>
                <w:szCs w:val="20"/>
              </w:rPr>
              <w:t xml:space="preserve"> </w:t>
            </w:r>
            <w:r w:rsidR="00653CC3" w:rsidRPr="00620C39">
              <w:rPr>
                <w:rFonts w:ascii="Verdana" w:hAnsi="Verdana"/>
                <w:sz w:val="20"/>
                <w:szCs w:val="20"/>
              </w:rPr>
              <w:t xml:space="preserve">En los dos casos descritos anteriormente, la Unidad para las Víctimas emitirá un Acto Administrativo que contenga una orden de abonar los recursos reconocidos por concepto de indemnización en la cuenta suministrada. </w:t>
            </w:r>
          </w:p>
          <w:p w14:paraId="2DD8917D" w14:textId="77777777" w:rsidR="00653CC3" w:rsidRPr="00620C39" w:rsidRDefault="00653CC3" w:rsidP="002077FB">
            <w:pPr>
              <w:pStyle w:val="Sinespaciado"/>
              <w:jc w:val="both"/>
              <w:rPr>
                <w:rFonts w:ascii="Verdana" w:hAnsi="Verdana"/>
                <w:sz w:val="20"/>
                <w:szCs w:val="20"/>
              </w:rPr>
            </w:pPr>
          </w:p>
          <w:p w14:paraId="68523941" w14:textId="77777777" w:rsidR="00E763CE" w:rsidRPr="00620C39" w:rsidRDefault="00653CC3" w:rsidP="00363996">
            <w:pPr>
              <w:pStyle w:val="Sinespaciado"/>
              <w:jc w:val="both"/>
              <w:rPr>
                <w:rFonts w:ascii="Verdana" w:hAnsi="Verdana"/>
                <w:sz w:val="20"/>
                <w:szCs w:val="20"/>
              </w:rPr>
            </w:pPr>
            <w:r w:rsidRPr="00620C39">
              <w:rPr>
                <w:rFonts w:ascii="Verdana" w:hAnsi="Verdana"/>
                <w:b/>
                <w:sz w:val="20"/>
                <w:szCs w:val="20"/>
              </w:rPr>
              <w:t>Nota:</w:t>
            </w:r>
            <w:r w:rsidRPr="00620C39">
              <w:rPr>
                <w:rFonts w:ascii="Verdana" w:hAnsi="Verdana"/>
                <w:sz w:val="20"/>
                <w:szCs w:val="20"/>
              </w:rPr>
              <w:t xml:space="preserve"> De acuerdo con </w:t>
            </w:r>
            <w:r w:rsidR="00E763CE" w:rsidRPr="00620C39">
              <w:rPr>
                <w:rFonts w:ascii="Verdana" w:hAnsi="Verdana"/>
                <w:sz w:val="20"/>
                <w:szCs w:val="20"/>
              </w:rPr>
              <w:t xml:space="preserve">el artículo de la Ley 65 del 19993 y el artículo 50 de Reglamento General de los Establecimientos del Orden Nacional, las PPL no pueden ingresar ni tener dinero dentro del establecimiento de reclusión. </w:t>
            </w:r>
          </w:p>
          <w:p w14:paraId="356B7271" w14:textId="77777777" w:rsidR="00E763CE" w:rsidRPr="00620C39" w:rsidRDefault="00E763CE" w:rsidP="00363996">
            <w:pPr>
              <w:pStyle w:val="Sinespaciado"/>
              <w:jc w:val="both"/>
              <w:rPr>
                <w:rFonts w:ascii="Verdana" w:hAnsi="Verdana"/>
                <w:sz w:val="20"/>
                <w:szCs w:val="20"/>
              </w:rPr>
            </w:pPr>
          </w:p>
          <w:p w14:paraId="76122E3E" w14:textId="77777777" w:rsidR="002077FB" w:rsidRPr="00620C39" w:rsidRDefault="00E763CE" w:rsidP="00363996">
            <w:pPr>
              <w:pStyle w:val="Sinespaciado"/>
              <w:jc w:val="both"/>
              <w:rPr>
                <w:rFonts w:ascii="Verdana" w:hAnsi="Verdana"/>
                <w:sz w:val="20"/>
                <w:szCs w:val="20"/>
              </w:rPr>
            </w:pPr>
            <w:r w:rsidRPr="00620C39">
              <w:rPr>
                <w:rFonts w:ascii="Verdana" w:hAnsi="Verdana"/>
                <w:b/>
                <w:sz w:val="20"/>
                <w:szCs w:val="20"/>
              </w:rPr>
              <w:t>Nota:</w:t>
            </w:r>
            <w:r w:rsidRPr="00620C39">
              <w:rPr>
                <w:rFonts w:ascii="Verdana" w:hAnsi="Verdana"/>
                <w:sz w:val="20"/>
                <w:szCs w:val="20"/>
              </w:rPr>
              <w:t xml:space="preserve"> En ningún caso se permitirá el abono en cuenta de persona diferente al PPL.    </w:t>
            </w:r>
            <w:r w:rsidR="00653CC3" w:rsidRPr="00620C39">
              <w:rPr>
                <w:rFonts w:ascii="Verdana" w:hAnsi="Verdana"/>
                <w:sz w:val="20"/>
                <w:szCs w:val="20"/>
              </w:rPr>
              <w:t xml:space="preserve">  </w:t>
            </w:r>
          </w:p>
          <w:p w14:paraId="3284EE85" w14:textId="77777777" w:rsidR="002077FB" w:rsidRPr="00620C39" w:rsidRDefault="002077FB" w:rsidP="0054054D">
            <w:pPr>
              <w:pStyle w:val="Sinespaciado"/>
              <w:pBdr>
                <w:bottom w:val="single" w:sz="12" w:space="1" w:color="auto"/>
              </w:pBdr>
              <w:jc w:val="both"/>
              <w:rPr>
                <w:rFonts w:ascii="Verdana" w:hAnsi="Verdana"/>
                <w:sz w:val="20"/>
                <w:szCs w:val="20"/>
              </w:rPr>
            </w:pPr>
          </w:p>
          <w:p w14:paraId="30BF30AB" w14:textId="77777777" w:rsidR="00953ACF" w:rsidRPr="00620C39" w:rsidRDefault="00953ACF" w:rsidP="00AF7D64">
            <w:pPr>
              <w:pStyle w:val="Sinespaciado"/>
              <w:jc w:val="both"/>
              <w:rPr>
                <w:rFonts w:ascii="Verdana" w:hAnsi="Verdana"/>
                <w:b/>
                <w:sz w:val="20"/>
                <w:szCs w:val="20"/>
              </w:rPr>
            </w:pPr>
          </w:p>
          <w:p w14:paraId="31BAED7C" w14:textId="77777777" w:rsidR="00AF7D64" w:rsidRPr="00620C39" w:rsidRDefault="00AF7D64" w:rsidP="007F6AFB">
            <w:pPr>
              <w:pStyle w:val="Sinespaciado"/>
              <w:jc w:val="both"/>
              <w:rPr>
                <w:rFonts w:ascii="Verdana" w:hAnsi="Verdana"/>
                <w:b/>
                <w:sz w:val="20"/>
                <w:szCs w:val="20"/>
                <w:lang w:val="es-CO"/>
              </w:rPr>
            </w:pPr>
            <w:r w:rsidRPr="00620C39">
              <w:rPr>
                <w:rFonts w:ascii="Verdana" w:hAnsi="Verdana"/>
                <w:b/>
                <w:sz w:val="20"/>
                <w:szCs w:val="20"/>
                <w:lang w:val="es-CO"/>
              </w:rPr>
              <w:t>Recuerde que</w:t>
            </w:r>
            <w:r w:rsidR="00953ACF" w:rsidRPr="00620C39">
              <w:rPr>
                <w:rFonts w:ascii="Verdana" w:hAnsi="Verdana"/>
                <w:b/>
                <w:sz w:val="20"/>
                <w:szCs w:val="20"/>
                <w:lang w:val="es-CO"/>
              </w:rPr>
              <w:t xml:space="preserve"> la información que sea </w:t>
            </w:r>
            <w:r w:rsidR="00E763CE" w:rsidRPr="00620C39">
              <w:rPr>
                <w:rFonts w:ascii="Verdana" w:hAnsi="Verdana"/>
                <w:b/>
                <w:sz w:val="20"/>
                <w:szCs w:val="20"/>
                <w:lang w:val="es-CO"/>
              </w:rPr>
              <w:t>aportada al</w:t>
            </w:r>
            <w:r w:rsidR="00953ACF" w:rsidRPr="00620C39">
              <w:rPr>
                <w:rFonts w:ascii="Verdana" w:hAnsi="Verdana"/>
                <w:b/>
                <w:sz w:val="20"/>
                <w:szCs w:val="20"/>
                <w:lang w:val="es-CO"/>
              </w:rPr>
              <w:t xml:space="preserve"> procedimiento para reconocer y otorgar la indemnización por vía administrativa</w:t>
            </w:r>
            <w:r w:rsidR="00E763CE" w:rsidRPr="00620C39">
              <w:rPr>
                <w:rFonts w:ascii="Verdana" w:hAnsi="Verdana"/>
                <w:b/>
                <w:sz w:val="20"/>
                <w:szCs w:val="20"/>
                <w:lang w:val="es-CO"/>
              </w:rPr>
              <w:t xml:space="preserve"> durante el curso de su trámite es la expresión del consentimiento del PPL, en dichos términos, lo</w:t>
            </w:r>
            <w:r w:rsidRPr="00620C39">
              <w:rPr>
                <w:rFonts w:ascii="Verdana" w:hAnsi="Verdana"/>
                <w:b/>
                <w:sz w:val="20"/>
                <w:szCs w:val="20"/>
                <w:lang w:val="es-CO"/>
              </w:rPr>
              <w:t xml:space="preserve"> hace responsable ante las autoridades judiciales o administrativas </w:t>
            </w:r>
            <w:r w:rsidR="004D168E" w:rsidRPr="00620C39">
              <w:rPr>
                <w:rFonts w:ascii="Verdana" w:hAnsi="Verdana"/>
                <w:b/>
                <w:sz w:val="20"/>
                <w:szCs w:val="20"/>
                <w:lang w:val="es-CO"/>
              </w:rPr>
              <w:t xml:space="preserve">frente a </w:t>
            </w:r>
            <w:r w:rsidRPr="00620C39">
              <w:rPr>
                <w:rFonts w:ascii="Verdana" w:hAnsi="Verdana"/>
                <w:b/>
                <w:sz w:val="20"/>
                <w:szCs w:val="20"/>
                <w:lang w:val="es-CO"/>
              </w:rPr>
              <w:t xml:space="preserve">los datos </w:t>
            </w:r>
            <w:r w:rsidR="00E763CE" w:rsidRPr="00620C39">
              <w:rPr>
                <w:rFonts w:ascii="Verdana" w:hAnsi="Verdana"/>
                <w:b/>
                <w:sz w:val="20"/>
                <w:szCs w:val="20"/>
                <w:lang w:val="es-CO"/>
              </w:rPr>
              <w:t xml:space="preserve">que se </w:t>
            </w:r>
            <w:r w:rsidR="004D168E" w:rsidRPr="00620C39">
              <w:rPr>
                <w:rFonts w:ascii="Verdana" w:hAnsi="Verdana"/>
                <w:b/>
                <w:sz w:val="20"/>
                <w:szCs w:val="20"/>
                <w:lang w:val="es-CO"/>
              </w:rPr>
              <w:t>provean</w:t>
            </w:r>
            <w:r w:rsidRPr="00620C39">
              <w:rPr>
                <w:rFonts w:ascii="Verdana" w:hAnsi="Verdana"/>
                <w:b/>
                <w:sz w:val="20"/>
                <w:szCs w:val="20"/>
                <w:lang w:val="es-CO"/>
              </w:rPr>
              <w:t>. En</w:t>
            </w:r>
            <w:r w:rsidR="004D168E" w:rsidRPr="00620C39">
              <w:rPr>
                <w:rFonts w:ascii="Verdana" w:hAnsi="Verdana"/>
                <w:b/>
                <w:sz w:val="20"/>
                <w:szCs w:val="20"/>
                <w:lang w:val="es-CO"/>
              </w:rPr>
              <w:t xml:space="preserve"> los </w:t>
            </w:r>
            <w:r w:rsidRPr="00620C39">
              <w:rPr>
                <w:rFonts w:ascii="Verdana" w:hAnsi="Verdana"/>
                <w:b/>
                <w:sz w:val="20"/>
                <w:szCs w:val="20"/>
                <w:lang w:val="es-CO"/>
              </w:rPr>
              <w:t>caso</w:t>
            </w:r>
            <w:r w:rsidR="004D168E" w:rsidRPr="00620C39">
              <w:rPr>
                <w:rFonts w:ascii="Verdana" w:hAnsi="Verdana"/>
                <w:b/>
                <w:sz w:val="20"/>
                <w:szCs w:val="20"/>
                <w:lang w:val="es-CO"/>
              </w:rPr>
              <w:t>s</w:t>
            </w:r>
            <w:r w:rsidRPr="00620C39">
              <w:rPr>
                <w:rFonts w:ascii="Verdana" w:hAnsi="Verdana"/>
                <w:b/>
                <w:sz w:val="20"/>
                <w:szCs w:val="20"/>
                <w:lang w:val="es-CO"/>
              </w:rPr>
              <w:t xml:space="preserve"> que </w:t>
            </w:r>
            <w:r w:rsidR="004D168E" w:rsidRPr="00620C39">
              <w:rPr>
                <w:rFonts w:ascii="Verdana" w:hAnsi="Verdana"/>
                <w:b/>
                <w:sz w:val="20"/>
                <w:szCs w:val="20"/>
                <w:lang w:val="es-CO"/>
              </w:rPr>
              <w:t>la información aportada</w:t>
            </w:r>
            <w:r w:rsidRPr="00620C39">
              <w:rPr>
                <w:rFonts w:ascii="Verdana" w:hAnsi="Verdana"/>
                <w:b/>
                <w:sz w:val="20"/>
                <w:szCs w:val="20"/>
                <w:lang w:val="es-CO"/>
              </w:rPr>
              <w:t xml:space="preserve"> no corresponda a la realidad y, con </w:t>
            </w:r>
            <w:r w:rsidR="004D168E" w:rsidRPr="00620C39">
              <w:rPr>
                <w:rFonts w:ascii="Verdana" w:hAnsi="Verdana"/>
                <w:b/>
                <w:sz w:val="20"/>
                <w:szCs w:val="20"/>
                <w:lang w:val="es-CO"/>
              </w:rPr>
              <w:t>ella</w:t>
            </w:r>
            <w:r w:rsidRPr="00620C39">
              <w:rPr>
                <w:rFonts w:ascii="Verdana" w:hAnsi="Verdana"/>
                <w:b/>
                <w:sz w:val="20"/>
                <w:szCs w:val="20"/>
                <w:lang w:val="es-CO"/>
              </w:rPr>
              <w:t xml:space="preserve">, se haya </w:t>
            </w:r>
            <w:r w:rsidR="004D168E" w:rsidRPr="00620C39">
              <w:rPr>
                <w:rFonts w:ascii="Verdana" w:hAnsi="Verdana"/>
                <w:b/>
                <w:sz w:val="20"/>
                <w:szCs w:val="20"/>
                <w:lang w:val="es-CO"/>
              </w:rPr>
              <w:t xml:space="preserve">provocado </w:t>
            </w:r>
            <w:r w:rsidRPr="00620C39">
              <w:rPr>
                <w:rFonts w:ascii="Verdana" w:hAnsi="Verdana"/>
                <w:b/>
                <w:sz w:val="20"/>
                <w:szCs w:val="20"/>
                <w:lang w:val="es-CO"/>
              </w:rPr>
              <w:t xml:space="preserve">la </w:t>
            </w:r>
            <w:r w:rsidR="004D168E" w:rsidRPr="00620C39">
              <w:rPr>
                <w:rFonts w:ascii="Verdana" w:hAnsi="Verdana"/>
                <w:b/>
                <w:sz w:val="20"/>
                <w:szCs w:val="20"/>
                <w:lang w:val="es-CO"/>
              </w:rPr>
              <w:t xml:space="preserve">errada </w:t>
            </w:r>
            <w:r w:rsidRPr="00620C39">
              <w:rPr>
                <w:rFonts w:ascii="Verdana" w:hAnsi="Verdana"/>
                <w:b/>
                <w:sz w:val="20"/>
                <w:szCs w:val="20"/>
                <w:lang w:val="es-CO"/>
              </w:rPr>
              <w:t xml:space="preserve">entrega de la indemnización, la Unidad para las Víctimas </w:t>
            </w:r>
            <w:r w:rsidR="004D168E" w:rsidRPr="00620C39">
              <w:rPr>
                <w:rFonts w:ascii="Verdana" w:hAnsi="Verdana"/>
                <w:b/>
                <w:sz w:val="20"/>
                <w:szCs w:val="20"/>
                <w:lang w:val="es-CO"/>
              </w:rPr>
              <w:t xml:space="preserve">procederá a </w:t>
            </w:r>
            <w:r w:rsidRPr="00620C39">
              <w:rPr>
                <w:rFonts w:ascii="Verdana" w:hAnsi="Verdana"/>
                <w:b/>
                <w:sz w:val="20"/>
                <w:szCs w:val="20"/>
                <w:lang w:val="es-CO"/>
              </w:rPr>
              <w:t xml:space="preserve">revocar la medida y ordenar su reintegro, de acuerdo a lo dispuesto en el artículo 198 de la Ley 1448 de 2011 que </w:t>
            </w:r>
            <w:r w:rsidR="004D168E" w:rsidRPr="00620C39">
              <w:rPr>
                <w:rFonts w:ascii="Verdana" w:hAnsi="Verdana"/>
                <w:b/>
                <w:sz w:val="20"/>
                <w:szCs w:val="20"/>
                <w:lang w:val="es-CO"/>
              </w:rPr>
              <w:t>reza</w:t>
            </w:r>
            <w:r w:rsidRPr="00620C39">
              <w:rPr>
                <w:rFonts w:ascii="Verdana" w:hAnsi="Verdana"/>
                <w:b/>
                <w:sz w:val="20"/>
                <w:szCs w:val="20"/>
                <w:lang w:val="es-CO"/>
              </w:rPr>
              <w:t>:</w:t>
            </w:r>
          </w:p>
          <w:p w14:paraId="6B356DF5" w14:textId="77777777" w:rsidR="00AF7D64" w:rsidRPr="00620C39" w:rsidRDefault="00AF7D64" w:rsidP="00AF7D64">
            <w:pPr>
              <w:pStyle w:val="Sinespaciado"/>
              <w:jc w:val="both"/>
              <w:rPr>
                <w:rFonts w:ascii="Verdana" w:hAnsi="Verdana"/>
                <w:sz w:val="20"/>
                <w:szCs w:val="20"/>
                <w:lang w:val="es-CO"/>
              </w:rPr>
            </w:pPr>
          </w:p>
          <w:p w14:paraId="7BC84DE1" w14:textId="77777777" w:rsidR="00AF7D64" w:rsidRPr="00620C39" w:rsidRDefault="00AF7D64" w:rsidP="00AF7D64">
            <w:pPr>
              <w:pStyle w:val="Sinespaciado"/>
              <w:ind w:left="567" w:right="639"/>
              <w:jc w:val="both"/>
              <w:rPr>
                <w:rFonts w:ascii="Verdana" w:hAnsi="Verdana"/>
                <w:i/>
                <w:sz w:val="20"/>
                <w:szCs w:val="20"/>
                <w:lang w:val="es-CO"/>
              </w:rPr>
            </w:pPr>
            <w:r w:rsidRPr="00620C39">
              <w:rPr>
                <w:rFonts w:ascii="Verdana" w:hAnsi="Verdana"/>
                <w:i/>
                <w:sz w:val="20"/>
                <w:szCs w:val="20"/>
                <w:lang w:val="es-CO"/>
              </w:rPr>
              <w:t xml:space="preserve">“(…) </w:t>
            </w:r>
            <w:r w:rsidRPr="00620C39">
              <w:rPr>
                <w:rFonts w:ascii="Verdana" w:hAnsi="Verdana"/>
                <w:i/>
                <w:sz w:val="20"/>
                <w:szCs w:val="20"/>
              </w:rPr>
              <w:t xml:space="preserve">ARTÍCULO 198. INSCRIPCIÓN FRAUDULENTA DE VÍCTIMAS. Si con posterioridad al reconocimiento de la indemnización administrativa se demostrare que la persona no tenía la calidad de víctima o de beneficiario, o lo hubiere acreditado de manera engañosa o fraudulenta, se revocarán las medidas de indemnización otorgadas, se ordenará el reintegro de los recursos que se hubieren reconocido y entregado por este concepto y se compulsarán copias a la autoridad competente para la investigación a que haya lugar. </w:t>
            </w:r>
            <w:r w:rsidRPr="00620C39">
              <w:rPr>
                <w:rFonts w:ascii="Verdana" w:hAnsi="Verdana"/>
                <w:i/>
                <w:sz w:val="20"/>
                <w:szCs w:val="20"/>
                <w:lang w:val="es-CO"/>
              </w:rPr>
              <w:t>(…)”</w:t>
            </w:r>
          </w:p>
          <w:p w14:paraId="4E60B6EF" w14:textId="77777777" w:rsidR="00AF7D64" w:rsidRPr="00620C39" w:rsidRDefault="00AF7D64" w:rsidP="00AF7D64">
            <w:pPr>
              <w:pStyle w:val="Sinespaciado"/>
              <w:ind w:right="639"/>
              <w:jc w:val="both"/>
              <w:rPr>
                <w:rFonts w:ascii="Verdana" w:hAnsi="Verdana"/>
                <w:i/>
                <w:sz w:val="20"/>
                <w:szCs w:val="20"/>
                <w:lang w:val="es-CO"/>
              </w:rPr>
            </w:pPr>
          </w:p>
          <w:p w14:paraId="6F56D4F3" w14:textId="77777777" w:rsidR="005431EA" w:rsidRPr="00620C39" w:rsidRDefault="00AF7D64" w:rsidP="00953ACF">
            <w:pPr>
              <w:pStyle w:val="Sinespaciado"/>
              <w:jc w:val="both"/>
              <w:rPr>
                <w:rFonts w:ascii="Verdana" w:hAnsi="Verdana"/>
                <w:sz w:val="20"/>
                <w:szCs w:val="20"/>
                <w:lang w:val="es-CO"/>
              </w:rPr>
            </w:pPr>
            <w:r w:rsidRPr="00620C39">
              <w:rPr>
                <w:rFonts w:ascii="Verdana" w:hAnsi="Verdana"/>
                <w:b/>
                <w:sz w:val="20"/>
                <w:szCs w:val="20"/>
                <w:lang w:val="es-CO"/>
              </w:rPr>
              <w:t>Para solicitudes, inquietudes o información al respecto, comuníquese a la Unidad para la Atención y Reparación Integral a las Víctimas, a través de la línea gratuita 018000-911119 desde cualquier celular a nivel nacional y desde cualquier teléfono fijo en Bogotá al 4261111. El horario de atención del Canal Telefónico y Virtual es de lunes a viernes de 7:00 a.m. a 9:00 p.m. y sábados de 7:00 a.m. a 5:00 p.m.</w:t>
            </w:r>
          </w:p>
        </w:tc>
      </w:tr>
      <w:bookmarkEnd w:id="1"/>
    </w:tbl>
    <w:p w14:paraId="010F7293" w14:textId="77777777" w:rsidR="005431EA" w:rsidRPr="00620C39" w:rsidRDefault="005431EA" w:rsidP="00F14453">
      <w:pPr>
        <w:pStyle w:val="Sinespaciado"/>
        <w:rPr>
          <w:sz w:val="20"/>
          <w:szCs w:val="20"/>
          <w:lang w:val="es-CO"/>
        </w:rPr>
      </w:pPr>
    </w:p>
    <w:p w14:paraId="48AB17FD" w14:textId="77777777" w:rsidR="005431EA" w:rsidRPr="00620C39" w:rsidRDefault="005431EA" w:rsidP="00F14453">
      <w:pPr>
        <w:pStyle w:val="Sinespaciado"/>
        <w:rPr>
          <w:sz w:val="20"/>
          <w:szCs w:val="20"/>
          <w:lang w:val="es-CO"/>
        </w:rPr>
      </w:pPr>
    </w:p>
    <w:bookmarkEnd w:id="0"/>
    <w:p w14:paraId="66C433A7" w14:textId="77777777" w:rsidR="005431EA" w:rsidRPr="00620C39" w:rsidRDefault="005431EA" w:rsidP="00F14453">
      <w:pPr>
        <w:pStyle w:val="Sinespaciado"/>
        <w:rPr>
          <w:sz w:val="20"/>
          <w:szCs w:val="20"/>
          <w:lang w:val="es-CO"/>
        </w:rPr>
      </w:pPr>
    </w:p>
    <w:sectPr w:rsidR="005431EA" w:rsidRPr="00620C39" w:rsidSect="009246F2">
      <w:headerReference w:type="even" r:id="rId9"/>
      <w:headerReference w:type="default" r:id="rId10"/>
      <w:headerReference w:type="first" r:id="rId11"/>
      <w:pgSz w:w="12242" w:h="15842" w:code="1"/>
      <w:pgMar w:top="1440" w:right="2036"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0F1D" w14:textId="77777777" w:rsidR="00EB06B2" w:rsidRDefault="00EB06B2">
      <w:r>
        <w:separator/>
      </w:r>
    </w:p>
  </w:endnote>
  <w:endnote w:type="continuationSeparator" w:id="0">
    <w:p w14:paraId="4B004055" w14:textId="77777777" w:rsidR="00EB06B2" w:rsidRDefault="00EB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84CF" w14:textId="77777777" w:rsidR="00EB06B2" w:rsidRDefault="00EB06B2">
      <w:r>
        <w:separator/>
      </w:r>
    </w:p>
  </w:footnote>
  <w:footnote w:type="continuationSeparator" w:id="0">
    <w:p w14:paraId="68888731" w14:textId="77777777" w:rsidR="00EB06B2" w:rsidRDefault="00EB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823" w14:textId="77777777" w:rsidR="00EF3121" w:rsidRDefault="00EF3121">
    <w:pPr>
      <w:pStyle w:val="Encabezado"/>
    </w:pPr>
    <w:r>
      <w:rPr>
        <w:noProof/>
      </w:rPr>
      <w:pict w14:anchorId="559DE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4" type="#_x0000_t75" style="position:absolute;margin-left:0;margin-top:0;width:637.5pt;height:825pt;z-index:-251659776;mso-wrap-edited:f;mso-position-horizontal:center;mso-position-horizontal-relative:margin;mso-position-vertical:center;mso-position-vertical-relative:margin" wrapcoords="-25 0 -25 21560 21600 21560 21600 0 -25 0">
          <v:imagedata r:id="rId1" o:title="papeleria-0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227"/>
      <w:gridCol w:w="2159"/>
    </w:tblGrid>
    <w:tr w:rsidR="009246F2" w:rsidRPr="009246F2" w14:paraId="2D6C2CE7" w14:textId="77777777" w:rsidTr="002724DA">
      <w:trPr>
        <w:trHeight w:val="726"/>
      </w:trPr>
      <w:tc>
        <w:tcPr>
          <w:tcW w:w="3420" w:type="dxa"/>
          <w:vMerge w:val="restart"/>
          <w:shd w:val="clear" w:color="auto" w:fill="BFBFBF"/>
          <w:vAlign w:val="center"/>
        </w:tcPr>
        <w:p w14:paraId="2AD9168F" w14:textId="77777777" w:rsidR="002724DA" w:rsidRDefault="002724DA" w:rsidP="002724DA">
          <w:pPr>
            <w:widowControl w:val="0"/>
            <w:jc w:val="center"/>
            <w:rPr>
              <w:rFonts w:ascii="Verdana" w:hAnsi="Verdana" w:cs="Arial"/>
              <w:b/>
              <w:noProof/>
              <w:color w:val="FFFFFF"/>
              <w:sz w:val="18"/>
              <w:szCs w:val="18"/>
            </w:rPr>
          </w:pPr>
        </w:p>
        <w:p w14:paraId="65434231" w14:textId="77777777" w:rsidR="002724DA" w:rsidRDefault="002724DA" w:rsidP="002724DA">
          <w:pPr>
            <w:widowControl w:val="0"/>
            <w:jc w:val="center"/>
            <w:rPr>
              <w:rFonts w:ascii="Verdana" w:hAnsi="Verdana" w:cs="Arial"/>
              <w:b/>
              <w:noProof/>
              <w:color w:val="FFFFFF"/>
              <w:sz w:val="18"/>
              <w:szCs w:val="18"/>
            </w:rPr>
          </w:pPr>
        </w:p>
        <w:p w14:paraId="604F2E43" w14:textId="77777777" w:rsidR="009246F2" w:rsidRPr="009246F2" w:rsidRDefault="002724DA" w:rsidP="002724DA">
          <w:pPr>
            <w:widowControl w:val="0"/>
            <w:jc w:val="center"/>
            <w:rPr>
              <w:rFonts w:ascii="Verdana" w:hAnsi="Verdana" w:cs="Arial"/>
              <w:b/>
              <w:noProof/>
              <w:color w:val="FFFFFF"/>
              <w:sz w:val="18"/>
              <w:szCs w:val="18"/>
            </w:rPr>
          </w:pPr>
          <w:r>
            <w:rPr>
              <w:rFonts w:ascii="Verdana" w:hAnsi="Verdana" w:cs="Arial"/>
              <w:b/>
              <w:noProof/>
              <w:color w:val="FFFFFF"/>
              <w:sz w:val="18"/>
              <w:szCs w:val="18"/>
            </w:rPr>
          </w:r>
          <w:r>
            <w:rPr>
              <w:rFonts w:ascii="Verdana" w:hAnsi="Verdana" w:cs="Arial"/>
              <w:b/>
              <w:noProof/>
              <w:color w:val="FFFFFF"/>
              <w:sz w:val="18"/>
              <w:szCs w:val="18"/>
            </w:rPr>
            <w:pict w14:anchorId="0CAA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width:107.05pt;height:38.9pt;mso-position-horizontal-relative:char;mso-position-vertical-relative:line">
                <v:imagedata r:id="rId1" o:title=""/>
                <w10:wrap type="none"/>
                <w10:anchorlock/>
              </v:shape>
            </w:pict>
          </w:r>
        </w:p>
      </w:tc>
      <w:tc>
        <w:tcPr>
          <w:tcW w:w="5227" w:type="dxa"/>
          <w:shd w:val="clear" w:color="auto" w:fill="BFBFBF"/>
          <w:vAlign w:val="center"/>
        </w:tcPr>
        <w:p w14:paraId="58AE9FB9" w14:textId="77777777" w:rsidR="009246F2" w:rsidRPr="009246F2" w:rsidRDefault="009246F2" w:rsidP="009246F2">
          <w:pPr>
            <w:widowControl w:val="0"/>
            <w:jc w:val="center"/>
            <w:rPr>
              <w:rFonts w:ascii="Verdana" w:hAnsi="Verdana" w:cs="Arial"/>
              <w:b/>
              <w:color w:val="FFFFFF"/>
              <w:sz w:val="18"/>
              <w:szCs w:val="18"/>
            </w:rPr>
          </w:pPr>
          <w:r w:rsidRPr="009246F2">
            <w:rPr>
              <w:rFonts w:ascii="Verdana" w:hAnsi="Verdana" w:cs="Arial"/>
              <w:b/>
              <w:color w:val="FFFFFF"/>
              <w:sz w:val="18"/>
              <w:szCs w:val="18"/>
            </w:rPr>
            <w:t>INFORMATIVO PERSONAS PRIVADAS DE LA LIBERTAD (</w:t>
          </w:r>
          <w:proofErr w:type="spellStart"/>
          <w:r w:rsidRPr="009246F2">
            <w:rPr>
              <w:rFonts w:ascii="Verdana" w:hAnsi="Verdana" w:cs="Arial"/>
              <w:b/>
              <w:color w:val="FFFFFF"/>
              <w:sz w:val="18"/>
              <w:szCs w:val="18"/>
            </w:rPr>
            <w:t>PPL</w:t>
          </w:r>
          <w:proofErr w:type="spellEnd"/>
          <w:r w:rsidRPr="009246F2">
            <w:rPr>
              <w:rFonts w:ascii="Verdana" w:hAnsi="Verdana" w:cs="Arial"/>
              <w:b/>
              <w:color w:val="FFFFFF"/>
              <w:sz w:val="18"/>
              <w:szCs w:val="18"/>
            </w:rPr>
            <w:t>)</w:t>
          </w:r>
        </w:p>
      </w:tc>
      <w:tc>
        <w:tcPr>
          <w:tcW w:w="2159" w:type="dxa"/>
          <w:shd w:val="clear" w:color="auto" w:fill="auto"/>
          <w:vAlign w:val="center"/>
        </w:tcPr>
        <w:p w14:paraId="3E325ED0" w14:textId="77777777" w:rsidR="009246F2" w:rsidRPr="009246F2" w:rsidRDefault="009246F2" w:rsidP="009246F2">
          <w:pPr>
            <w:widowControl w:val="0"/>
            <w:rPr>
              <w:rFonts w:ascii="Verdana" w:hAnsi="Verdana" w:cs="Arial"/>
              <w:sz w:val="16"/>
              <w:szCs w:val="16"/>
            </w:rPr>
          </w:pPr>
          <w:r w:rsidRPr="009246F2">
            <w:rPr>
              <w:rFonts w:ascii="Verdana" w:hAnsi="Verdana" w:cs="Arial"/>
              <w:sz w:val="16"/>
              <w:szCs w:val="16"/>
            </w:rPr>
            <w:t>Código: 410,08,15-93</w:t>
          </w:r>
        </w:p>
      </w:tc>
    </w:tr>
    <w:tr w:rsidR="009246F2" w:rsidRPr="009246F2" w14:paraId="080B022C" w14:textId="77777777" w:rsidTr="000A3B64">
      <w:tblPrEx>
        <w:tblCellMar>
          <w:left w:w="108" w:type="dxa"/>
          <w:right w:w="108" w:type="dxa"/>
        </w:tblCellMar>
      </w:tblPrEx>
      <w:trPr>
        <w:trHeight w:val="429"/>
      </w:trPr>
      <w:tc>
        <w:tcPr>
          <w:tcW w:w="3420" w:type="dxa"/>
          <w:vMerge/>
          <w:shd w:val="clear" w:color="auto" w:fill="BFBFBF"/>
        </w:tcPr>
        <w:p w14:paraId="2A035D81" w14:textId="77777777" w:rsidR="009246F2" w:rsidRPr="009246F2" w:rsidRDefault="009246F2" w:rsidP="009246F2">
          <w:pPr>
            <w:widowControl w:val="0"/>
            <w:tabs>
              <w:tab w:val="center" w:pos="4252"/>
              <w:tab w:val="right" w:pos="8504"/>
            </w:tabs>
            <w:rPr>
              <w:rFonts w:ascii="Verdana" w:hAnsi="Verdana"/>
              <w:sz w:val="18"/>
              <w:szCs w:val="18"/>
            </w:rPr>
          </w:pPr>
        </w:p>
      </w:tc>
      <w:tc>
        <w:tcPr>
          <w:tcW w:w="5227" w:type="dxa"/>
          <w:shd w:val="clear" w:color="auto" w:fill="auto"/>
          <w:vAlign w:val="center"/>
        </w:tcPr>
        <w:p w14:paraId="5E26F18F" w14:textId="77777777" w:rsidR="009246F2" w:rsidRPr="009246F2" w:rsidRDefault="009246F2" w:rsidP="009246F2">
          <w:pPr>
            <w:widowControl w:val="0"/>
            <w:tabs>
              <w:tab w:val="center" w:pos="4252"/>
              <w:tab w:val="right" w:pos="8504"/>
            </w:tabs>
            <w:jc w:val="center"/>
            <w:rPr>
              <w:rFonts w:ascii="Verdana" w:hAnsi="Verdana"/>
              <w:sz w:val="18"/>
              <w:szCs w:val="18"/>
            </w:rPr>
          </w:pPr>
          <w:r w:rsidRPr="009246F2">
            <w:rPr>
              <w:rFonts w:ascii="Verdana" w:hAnsi="Verdana"/>
              <w:sz w:val="18"/>
              <w:szCs w:val="18"/>
            </w:rPr>
            <w:t>PROCESO REPARACIÓN INTEGRAL</w:t>
          </w:r>
        </w:p>
      </w:tc>
      <w:tc>
        <w:tcPr>
          <w:tcW w:w="2159" w:type="dxa"/>
          <w:shd w:val="clear" w:color="auto" w:fill="auto"/>
          <w:vAlign w:val="center"/>
        </w:tcPr>
        <w:p w14:paraId="170DD0AC" w14:textId="77777777" w:rsidR="009246F2" w:rsidRPr="009246F2" w:rsidRDefault="009246F2" w:rsidP="009246F2">
          <w:pPr>
            <w:widowControl w:val="0"/>
            <w:rPr>
              <w:rFonts w:ascii="Verdana" w:hAnsi="Verdana" w:cs="Arial"/>
              <w:color w:val="000000"/>
              <w:sz w:val="16"/>
              <w:szCs w:val="16"/>
            </w:rPr>
          </w:pPr>
          <w:r w:rsidRPr="009246F2">
            <w:rPr>
              <w:rFonts w:ascii="Verdana" w:hAnsi="Verdana" w:cs="Arial"/>
              <w:color w:val="000000"/>
              <w:sz w:val="16"/>
              <w:szCs w:val="16"/>
            </w:rPr>
            <w:t>Versión: 01</w:t>
          </w:r>
        </w:p>
      </w:tc>
    </w:tr>
    <w:tr w:rsidR="009246F2" w:rsidRPr="009246F2" w14:paraId="3AC1EC29" w14:textId="77777777" w:rsidTr="000A3B64">
      <w:tblPrEx>
        <w:tblCellMar>
          <w:left w:w="108" w:type="dxa"/>
          <w:right w:w="108" w:type="dxa"/>
        </w:tblCellMar>
      </w:tblPrEx>
      <w:trPr>
        <w:trHeight w:val="61"/>
      </w:trPr>
      <w:tc>
        <w:tcPr>
          <w:tcW w:w="3420" w:type="dxa"/>
          <w:vMerge/>
          <w:shd w:val="clear" w:color="auto" w:fill="BFBFBF"/>
        </w:tcPr>
        <w:p w14:paraId="295F017E" w14:textId="77777777" w:rsidR="009246F2" w:rsidRPr="009246F2" w:rsidRDefault="009246F2" w:rsidP="009246F2">
          <w:pPr>
            <w:widowControl w:val="0"/>
            <w:tabs>
              <w:tab w:val="center" w:pos="4252"/>
              <w:tab w:val="right" w:pos="8504"/>
            </w:tabs>
            <w:rPr>
              <w:rFonts w:ascii="Verdana" w:hAnsi="Verdana"/>
              <w:sz w:val="23"/>
              <w:szCs w:val="20"/>
            </w:rPr>
          </w:pPr>
        </w:p>
      </w:tc>
      <w:tc>
        <w:tcPr>
          <w:tcW w:w="5227" w:type="dxa"/>
          <w:vMerge w:val="restart"/>
          <w:shd w:val="clear" w:color="auto" w:fill="auto"/>
          <w:vAlign w:val="center"/>
        </w:tcPr>
        <w:p w14:paraId="3CC8F865" w14:textId="77777777" w:rsidR="009246F2" w:rsidRPr="009246F2" w:rsidRDefault="009246F2" w:rsidP="009246F2">
          <w:pPr>
            <w:widowControl w:val="0"/>
            <w:tabs>
              <w:tab w:val="center" w:pos="4252"/>
              <w:tab w:val="right" w:pos="8504"/>
            </w:tabs>
            <w:jc w:val="center"/>
            <w:rPr>
              <w:rFonts w:ascii="Verdana" w:hAnsi="Verdana"/>
              <w:sz w:val="23"/>
              <w:szCs w:val="20"/>
            </w:rPr>
          </w:pPr>
          <w:r w:rsidRPr="009246F2">
            <w:rPr>
              <w:rFonts w:ascii="Verdana" w:hAnsi="Verdana"/>
              <w:sz w:val="18"/>
              <w:szCs w:val="18"/>
            </w:rPr>
            <w:t>PROCEDIMIENTO TOMA DE SOLICITUD DE INDEMNIZACIÓN ADMINISTRATIVA</w:t>
          </w:r>
        </w:p>
      </w:tc>
      <w:tc>
        <w:tcPr>
          <w:tcW w:w="2159" w:type="dxa"/>
          <w:shd w:val="clear" w:color="auto" w:fill="auto"/>
        </w:tcPr>
        <w:p w14:paraId="04EE0852" w14:textId="77777777" w:rsidR="009246F2" w:rsidRPr="009246F2" w:rsidRDefault="009246F2" w:rsidP="009246F2">
          <w:pPr>
            <w:widowControl w:val="0"/>
            <w:rPr>
              <w:rFonts w:ascii="Verdana" w:hAnsi="Verdana" w:cs="Arial"/>
              <w:color w:val="000000"/>
              <w:sz w:val="16"/>
              <w:szCs w:val="16"/>
            </w:rPr>
          </w:pPr>
          <w:r w:rsidRPr="009246F2">
            <w:rPr>
              <w:rFonts w:ascii="Verdana" w:hAnsi="Verdana" w:cs="Arial"/>
              <w:color w:val="000000"/>
              <w:sz w:val="16"/>
              <w:szCs w:val="16"/>
            </w:rPr>
            <w:t>Fecha: 13/08/2019</w:t>
          </w:r>
        </w:p>
      </w:tc>
    </w:tr>
    <w:tr w:rsidR="009246F2" w:rsidRPr="009246F2" w14:paraId="282C3D2A" w14:textId="77777777" w:rsidTr="000A3B64">
      <w:tblPrEx>
        <w:tblCellMar>
          <w:left w:w="108" w:type="dxa"/>
          <w:right w:w="108" w:type="dxa"/>
        </w:tblCellMar>
      </w:tblPrEx>
      <w:trPr>
        <w:trHeight w:val="273"/>
      </w:trPr>
      <w:tc>
        <w:tcPr>
          <w:tcW w:w="3420" w:type="dxa"/>
          <w:vMerge/>
          <w:shd w:val="clear" w:color="auto" w:fill="BFBFBF"/>
        </w:tcPr>
        <w:p w14:paraId="3C8DA77A" w14:textId="77777777" w:rsidR="009246F2" w:rsidRPr="009246F2" w:rsidRDefault="009246F2" w:rsidP="009246F2">
          <w:pPr>
            <w:widowControl w:val="0"/>
            <w:tabs>
              <w:tab w:val="center" w:pos="4252"/>
              <w:tab w:val="right" w:pos="8504"/>
            </w:tabs>
            <w:rPr>
              <w:rFonts w:ascii="Verdana" w:hAnsi="Verdana"/>
              <w:sz w:val="23"/>
              <w:szCs w:val="20"/>
            </w:rPr>
          </w:pPr>
        </w:p>
      </w:tc>
      <w:tc>
        <w:tcPr>
          <w:tcW w:w="5227" w:type="dxa"/>
          <w:vMerge/>
          <w:shd w:val="clear" w:color="auto" w:fill="auto"/>
          <w:vAlign w:val="center"/>
        </w:tcPr>
        <w:p w14:paraId="215ED135" w14:textId="77777777" w:rsidR="009246F2" w:rsidRPr="009246F2" w:rsidRDefault="009246F2" w:rsidP="009246F2">
          <w:pPr>
            <w:widowControl w:val="0"/>
            <w:tabs>
              <w:tab w:val="center" w:pos="4252"/>
              <w:tab w:val="right" w:pos="8504"/>
            </w:tabs>
            <w:jc w:val="center"/>
            <w:rPr>
              <w:rFonts w:ascii="Verdana" w:hAnsi="Verdana"/>
              <w:sz w:val="18"/>
              <w:szCs w:val="18"/>
            </w:rPr>
          </w:pPr>
        </w:p>
      </w:tc>
      <w:tc>
        <w:tcPr>
          <w:tcW w:w="2159" w:type="dxa"/>
          <w:shd w:val="clear" w:color="auto" w:fill="auto"/>
          <w:vAlign w:val="center"/>
        </w:tcPr>
        <w:p w14:paraId="4D8CA895" w14:textId="77777777" w:rsidR="009246F2" w:rsidRPr="009246F2" w:rsidRDefault="009246F2" w:rsidP="009246F2">
          <w:pPr>
            <w:tabs>
              <w:tab w:val="center" w:pos="4252"/>
              <w:tab w:val="left" w:pos="4956"/>
              <w:tab w:val="left" w:pos="5664"/>
              <w:tab w:val="left" w:pos="6372"/>
            </w:tabs>
            <w:rPr>
              <w:rFonts w:ascii="Verdana" w:hAnsi="Verdana" w:cs="Arial"/>
              <w:sz w:val="16"/>
              <w:szCs w:val="16"/>
            </w:rPr>
          </w:pPr>
          <w:r w:rsidRPr="009246F2">
            <w:rPr>
              <w:rFonts w:ascii="Verdana" w:hAnsi="Verdana" w:cs="Arial"/>
              <w:sz w:val="16"/>
              <w:szCs w:val="16"/>
            </w:rPr>
            <w:t xml:space="preserve">Página: </w:t>
          </w:r>
          <w:r w:rsidRPr="009246F2">
            <w:rPr>
              <w:rFonts w:ascii="Verdana" w:hAnsi="Verdana" w:cs="Arial"/>
              <w:b/>
              <w:bCs/>
              <w:sz w:val="16"/>
              <w:szCs w:val="16"/>
            </w:rPr>
            <w:fldChar w:fldCharType="begin"/>
          </w:r>
          <w:r w:rsidRPr="009246F2">
            <w:rPr>
              <w:rFonts w:ascii="Verdana" w:hAnsi="Verdana" w:cs="Arial"/>
              <w:b/>
              <w:bCs/>
              <w:sz w:val="16"/>
              <w:szCs w:val="16"/>
            </w:rPr>
            <w:instrText>PAGE  \* Arabic  \* MERGEFORMAT</w:instrText>
          </w:r>
          <w:r w:rsidRPr="009246F2">
            <w:rPr>
              <w:rFonts w:ascii="Verdana" w:hAnsi="Verdana" w:cs="Arial"/>
              <w:b/>
              <w:bCs/>
              <w:sz w:val="16"/>
              <w:szCs w:val="16"/>
            </w:rPr>
            <w:fldChar w:fldCharType="separate"/>
          </w:r>
          <w:r w:rsidRPr="009246F2">
            <w:rPr>
              <w:rFonts w:ascii="Verdana" w:hAnsi="Verdana" w:cs="Arial"/>
              <w:b/>
              <w:bCs/>
              <w:sz w:val="16"/>
              <w:szCs w:val="16"/>
            </w:rPr>
            <w:t>1</w:t>
          </w:r>
          <w:r w:rsidRPr="009246F2">
            <w:rPr>
              <w:rFonts w:ascii="Verdana" w:hAnsi="Verdana" w:cs="Arial"/>
              <w:b/>
              <w:bCs/>
              <w:sz w:val="16"/>
              <w:szCs w:val="16"/>
            </w:rPr>
            <w:fldChar w:fldCharType="end"/>
          </w:r>
          <w:r w:rsidRPr="009246F2">
            <w:rPr>
              <w:rFonts w:ascii="Verdana" w:hAnsi="Verdana" w:cs="Arial"/>
              <w:sz w:val="16"/>
              <w:szCs w:val="16"/>
            </w:rPr>
            <w:t xml:space="preserve"> de </w:t>
          </w:r>
          <w:r w:rsidRPr="009246F2">
            <w:rPr>
              <w:rFonts w:ascii="Verdana" w:hAnsi="Verdana" w:cs="Arial"/>
              <w:b/>
              <w:bCs/>
              <w:sz w:val="16"/>
              <w:szCs w:val="16"/>
            </w:rPr>
            <w:fldChar w:fldCharType="begin"/>
          </w:r>
          <w:r w:rsidRPr="009246F2">
            <w:rPr>
              <w:rFonts w:ascii="Verdana" w:hAnsi="Verdana" w:cs="Arial"/>
              <w:b/>
              <w:bCs/>
              <w:sz w:val="16"/>
              <w:szCs w:val="16"/>
            </w:rPr>
            <w:instrText>NUMPAGES  \* Arabic  \* MERGEFORMAT</w:instrText>
          </w:r>
          <w:r w:rsidRPr="009246F2">
            <w:rPr>
              <w:rFonts w:ascii="Verdana" w:hAnsi="Verdana" w:cs="Arial"/>
              <w:b/>
              <w:bCs/>
              <w:sz w:val="16"/>
              <w:szCs w:val="16"/>
            </w:rPr>
            <w:fldChar w:fldCharType="separate"/>
          </w:r>
          <w:r w:rsidRPr="009246F2">
            <w:rPr>
              <w:rFonts w:ascii="Verdana" w:hAnsi="Verdana" w:cs="Arial"/>
              <w:b/>
              <w:bCs/>
              <w:sz w:val="16"/>
              <w:szCs w:val="16"/>
            </w:rPr>
            <w:t>2</w:t>
          </w:r>
          <w:r w:rsidRPr="009246F2">
            <w:rPr>
              <w:rFonts w:ascii="Verdana" w:hAnsi="Verdana" w:cs="Arial"/>
              <w:b/>
              <w:bCs/>
              <w:sz w:val="16"/>
              <w:szCs w:val="16"/>
            </w:rPr>
            <w:fldChar w:fldCharType="end"/>
          </w:r>
        </w:p>
      </w:tc>
    </w:tr>
  </w:tbl>
  <w:p w14:paraId="4433305A" w14:textId="77777777" w:rsidR="009246F2" w:rsidRDefault="009246F2" w:rsidP="00A52F93">
    <w:pPr>
      <w:tabs>
        <w:tab w:val="left" w:pos="345"/>
        <w:tab w:val="left" w:pos="1485"/>
        <w:tab w:val="right" w:pos="10490"/>
      </w:tabs>
      <w:snapToGrid w:val="0"/>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1CEA" w14:textId="77777777" w:rsidR="00EF3121" w:rsidRDefault="00EF3121">
    <w:pPr>
      <w:pStyle w:val="Encabezado"/>
    </w:pPr>
    <w:r>
      <w:rPr>
        <w:noProof/>
      </w:rPr>
      <w:pict w14:anchorId="7339E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5" type="#_x0000_t75" style="position:absolute;margin-left:0;margin-top:0;width:637.5pt;height:825pt;z-index:-251658752;mso-wrap-edited:f;mso-position-horizontal:center;mso-position-horizontal-relative:margin;mso-position-vertical:center;mso-position-vertical-relative:margin" wrapcoords="-25 0 -25 21560 21600 21560 21600 0 -25 0">
          <v:imagedata r:id="rId1" o:title="papeleria-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08B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6530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C20"/>
    <w:rsid w:val="0000055E"/>
    <w:rsid w:val="00014BD3"/>
    <w:rsid w:val="000170A6"/>
    <w:rsid w:val="00017CF4"/>
    <w:rsid w:val="00027AA0"/>
    <w:rsid w:val="000556DF"/>
    <w:rsid w:val="0006346E"/>
    <w:rsid w:val="00081EEA"/>
    <w:rsid w:val="000A3B64"/>
    <w:rsid w:val="000B59D3"/>
    <w:rsid w:val="000D18F6"/>
    <w:rsid w:val="000D776E"/>
    <w:rsid w:val="000E6D8D"/>
    <w:rsid w:val="000F6B09"/>
    <w:rsid w:val="00104086"/>
    <w:rsid w:val="0011107F"/>
    <w:rsid w:val="001124AD"/>
    <w:rsid w:val="0012786E"/>
    <w:rsid w:val="001348C5"/>
    <w:rsid w:val="00160A17"/>
    <w:rsid w:val="001654F0"/>
    <w:rsid w:val="00167802"/>
    <w:rsid w:val="00170DE6"/>
    <w:rsid w:val="00175A98"/>
    <w:rsid w:val="001A7EF6"/>
    <w:rsid w:val="001B1843"/>
    <w:rsid w:val="002077FB"/>
    <w:rsid w:val="00211DD2"/>
    <w:rsid w:val="0024559D"/>
    <w:rsid w:val="00257388"/>
    <w:rsid w:val="0026778B"/>
    <w:rsid w:val="002724DA"/>
    <w:rsid w:val="00280C8B"/>
    <w:rsid w:val="00296A0A"/>
    <w:rsid w:val="0029791F"/>
    <w:rsid w:val="002A3809"/>
    <w:rsid w:val="002B40C1"/>
    <w:rsid w:val="002D2ECC"/>
    <w:rsid w:val="002D59AB"/>
    <w:rsid w:val="002F3F45"/>
    <w:rsid w:val="002F44B7"/>
    <w:rsid w:val="00310CBD"/>
    <w:rsid w:val="003221CB"/>
    <w:rsid w:val="00324ABE"/>
    <w:rsid w:val="003359F2"/>
    <w:rsid w:val="00350B8C"/>
    <w:rsid w:val="00362252"/>
    <w:rsid w:val="0036243D"/>
    <w:rsid w:val="00363996"/>
    <w:rsid w:val="003745D3"/>
    <w:rsid w:val="0038271C"/>
    <w:rsid w:val="003A49DC"/>
    <w:rsid w:val="003B3519"/>
    <w:rsid w:val="003C684C"/>
    <w:rsid w:val="003D5F4A"/>
    <w:rsid w:val="003D68CE"/>
    <w:rsid w:val="003D7CBC"/>
    <w:rsid w:val="003E0C19"/>
    <w:rsid w:val="003F754B"/>
    <w:rsid w:val="00403CCB"/>
    <w:rsid w:val="00420638"/>
    <w:rsid w:val="004629FC"/>
    <w:rsid w:val="00485A29"/>
    <w:rsid w:val="00494D70"/>
    <w:rsid w:val="0049686B"/>
    <w:rsid w:val="004979FA"/>
    <w:rsid w:val="004A225D"/>
    <w:rsid w:val="004A42AA"/>
    <w:rsid w:val="004C0616"/>
    <w:rsid w:val="004C2D3B"/>
    <w:rsid w:val="004C4F24"/>
    <w:rsid w:val="004D168E"/>
    <w:rsid w:val="004D2EBD"/>
    <w:rsid w:val="004D53E2"/>
    <w:rsid w:val="004D6385"/>
    <w:rsid w:val="004E0B57"/>
    <w:rsid w:val="004E49D4"/>
    <w:rsid w:val="004E6AF9"/>
    <w:rsid w:val="00507E46"/>
    <w:rsid w:val="005239B9"/>
    <w:rsid w:val="00535E3A"/>
    <w:rsid w:val="0054054D"/>
    <w:rsid w:val="00542E14"/>
    <w:rsid w:val="005431EA"/>
    <w:rsid w:val="005446E3"/>
    <w:rsid w:val="005527B3"/>
    <w:rsid w:val="00552E2B"/>
    <w:rsid w:val="00553188"/>
    <w:rsid w:val="00561910"/>
    <w:rsid w:val="005709FA"/>
    <w:rsid w:val="00591905"/>
    <w:rsid w:val="005A63F8"/>
    <w:rsid w:val="005E5481"/>
    <w:rsid w:val="00620C39"/>
    <w:rsid w:val="00626D0E"/>
    <w:rsid w:val="0064125A"/>
    <w:rsid w:val="00653CC3"/>
    <w:rsid w:val="00661570"/>
    <w:rsid w:val="00693E1A"/>
    <w:rsid w:val="006B1830"/>
    <w:rsid w:val="006B5989"/>
    <w:rsid w:val="006E42F2"/>
    <w:rsid w:val="006F13CD"/>
    <w:rsid w:val="007354CF"/>
    <w:rsid w:val="007A456F"/>
    <w:rsid w:val="007B6725"/>
    <w:rsid w:val="007B74C0"/>
    <w:rsid w:val="007F3595"/>
    <w:rsid w:val="007F3C79"/>
    <w:rsid w:val="007F6AFB"/>
    <w:rsid w:val="008078D2"/>
    <w:rsid w:val="0081470C"/>
    <w:rsid w:val="00820513"/>
    <w:rsid w:val="0082692C"/>
    <w:rsid w:val="008302CA"/>
    <w:rsid w:val="008343F0"/>
    <w:rsid w:val="008410EA"/>
    <w:rsid w:val="00854D06"/>
    <w:rsid w:val="00862D5B"/>
    <w:rsid w:val="00872EF5"/>
    <w:rsid w:val="008820E2"/>
    <w:rsid w:val="008971D9"/>
    <w:rsid w:val="0089784B"/>
    <w:rsid w:val="008C0810"/>
    <w:rsid w:val="008D73F1"/>
    <w:rsid w:val="008F2E01"/>
    <w:rsid w:val="00917381"/>
    <w:rsid w:val="009246F2"/>
    <w:rsid w:val="009345E4"/>
    <w:rsid w:val="0095282F"/>
    <w:rsid w:val="00953ACF"/>
    <w:rsid w:val="009704DA"/>
    <w:rsid w:val="00972144"/>
    <w:rsid w:val="00975667"/>
    <w:rsid w:val="00991316"/>
    <w:rsid w:val="0099689B"/>
    <w:rsid w:val="009A174B"/>
    <w:rsid w:val="009A1752"/>
    <w:rsid w:val="009A3044"/>
    <w:rsid w:val="009B4927"/>
    <w:rsid w:val="009D6B96"/>
    <w:rsid w:val="009F002E"/>
    <w:rsid w:val="00A1459B"/>
    <w:rsid w:val="00A35344"/>
    <w:rsid w:val="00A50E18"/>
    <w:rsid w:val="00A52F93"/>
    <w:rsid w:val="00A62019"/>
    <w:rsid w:val="00A764A4"/>
    <w:rsid w:val="00AE3287"/>
    <w:rsid w:val="00AE443D"/>
    <w:rsid w:val="00AF7D64"/>
    <w:rsid w:val="00AF7FBA"/>
    <w:rsid w:val="00B01111"/>
    <w:rsid w:val="00B13A7C"/>
    <w:rsid w:val="00B37AAD"/>
    <w:rsid w:val="00B438E3"/>
    <w:rsid w:val="00B6020B"/>
    <w:rsid w:val="00B842DD"/>
    <w:rsid w:val="00B970C6"/>
    <w:rsid w:val="00BB6BA5"/>
    <w:rsid w:val="00BB6CDD"/>
    <w:rsid w:val="00BC7C20"/>
    <w:rsid w:val="00BF7DAF"/>
    <w:rsid w:val="00C15FE3"/>
    <w:rsid w:val="00C27EDE"/>
    <w:rsid w:val="00C658FD"/>
    <w:rsid w:val="00C71B1D"/>
    <w:rsid w:val="00C85BC5"/>
    <w:rsid w:val="00C92317"/>
    <w:rsid w:val="00C9770A"/>
    <w:rsid w:val="00C97CA3"/>
    <w:rsid w:val="00CB57CC"/>
    <w:rsid w:val="00CB697F"/>
    <w:rsid w:val="00CB7904"/>
    <w:rsid w:val="00CD2185"/>
    <w:rsid w:val="00CD556A"/>
    <w:rsid w:val="00CD5FBA"/>
    <w:rsid w:val="00CE2706"/>
    <w:rsid w:val="00CE3D8D"/>
    <w:rsid w:val="00D0213A"/>
    <w:rsid w:val="00D033AC"/>
    <w:rsid w:val="00D2573D"/>
    <w:rsid w:val="00D73FDB"/>
    <w:rsid w:val="00D77758"/>
    <w:rsid w:val="00D81DED"/>
    <w:rsid w:val="00D94801"/>
    <w:rsid w:val="00DB5B49"/>
    <w:rsid w:val="00DD174B"/>
    <w:rsid w:val="00DF08BD"/>
    <w:rsid w:val="00E06941"/>
    <w:rsid w:val="00E07974"/>
    <w:rsid w:val="00E5366D"/>
    <w:rsid w:val="00E57682"/>
    <w:rsid w:val="00E60365"/>
    <w:rsid w:val="00E722C0"/>
    <w:rsid w:val="00E72782"/>
    <w:rsid w:val="00E75401"/>
    <w:rsid w:val="00E763CE"/>
    <w:rsid w:val="00E95EC8"/>
    <w:rsid w:val="00EB06B2"/>
    <w:rsid w:val="00EB3973"/>
    <w:rsid w:val="00ED685C"/>
    <w:rsid w:val="00EE219E"/>
    <w:rsid w:val="00EE5223"/>
    <w:rsid w:val="00EF3121"/>
    <w:rsid w:val="00EF4253"/>
    <w:rsid w:val="00EF452C"/>
    <w:rsid w:val="00EF515E"/>
    <w:rsid w:val="00F02EDE"/>
    <w:rsid w:val="00F14453"/>
    <w:rsid w:val="00F3386F"/>
    <w:rsid w:val="00F402C4"/>
    <w:rsid w:val="00F474CE"/>
    <w:rsid w:val="00F645C5"/>
    <w:rsid w:val="00F67232"/>
    <w:rsid w:val="00F81E0F"/>
    <w:rsid w:val="00F875FC"/>
    <w:rsid w:val="00F94CDA"/>
    <w:rsid w:val="00FA43A9"/>
    <w:rsid w:val="00FB0F09"/>
    <w:rsid w:val="00FC6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A8908C"/>
  <w15:chartTrackingRefBased/>
  <w15:docId w15:val="{2EAED956-22E2-465A-A95E-641461F1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E0F"/>
    <w:rPr>
      <w:sz w:val="24"/>
      <w:szCs w:val="24"/>
      <w:lang w:val="es-ES" w:eastAsia="es-ES"/>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qFormat/>
    <w:pPr>
      <w:keepNext/>
      <w:jc w:val="center"/>
      <w:outlineLvl w:val="1"/>
    </w:pPr>
    <w:rPr>
      <w:rFonts w:ascii="Arial Narrow" w:hAnsi="Arial Narrow"/>
      <w:b/>
      <w:bCs/>
      <w:sz w:val="14"/>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rPr>
      <w:rFonts w:ascii="Arial Narrow" w:hAnsi="Arial Narrow"/>
      <w:b/>
      <w:sz w:val="9"/>
    </w:rPr>
  </w:style>
  <w:style w:type="paragraph" w:styleId="Textonotapie">
    <w:name w:val="footnote text"/>
    <w:basedOn w:val="Normal"/>
    <w:semiHidden/>
    <w:rsid w:val="00F81E0F"/>
    <w:rPr>
      <w:sz w:val="20"/>
      <w:szCs w:val="20"/>
    </w:rPr>
  </w:style>
  <w:style w:type="paragraph" w:styleId="Puesto">
    <w:name w:val="Puesto"/>
    <w:aliases w:val="Title"/>
    <w:basedOn w:val="Normal"/>
    <w:qFormat/>
    <w:rsid w:val="00ED685C"/>
    <w:pPr>
      <w:jc w:val="center"/>
    </w:pPr>
    <w:rPr>
      <w:rFonts w:ascii="Arial" w:hAnsi="Arial" w:cs="Arial"/>
      <w:b/>
      <w:bCs/>
    </w:rPr>
  </w:style>
  <w:style w:type="paragraph" w:styleId="Textodeglobo">
    <w:name w:val="Balloon Text"/>
    <w:basedOn w:val="Normal"/>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link w:val="Encabezado"/>
    <w:rsid w:val="00EE5223"/>
    <w:rPr>
      <w:sz w:val="24"/>
      <w:szCs w:val="24"/>
      <w:lang w:val="es-ES" w:eastAsia="es-ES"/>
    </w:rPr>
  </w:style>
  <w:style w:type="character" w:customStyle="1" w:styleId="PiedepginaCar">
    <w:name w:val="Pie de página Car"/>
    <w:link w:val="Piedepgina"/>
    <w:uiPriority w:val="99"/>
    <w:rsid w:val="0012786E"/>
    <w:rPr>
      <w:sz w:val="24"/>
      <w:szCs w:val="24"/>
      <w:lang w:val="es-ES" w:eastAsia="es-ES"/>
    </w:rPr>
  </w:style>
  <w:style w:type="paragraph" w:styleId="Sinespaciado">
    <w:name w:val="No Spacing"/>
    <w:uiPriority w:val="1"/>
    <w:qFormat/>
    <w:rsid w:val="00F14453"/>
    <w:rPr>
      <w:sz w:val="24"/>
      <w:szCs w:val="24"/>
      <w:lang w:val="es-ES" w:eastAsia="es-ES"/>
    </w:rPr>
  </w:style>
  <w:style w:type="table" w:styleId="Tablaconcuadrcula">
    <w:name w:val="Table Grid"/>
    <w:basedOn w:val="Tablanormal"/>
    <w:rsid w:val="0054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7F3C79"/>
    <w:rPr>
      <w:color w:val="605E5C"/>
      <w:shd w:val="clear" w:color="auto" w:fill="E1DFDD"/>
    </w:rPr>
  </w:style>
  <w:style w:type="character" w:styleId="Refdecomentario">
    <w:name w:val="annotation reference"/>
    <w:rsid w:val="002F3F45"/>
    <w:rPr>
      <w:sz w:val="16"/>
      <w:szCs w:val="16"/>
    </w:rPr>
  </w:style>
  <w:style w:type="paragraph" w:styleId="Textocomentario">
    <w:name w:val="annotation text"/>
    <w:basedOn w:val="Normal"/>
    <w:link w:val="TextocomentarioCar"/>
    <w:rsid w:val="002F3F45"/>
    <w:rPr>
      <w:sz w:val="20"/>
      <w:szCs w:val="20"/>
    </w:rPr>
  </w:style>
  <w:style w:type="character" w:customStyle="1" w:styleId="TextocomentarioCar">
    <w:name w:val="Texto comentario Car"/>
    <w:link w:val="Textocomentario"/>
    <w:rsid w:val="002F3F45"/>
    <w:rPr>
      <w:lang w:val="es-ES" w:eastAsia="es-ES"/>
    </w:rPr>
  </w:style>
  <w:style w:type="paragraph" w:styleId="Asuntodelcomentario">
    <w:name w:val="annotation subject"/>
    <w:basedOn w:val="Textocomentario"/>
    <w:next w:val="Textocomentario"/>
    <w:link w:val="AsuntodelcomentarioCar"/>
    <w:rsid w:val="002F3F45"/>
    <w:rPr>
      <w:b/>
      <w:bCs/>
    </w:rPr>
  </w:style>
  <w:style w:type="character" w:customStyle="1" w:styleId="AsuntodelcomentarioCar">
    <w:name w:val="Asunto del comentario Car"/>
    <w:link w:val="Asuntodelcomentario"/>
    <w:rsid w:val="002F3F4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23415">
      <w:bodyDiv w:val="1"/>
      <w:marLeft w:val="0"/>
      <w:marRight w:val="0"/>
      <w:marTop w:val="0"/>
      <w:marBottom w:val="0"/>
      <w:divBdr>
        <w:top w:val="none" w:sz="0" w:space="0" w:color="auto"/>
        <w:left w:val="none" w:sz="0" w:space="0" w:color="auto"/>
        <w:bottom w:val="none" w:sz="0" w:space="0" w:color="auto"/>
        <w:right w:val="none" w:sz="0" w:space="0" w:color="auto"/>
      </w:divBdr>
    </w:div>
    <w:div w:id="16605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ocumentacion@unidadvictima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C9162-B586-4D6E-B119-6D3C6CC7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plantilla_Memorando_ORFEO.dot</Template>
  <TotalTime>1</TotalTime>
  <Pages>2</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5503</CharactersWithSpaces>
  <SharedDoc>false</SharedDoc>
  <HLinks>
    <vt:vector size="6" baseType="variant">
      <vt:variant>
        <vt:i4>6291474</vt:i4>
      </vt:variant>
      <vt:variant>
        <vt:i4>0</vt:i4>
      </vt:variant>
      <vt:variant>
        <vt:i4>0</vt:i4>
      </vt:variant>
      <vt:variant>
        <vt:i4>5</vt:i4>
      </vt:variant>
      <vt:variant>
        <vt:lpwstr>mailto:documentacion@unidadvictimas.gov.co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ctriana</dc:creator>
  <cp:keywords/>
  <dc:description/>
  <cp:lastModifiedBy>Nather Bismark Rodríguez Molina</cp:lastModifiedBy>
  <cp:revision>3</cp:revision>
  <cp:lastPrinted>2023-06-23T19:22:00Z</cp:lastPrinted>
  <dcterms:created xsi:type="dcterms:W3CDTF">2023-06-23T19:21:00Z</dcterms:created>
  <dcterms:modified xsi:type="dcterms:W3CDTF">2023-06-23T19:22:00Z</dcterms:modified>
</cp:coreProperties>
</file>