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2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595"/>
        <w:gridCol w:w="709"/>
        <w:gridCol w:w="709"/>
      </w:tblGrid>
      <w:tr w:rsidR="00B70F09" w:rsidRPr="00C71EBB" w14:paraId="5717C456" w14:textId="77777777" w:rsidTr="001D6335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ADF3F54" w14:textId="77777777" w:rsidR="00B70F09" w:rsidRPr="00595069" w:rsidRDefault="00B70F09" w:rsidP="009E6F3E">
            <w:pPr>
              <w:spacing w:after="0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8D5B85" w14:textId="77777777" w:rsidR="00B70F09" w:rsidRPr="00595069" w:rsidRDefault="00B70F09" w:rsidP="009E6F3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CEDA2" w14:textId="77777777" w:rsidR="00B70F09" w:rsidRPr="00595069" w:rsidRDefault="000B3A09" w:rsidP="009E6F3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35447B" w14:textId="77777777" w:rsidR="00B70F09" w:rsidRPr="00595069" w:rsidRDefault="00B70F09" w:rsidP="009E6F3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690FA59" w14:textId="77777777" w:rsidR="00B70F09" w:rsidRPr="00595069" w:rsidRDefault="00053882" w:rsidP="009E6F3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  <w:r w:rsidR="000B3A0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E1161B" w14:textId="77777777" w:rsidR="00B70F09" w:rsidRPr="00595069" w:rsidRDefault="00B70F09" w:rsidP="009E6F3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141" w14:textId="77777777" w:rsidR="00B70F09" w:rsidRPr="00595069" w:rsidRDefault="007030F0" w:rsidP="009E6F3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201</w:t>
            </w:r>
            <w:r w:rsidR="000B3A0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</w:tr>
    </w:tbl>
    <w:p w14:paraId="45D3FC65" w14:textId="77777777" w:rsidR="00B70F09" w:rsidRDefault="00B70F09" w:rsidP="00B70F09">
      <w:pPr>
        <w:spacing w:after="0"/>
        <w:rPr>
          <w:rFonts w:ascii="Arial Narrow" w:hAnsi="Arial Narrow"/>
          <w:b/>
        </w:rPr>
      </w:pPr>
    </w:p>
    <w:tbl>
      <w:tblPr>
        <w:tblW w:w="10349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86"/>
        <w:gridCol w:w="7063"/>
      </w:tblGrid>
      <w:tr w:rsidR="00B70F09" w:rsidRPr="00D17C3A" w14:paraId="69FBA7A0" w14:textId="77777777" w:rsidTr="001D6335">
        <w:trPr>
          <w:trHeight w:val="268"/>
        </w:trPr>
        <w:tc>
          <w:tcPr>
            <w:tcW w:w="3286" w:type="dxa"/>
            <w:shd w:val="clear" w:color="auto" w:fill="E0E0E0"/>
            <w:vAlign w:val="center"/>
          </w:tcPr>
          <w:p w14:paraId="708690C5" w14:textId="77777777" w:rsidR="00B70F09" w:rsidRPr="00D17C3A" w:rsidRDefault="00B70F09" w:rsidP="009E6F3E">
            <w:pPr>
              <w:spacing w:after="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Número de Informe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756CCCD9" w14:textId="77777777" w:rsidR="00B70F09" w:rsidRPr="00D17C3A" w:rsidRDefault="007030F0" w:rsidP="009E6F3E">
            <w:pPr>
              <w:spacing w:after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RLI</w:t>
            </w:r>
            <w:r w:rsidR="009E6F3E">
              <w:rPr>
                <w:rFonts w:ascii="Arial" w:eastAsia="SimSun" w:hAnsi="Arial" w:cs="Arial"/>
                <w:sz w:val="20"/>
                <w:szCs w:val="20"/>
              </w:rPr>
              <w:t>15</w:t>
            </w:r>
          </w:p>
        </w:tc>
      </w:tr>
      <w:tr w:rsidR="007030F0" w:rsidRPr="00BC309A" w14:paraId="34D364A9" w14:textId="77777777" w:rsidTr="001D6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  <w:vAlign w:val="center"/>
          </w:tcPr>
          <w:p w14:paraId="765A9CA2" w14:textId="77777777" w:rsidR="007030F0" w:rsidRDefault="007030F0" w:rsidP="007030F0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E112D4">
              <w:rPr>
                <w:rFonts w:ascii="Arial" w:eastAsia="SimSun" w:hAnsi="Arial" w:cs="Arial"/>
                <w:b/>
                <w:sz w:val="20"/>
                <w:szCs w:val="20"/>
              </w:rPr>
              <w:t>Nombre del Seguimiento</w:t>
            </w:r>
          </w:p>
        </w:tc>
        <w:tc>
          <w:tcPr>
            <w:tcW w:w="7063" w:type="dxa"/>
            <w:vAlign w:val="center"/>
          </w:tcPr>
          <w:p w14:paraId="0D37E831" w14:textId="77777777" w:rsidR="007030F0" w:rsidRPr="00177755" w:rsidRDefault="007030F0" w:rsidP="007030F0">
            <w:pPr>
              <w:spacing w:after="0"/>
              <w:jc w:val="both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 xml:space="preserve">Informe Austeridad en el Gasto </w:t>
            </w:r>
            <w:r w:rsidR="00053882">
              <w:rPr>
                <w:rFonts w:ascii="Century Gothic" w:hAnsi="Century Gothic"/>
                <w:sz w:val="20"/>
                <w:szCs w:val="20"/>
              </w:rPr>
              <w:t xml:space="preserve">Tercer </w:t>
            </w:r>
            <w:r w:rsidR="00EF7637">
              <w:rPr>
                <w:rFonts w:ascii="Century Gothic" w:hAnsi="Century Gothic"/>
                <w:sz w:val="20"/>
                <w:szCs w:val="20"/>
              </w:rPr>
              <w:t xml:space="preserve">Trimestre </w:t>
            </w:r>
            <w:r w:rsidRPr="00F577A0">
              <w:rPr>
                <w:rFonts w:ascii="Century Gothic" w:hAnsi="Century Gothic"/>
                <w:sz w:val="20"/>
                <w:szCs w:val="20"/>
              </w:rPr>
              <w:t>de 201</w:t>
            </w:r>
            <w:r w:rsidR="000B3A0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7030F0" w:rsidRPr="00BC309A" w14:paraId="6C0B0307" w14:textId="77777777" w:rsidTr="001D6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  <w:vAlign w:val="center"/>
          </w:tcPr>
          <w:p w14:paraId="2CC97E76" w14:textId="77777777" w:rsidR="007030F0" w:rsidRPr="00BC309A" w:rsidRDefault="007030F0" w:rsidP="007030F0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Objetivo del Seguimiento</w:t>
            </w:r>
          </w:p>
        </w:tc>
        <w:tc>
          <w:tcPr>
            <w:tcW w:w="7063" w:type="dxa"/>
            <w:vAlign w:val="center"/>
          </w:tcPr>
          <w:p w14:paraId="49055141" w14:textId="77777777" w:rsidR="007030F0" w:rsidRPr="00177755" w:rsidRDefault="007030F0" w:rsidP="007030F0">
            <w:pPr>
              <w:spacing w:after="0"/>
              <w:jc w:val="both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>Verificar el cumplimiento de las medidas de Austeridad en el Gasto dictadas por el Gobierno Nacional, establecidas en los Decretos 26 y 1737 de 1998, en la Unidad para la Atención y Reparación Integral a las Víctimas, relacionando la situación actual de los mismos y realizando las recomendaciones a las que haya lugar.</w:t>
            </w:r>
          </w:p>
        </w:tc>
      </w:tr>
      <w:tr w:rsidR="007030F0" w:rsidRPr="00BC309A" w14:paraId="6AD3DDF5" w14:textId="77777777" w:rsidTr="001D6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  <w:vAlign w:val="center"/>
          </w:tcPr>
          <w:p w14:paraId="7D800A44" w14:textId="77777777" w:rsidR="007030F0" w:rsidRDefault="007030F0" w:rsidP="007030F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del Seguimiento</w:t>
            </w:r>
          </w:p>
        </w:tc>
        <w:tc>
          <w:tcPr>
            <w:tcW w:w="7063" w:type="dxa"/>
            <w:vAlign w:val="center"/>
          </w:tcPr>
          <w:p w14:paraId="3416D41B" w14:textId="77777777" w:rsidR="007030F0" w:rsidRPr="006603E4" w:rsidRDefault="007030F0" w:rsidP="007030F0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El presente informe </w:t>
            </w:r>
            <w:r w:rsidR="005B2817">
              <w:rPr>
                <w:rFonts w:ascii="Century Gothic" w:hAnsi="Century Gothic" w:cs="Arial"/>
                <w:sz w:val="20"/>
                <w:szCs w:val="20"/>
                <w:lang w:eastAsia="es-CO"/>
              </w:rPr>
              <w:t>compara</w:t>
            </w:r>
            <w:r w:rsidRPr="00F577A0"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el comportamiento de los conceptos de Austeridad en el Gasto del </w:t>
            </w:r>
            <w:r w:rsidR="00EF7637">
              <w:rPr>
                <w:rFonts w:ascii="Century Gothic" w:hAnsi="Century Gothic" w:cs="Arial"/>
                <w:sz w:val="20"/>
                <w:szCs w:val="20"/>
                <w:lang w:eastAsia="es-CO"/>
              </w:rPr>
              <w:t>tercer</w:t>
            </w:r>
            <w:r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trimestre de las vigencias </w:t>
            </w:r>
            <w:r w:rsidR="005B2817">
              <w:rPr>
                <w:rFonts w:ascii="Century Gothic" w:hAnsi="Century Gothic" w:cs="Arial"/>
                <w:sz w:val="20"/>
                <w:szCs w:val="20"/>
                <w:lang w:eastAsia="es-CO"/>
              </w:rPr>
              <w:t>2017</w:t>
            </w:r>
            <w:r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y </w:t>
            </w:r>
            <w:r w:rsidR="005B2817">
              <w:rPr>
                <w:rFonts w:ascii="Century Gothic" w:hAnsi="Century Gothic" w:cs="Arial"/>
                <w:sz w:val="20"/>
                <w:szCs w:val="20"/>
                <w:lang w:eastAsia="es-CO"/>
              </w:rPr>
              <w:t>2018</w:t>
            </w:r>
            <w:r w:rsidRPr="00F577A0">
              <w:rPr>
                <w:rFonts w:ascii="Century Gothic" w:hAnsi="Century Gothic" w:cs="Arial"/>
                <w:sz w:val="20"/>
                <w:szCs w:val="20"/>
                <w:lang w:eastAsia="es-CO"/>
              </w:rPr>
              <w:t>.</w:t>
            </w:r>
          </w:p>
        </w:tc>
      </w:tr>
      <w:tr w:rsidR="007030F0" w:rsidRPr="00BC309A" w14:paraId="087E27BC" w14:textId="77777777" w:rsidTr="001D6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"/>
        </w:trPr>
        <w:tc>
          <w:tcPr>
            <w:tcW w:w="3286" w:type="dxa"/>
            <w:shd w:val="clear" w:color="auto" w:fill="E0E0E0"/>
            <w:vAlign w:val="center"/>
          </w:tcPr>
          <w:p w14:paraId="5CF6EB26" w14:textId="77777777" w:rsidR="007030F0" w:rsidRDefault="007030F0" w:rsidP="007030F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Normatividad </w:t>
            </w:r>
          </w:p>
        </w:tc>
        <w:tc>
          <w:tcPr>
            <w:tcW w:w="7063" w:type="dxa"/>
            <w:vAlign w:val="center"/>
          </w:tcPr>
          <w:p w14:paraId="07A8076C" w14:textId="77777777" w:rsidR="007030F0" w:rsidRPr="00F577A0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>Decreto 1737 de 1998</w:t>
            </w:r>
          </w:p>
          <w:p w14:paraId="54315BF4" w14:textId="77777777" w:rsidR="007030F0" w:rsidRPr="00F577A0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>Decreto 26 de 1998</w:t>
            </w:r>
          </w:p>
          <w:p w14:paraId="04A16F71" w14:textId="77777777" w:rsidR="007030F0" w:rsidRPr="00F577A0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>Decreto 984 de 2012</w:t>
            </w:r>
          </w:p>
          <w:p w14:paraId="403D06AF" w14:textId="77777777" w:rsidR="007030F0" w:rsidRPr="00F577A0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hanging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Circular </w:t>
            </w:r>
            <w:proofErr w:type="spellStart"/>
            <w:r w:rsidRPr="00F577A0"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2 del 29 de marzo de 2004 del Alto concejero Presidencial y </w:t>
            </w:r>
            <w:proofErr w:type="gramStart"/>
            <w:r w:rsidRPr="00F577A0">
              <w:rPr>
                <w:rFonts w:ascii="Century Gothic" w:hAnsi="Century Gothic" w:cs="Arial"/>
                <w:sz w:val="20"/>
                <w:szCs w:val="20"/>
              </w:rPr>
              <w:t>Director</w:t>
            </w:r>
            <w:proofErr w:type="gramEnd"/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del Departamento Administrativo de la Función Pública.</w:t>
            </w:r>
          </w:p>
          <w:p w14:paraId="0036501A" w14:textId="77777777" w:rsidR="007030F0" w:rsidRPr="00F577A0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hanging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 xml:space="preserve">Circular </w:t>
            </w:r>
            <w:proofErr w:type="spellStart"/>
            <w:r w:rsidRPr="00F577A0">
              <w:rPr>
                <w:rFonts w:ascii="Century Gothic" w:hAnsi="Century Gothic"/>
                <w:sz w:val="20"/>
                <w:szCs w:val="20"/>
              </w:rPr>
              <w:t>Nº</w:t>
            </w:r>
            <w:proofErr w:type="spellEnd"/>
            <w:r w:rsidRPr="00F577A0">
              <w:rPr>
                <w:rFonts w:ascii="Century Gothic" w:hAnsi="Century Gothic"/>
                <w:sz w:val="20"/>
                <w:szCs w:val="20"/>
              </w:rPr>
              <w:t xml:space="preserve"> 002 del 03 de octubre de 2008 Directores Departamento Administrativo de la Presidencia de la Republica y Departamento Administrativo de la Función Pública</w:t>
            </w:r>
          </w:p>
          <w:p w14:paraId="3EABB7D5" w14:textId="77777777" w:rsidR="007030F0" w:rsidRPr="00D7687A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hanging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Directiva Presidencial </w:t>
            </w:r>
            <w:proofErr w:type="spellStart"/>
            <w:r w:rsidRPr="00F577A0"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10 de 20 de agosto de 2002</w:t>
            </w:r>
          </w:p>
          <w:p w14:paraId="5CB83DAC" w14:textId="77777777" w:rsidR="00053882" w:rsidRPr="00053882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hanging="7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Directiva Presidencial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02 de 03</w:t>
            </w:r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diciembre de </w:t>
            </w:r>
            <w:r w:rsidRPr="00F577A0">
              <w:rPr>
                <w:rFonts w:ascii="Century Gothic" w:hAnsi="Century Gothic" w:cs="Arial"/>
                <w:sz w:val="20"/>
                <w:szCs w:val="20"/>
              </w:rPr>
              <w:t>20</w:t>
            </w: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  <w:p w14:paraId="2322C8CD" w14:textId="77777777" w:rsidR="007030F0" w:rsidRPr="00053882" w:rsidRDefault="007030F0" w:rsidP="007030F0">
            <w:pPr>
              <w:pStyle w:val="Prrafodelista"/>
              <w:numPr>
                <w:ilvl w:val="0"/>
                <w:numId w:val="34"/>
              </w:numPr>
              <w:spacing w:after="0"/>
              <w:ind w:hanging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53882">
              <w:rPr>
                <w:rFonts w:ascii="Century Gothic" w:hAnsi="Century Gothic" w:cs="Arial"/>
                <w:sz w:val="20"/>
                <w:szCs w:val="20"/>
              </w:rPr>
              <w:t xml:space="preserve">Directiva Presidencial </w:t>
            </w:r>
            <w:proofErr w:type="spellStart"/>
            <w:r w:rsidRPr="00053882"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 w:rsidRPr="00053882">
              <w:rPr>
                <w:rFonts w:ascii="Century Gothic" w:hAnsi="Century Gothic" w:cs="Arial"/>
                <w:sz w:val="20"/>
                <w:szCs w:val="20"/>
              </w:rPr>
              <w:t xml:space="preserve"> 01 de 10 de febrero de </w:t>
            </w:r>
            <w:r w:rsidR="005B2817">
              <w:rPr>
                <w:rFonts w:ascii="Century Gothic" w:hAnsi="Century Gothic" w:cs="Arial"/>
                <w:sz w:val="20"/>
                <w:szCs w:val="20"/>
              </w:rPr>
              <w:t>2017</w:t>
            </w:r>
          </w:p>
        </w:tc>
      </w:tr>
    </w:tbl>
    <w:p w14:paraId="6AC700CE" w14:textId="77777777" w:rsidR="00B70F09" w:rsidRDefault="00B70F09" w:rsidP="00B70F09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70F09" w14:paraId="3C352CF4" w14:textId="77777777" w:rsidTr="00D63289">
        <w:tc>
          <w:tcPr>
            <w:tcW w:w="10349" w:type="dxa"/>
            <w:shd w:val="clear" w:color="auto" w:fill="D9D9D9" w:themeFill="background1" w:themeFillShade="D9"/>
          </w:tcPr>
          <w:p w14:paraId="6F76D0CD" w14:textId="77777777" w:rsidR="00B70F09" w:rsidRPr="001D6335" w:rsidRDefault="00C527AC" w:rsidP="001D6335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595069">
              <w:rPr>
                <w:rFonts w:ascii="Arial" w:hAnsi="Arial" w:cs="Arial"/>
                <w:b/>
                <w:sz w:val="20"/>
                <w:szCs w:val="20"/>
              </w:rPr>
              <w:t xml:space="preserve">ANÁLISIS Y OBSERVACIONES. </w:t>
            </w:r>
          </w:p>
        </w:tc>
      </w:tr>
    </w:tbl>
    <w:p w14:paraId="5F0A5672" w14:textId="77777777" w:rsidR="00B70F09" w:rsidRPr="000B3A09" w:rsidRDefault="00B70F09" w:rsidP="00B70F09">
      <w:pPr>
        <w:spacing w:after="0"/>
        <w:rPr>
          <w:rFonts w:ascii="Arial Narrow" w:hAnsi="Arial Narrow"/>
          <w:b/>
          <w:sz w:val="16"/>
          <w:szCs w:val="16"/>
        </w:rPr>
      </w:pPr>
    </w:p>
    <w:p w14:paraId="2AA32A08" w14:textId="77777777" w:rsidR="007030F0" w:rsidRDefault="007030F0" w:rsidP="00221220">
      <w:pPr>
        <w:spacing w:after="0"/>
        <w:jc w:val="both"/>
        <w:rPr>
          <w:rFonts w:ascii="Century Gothic" w:hAnsi="Century Gothic" w:cs="Arial"/>
          <w:sz w:val="20"/>
          <w:szCs w:val="20"/>
          <w:lang w:eastAsia="es-CO"/>
        </w:rPr>
      </w:pPr>
      <w:r w:rsidRPr="00080481">
        <w:rPr>
          <w:rFonts w:ascii="Century Gothic" w:hAnsi="Century Gothic" w:cs="Arial"/>
          <w:sz w:val="20"/>
          <w:szCs w:val="20"/>
          <w:lang w:eastAsia="es-CO"/>
        </w:rPr>
        <w:t>A continuación, se relacionan por cada uno de los capítulos de los Decretos que reglamentan la Austeridad en el Gasto, las diferentes situaciones encontradas y las recomendaciones realizadas por esta Oficina.</w:t>
      </w:r>
    </w:p>
    <w:p w14:paraId="50904DD8" w14:textId="77777777" w:rsidR="000B3A09" w:rsidRPr="000B3A09" w:rsidRDefault="000B3A09" w:rsidP="00221220">
      <w:pPr>
        <w:spacing w:after="0"/>
        <w:jc w:val="both"/>
        <w:rPr>
          <w:rFonts w:ascii="Century Gothic" w:hAnsi="Century Gothic" w:cs="Arial"/>
          <w:sz w:val="16"/>
          <w:szCs w:val="16"/>
          <w:lang w:eastAsia="es-CO"/>
        </w:rPr>
      </w:pPr>
    </w:p>
    <w:p w14:paraId="4B07489C" w14:textId="77777777" w:rsidR="007030F0" w:rsidRPr="00080481" w:rsidRDefault="007030F0" w:rsidP="00221220">
      <w:pPr>
        <w:pStyle w:val="Ttulo1"/>
        <w:numPr>
          <w:ilvl w:val="0"/>
          <w:numId w:val="35"/>
        </w:numPr>
        <w:spacing w:before="0"/>
        <w:rPr>
          <w:rFonts w:ascii="Century Gothic" w:eastAsia="Cambria" w:hAnsi="Century Gothic" w:cs="Arial"/>
          <w:b/>
          <w:color w:val="auto"/>
          <w:sz w:val="22"/>
          <w:szCs w:val="20"/>
          <w:lang w:val="es-MX" w:eastAsia="es-CO"/>
        </w:rPr>
      </w:pPr>
      <w:r w:rsidRPr="00080481">
        <w:rPr>
          <w:rFonts w:ascii="Century Gothic" w:eastAsia="Cambria" w:hAnsi="Century Gothic" w:cs="Arial"/>
          <w:b/>
          <w:color w:val="auto"/>
          <w:sz w:val="22"/>
          <w:szCs w:val="20"/>
          <w:lang w:val="es-MX" w:eastAsia="es-CO"/>
        </w:rPr>
        <w:t>Personal – Capitulo II del Decreto 1737 de 1998</w:t>
      </w:r>
    </w:p>
    <w:p w14:paraId="71796D26" w14:textId="77777777" w:rsidR="007030F0" w:rsidRPr="00633A77" w:rsidRDefault="007030F0" w:rsidP="00221220">
      <w:pPr>
        <w:spacing w:after="0"/>
        <w:rPr>
          <w:rFonts w:ascii="Century Gothic" w:eastAsia="PMingLiU" w:hAnsi="Century Gothic" w:cs="Arial"/>
          <w:bCs/>
          <w:color w:val="0000FF"/>
          <w:sz w:val="2"/>
          <w:szCs w:val="20"/>
          <w:lang w:val="es-ES"/>
        </w:rPr>
      </w:pPr>
    </w:p>
    <w:p w14:paraId="5A5D3AE5" w14:textId="77777777" w:rsidR="00080481" w:rsidRPr="00080481" w:rsidRDefault="007030F0" w:rsidP="00221220">
      <w:pPr>
        <w:pStyle w:val="Prrafodelista"/>
        <w:spacing w:after="0"/>
        <w:ind w:left="0"/>
        <w:jc w:val="both"/>
        <w:rPr>
          <w:rFonts w:ascii="Century Gothic" w:hAnsi="Century Gothic" w:cs="Arial"/>
          <w:sz w:val="20"/>
          <w:szCs w:val="20"/>
          <w:lang w:val="es-MX" w:eastAsia="es-CO"/>
        </w:rPr>
      </w:pPr>
      <w:r w:rsidRPr="00080481">
        <w:rPr>
          <w:rFonts w:ascii="Century Gothic" w:hAnsi="Century Gothic" w:cs="Arial"/>
          <w:sz w:val="20"/>
          <w:szCs w:val="20"/>
          <w:lang w:eastAsia="es-CO"/>
        </w:rPr>
        <w:t>Se</w:t>
      </w:r>
      <w:r w:rsidRPr="00080481">
        <w:rPr>
          <w:rFonts w:ascii="Century Gothic" w:hAnsi="Century Gothic" w:cs="Arial"/>
          <w:sz w:val="20"/>
          <w:szCs w:val="20"/>
          <w:lang w:val="es-MX" w:eastAsia="es-CO"/>
        </w:rPr>
        <w:t xml:space="preserve"> observó la siguiente relación entre contratistas y profesionales de planta en la UARIV, evidenciando que la cantidad de contratistas de las áreas misionales y de apoyo es </w:t>
      </w:r>
      <w:r w:rsidR="00080481">
        <w:rPr>
          <w:rFonts w:ascii="Century Gothic" w:hAnsi="Century Gothic" w:cs="Arial"/>
          <w:sz w:val="20"/>
          <w:szCs w:val="20"/>
          <w:lang w:val="es-MX" w:eastAsia="es-CO"/>
        </w:rPr>
        <w:t>superior al personal de planta.</w:t>
      </w:r>
    </w:p>
    <w:p w14:paraId="45A95934" w14:textId="77777777" w:rsidR="007030F0" w:rsidRDefault="007030F0" w:rsidP="00221220">
      <w:pPr>
        <w:pStyle w:val="Prrafodelista"/>
        <w:numPr>
          <w:ilvl w:val="1"/>
          <w:numId w:val="35"/>
        </w:numPr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  <w:r w:rsidRPr="007030F0">
        <w:rPr>
          <w:rFonts w:ascii="Century Gothic" w:hAnsi="Century Gothic" w:cs="Arial"/>
          <w:b/>
          <w:sz w:val="22"/>
          <w:szCs w:val="20"/>
          <w:lang w:val="es-MX" w:eastAsia="es-CO"/>
        </w:rPr>
        <w:t>Talento Humano.</w:t>
      </w: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760"/>
        <w:gridCol w:w="1265"/>
        <w:gridCol w:w="47"/>
        <w:gridCol w:w="1218"/>
        <w:gridCol w:w="58"/>
        <w:gridCol w:w="1418"/>
        <w:gridCol w:w="10"/>
        <w:gridCol w:w="3819"/>
      </w:tblGrid>
      <w:tr w:rsidR="000F36A6" w:rsidRPr="00080481" w14:paraId="3849ACF9" w14:textId="77777777" w:rsidTr="000B3A09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FCF4" w14:textId="77777777" w:rsidR="000F36A6" w:rsidRPr="00080481" w:rsidRDefault="000F36A6" w:rsidP="000F36A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77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E70C" w14:textId="77777777" w:rsidR="000F36A6" w:rsidRPr="00080481" w:rsidRDefault="000F36A6" w:rsidP="000B3A0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778FE" w14:textId="77777777" w:rsidR="000F36A6" w:rsidRPr="00080481" w:rsidRDefault="000F36A6" w:rsidP="000B3A0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0F36A6" w:rsidRPr="00080481" w14:paraId="6490B7D4" w14:textId="77777777" w:rsidTr="00CE736D">
        <w:trPr>
          <w:trHeight w:val="36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9A4E" w14:textId="77777777" w:rsidR="000F36A6" w:rsidRPr="00080481" w:rsidRDefault="000F36A6" w:rsidP="000F36A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7F9" w14:textId="77777777" w:rsidR="000F36A6" w:rsidRPr="00080481" w:rsidRDefault="000F36A6" w:rsidP="000F36A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C31" w14:textId="77777777" w:rsidR="000F36A6" w:rsidRPr="00080481" w:rsidRDefault="000F36A6" w:rsidP="000F36A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</w:t>
            </w:r>
            <w:r w:rsidR="001651D8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entre julio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A63" w14:textId="77777777" w:rsidR="000F36A6" w:rsidRPr="00080481" w:rsidRDefault="000F36A6" w:rsidP="000F36A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</w:t>
            </w:r>
            <w:r w:rsidR="001651D8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entre julio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F7C" w14:textId="77777777" w:rsidR="000F36A6" w:rsidRPr="00080481" w:rsidRDefault="000F36A6" w:rsidP="000F36A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1651D8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Variación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del valor </w:t>
            </w:r>
            <w:r w:rsidR="001651D8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pagado julio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588BD" w14:textId="77777777" w:rsidR="00511EAE" w:rsidRDefault="000F36A6" w:rsidP="000F36A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los Servicios Personales de Nómina se encuentra aumento de </w:t>
            </w:r>
            <w:r w:rsidR="002E69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1.29%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por tres razones: 1. Para el tercer trimestre de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ya se encuentra refl</w:t>
            </w:r>
            <w:r w:rsid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ejado en el incremento salarial para el año 2018 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que lo determina.  2. Se incrementaron las incapacidades y licencias de maternidad en </w:t>
            </w:r>
            <w:r w:rsid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49.7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511EA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al pasar a </w:t>
            </w:r>
            <w:r w:rsidR="00956EA3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 w:rsid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956EA3" w:rsidRP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172</w:t>
            </w:r>
            <w:r w:rsid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956EA3" w:rsidRP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536</w:t>
            </w:r>
            <w:r w:rsid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956EA3" w:rsidRP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483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956E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2018. 3. En el rubro prima té</w:t>
            </w:r>
            <w:r w:rsidR="00D600D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cnica salarial se incrementó en 99,18 % </w:t>
            </w:r>
            <w:r w:rsidR="00511EA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al pasar a </w:t>
            </w:r>
            <w:r w:rsidR="00D600D4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 w:rsidR="00D600D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157.500.155</w:t>
            </w:r>
            <w:r w:rsidR="00D600D4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D600D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2018</w:t>
            </w:r>
            <w:r w:rsidR="00511EA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comparando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</w:t>
            </w:r>
            <w:r w:rsidR="00511EA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el mismo trimestre para el 2017</w:t>
            </w:r>
            <w:r w:rsidR="00D600D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. </w:t>
            </w:r>
          </w:p>
          <w:p w14:paraId="19FB9BB2" w14:textId="77777777" w:rsidR="000F36A6" w:rsidRPr="00080481" w:rsidRDefault="00D600D4" w:rsidP="000F36A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sueldo de vacaciones se disminuyó en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-11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al pasar</w:t>
            </w:r>
            <w:r w:rsidR="00511EA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414.625.502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2018</w:t>
            </w:r>
            <w:r w:rsidR="00511EA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para el mismo trimestre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  <w:t>Las contribuciones inherentes a la nómina sector privado y públic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 reflejan una disminución del -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48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ya que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: 1. 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Los aportes al Fondos Privados de Pensión disminuyo en 19% a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 pasar a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651.199.608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2018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los aportes al FNA 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disminuyeron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38% 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al pasar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$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676.592.345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2018</w:t>
            </w:r>
            <w:r w:rsidR="000F36A6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2. 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Los aportes a EPS disminuy</w:t>
            </w:r>
            <w:r w:rsidR="00DB25F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eron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8% 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al pasar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 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651.199.608</w:t>
            </w:r>
            <w:r w:rsidR="00CE736D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E736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2018.</w:t>
            </w:r>
          </w:p>
        </w:tc>
      </w:tr>
      <w:tr w:rsidR="005B2817" w:rsidRPr="00080481" w14:paraId="18F50271" w14:textId="77777777" w:rsidTr="002E6907">
        <w:trPr>
          <w:trHeight w:val="4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3AC0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F74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asociados a nomina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ED3" w14:textId="77777777" w:rsidR="005B2817" w:rsidRPr="00080481" w:rsidRDefault="005B2817" w:rsidP="002E690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11.887.673.340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5DE4" w14:textId="77777777" w:rsidR="005B2817" w:rsidRPr="00080481" w:rsidRDefault="00690F7C" w:rsidP="002E690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12.050.</w:t>
            </w:r>
            <w:r w:rsidR="002E69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362.004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DA7B" w14:textId="77777777" w:rsidR="005B2817" w:rsidRPr="00080481" w:rsidRDefault="002E6907" w:rsidP="002E690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1.36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74AD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74DFBE56" w14:textId="77777777" w:rsidTr="00CE736D">
        <w:trPr>
          <w:trHeight w:val="61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6A9E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067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Contribuciones inherentes a la nómina sector privado y público</w:t>
            </w: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150" w14:textId="77777777" w:rsidR="005B2817" w:rsidRPr="00080481" w:rsidRDefault="005B2817" w:rsidP="002E690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4.522.630.111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85B" w14:textId="77777777" w:rsidR="005B2817" w:rsidRPr="00080481" w:rsidRDefault="002E6907" w:rsidP="002E690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4.147.592.617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5349" w14:textId="77777777" w:rsidR="005B2817" w:rsidRPr="00080481" w:rsidRDefault="005B2817" w:rsidP="002E690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2E69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8.29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19" w:type="dxa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08EE479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743E06B2" w14:textId="77777777" w:rsidTr="002E6907">
        <w:trPr>
          <w:trHeight w:val="66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4EA" w14:textId="77777777" w:rsidR="005B2817" w:rsidRPr="00080481" w:rsidRDefault="005B2817" w:rsidP="005B2817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F98" w14:textId="77777777" w:rsidR="005B2817" w:rsidRPr="00080481" w:rsidRDefault="005B2817" w:rsidP="002E6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16.410.303.451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8B36" w14:textId="77777777" w:rsidR="005B2817" w:rsidRPr="00080481" w:rsidRDefault="002E6907" w:rsidP="002E6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16.197.954.621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D28" w14:textId="77777777" w:rsidR="005B2817" w:rsidRPr="003D2627" w:rsidRDefault="002E6907" w:rsidP="002E6907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 w:rsidRPr="003D262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-1.29</w:t>
            </w:r>
            <w:r w:rsidR="005B2817" w:rsidRPr="003D262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8FDE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651D8" w:rsidRPr="00080481" w14:paraId="61355967" w14:textId="77777777" w:rsidTr="003D2627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CB5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7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00E9" w14:textId="77777777" w:rsidR="003D2627" w:rsidRDefault="003D2627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  <w:p w14:paraId="042CDD97" w14:textId="77777777" w:rsidR="001651D8" w:rsidRDefault="001651D8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  <w:p w14:paraId="483D8F65" w14:textId="77777777" w:rsidR="003D2627" w:rsidRPr="00080481" w:rsidRDefault="003D2627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2EF9A" w14:textId="77777777" w:rsidR="003D2627" w:rsidRDefault="003D2627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  <w:p w14:paraId="779EE5F2" w14:textId="77777777" w:rsidR="001651D8" w:rsidRDefault="001651D8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  <w:p w14:paraId="25E8709F" w14:textId="77777777" w:rsidR="003D2627" w:rsidRPr="00080481" w:rsidRDefault="003D2627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651D8" w:rsidRPr="00080481" w14:paraId="56CB4D29" w14:textId="77777777" w:rsidTr="00890A6C">
        <w:trPr>
          <w:trHeight w:val="132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B5DC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2E9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442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 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2C2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pagado entre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1D0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 la cantidad entre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E43C8" w14:textId="77777777" w:rsidR="001651D8" w:rsidRPr="00080481" w:rsidRDefault="00053882" w:rsidP="001651D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observa un</w:t>
            </w:r>
            <w:r w:rsidR="007C33B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 disminución de 26</w:t>
            </w:r>
            <w:r w:rsidR="001651D8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cargos provistos con respecto al año anterior, con una variación de </w:t>
            </w:r>
            <w:r w:rsidR="00890A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-3.19</w:t>
            </w:r>
            <w:r w:rsidR="001651D8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%. La Entidad cuenta con un tope de planta de 857 cargos, para el tercer trimestre de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="001651D8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 utilizó </w:t>
            </w:r>
            <w:r w:rsidR="00890A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787</w:t>
            </w:r>
            <w:r w:rsidR="001651D8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cargos, contando con una disponibilidad de </w:t>
            </w:r>
            <w:r w:rsidR="00890A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70</w:t>
            </w:r>
            <w:r w:rsidR="001651D8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cargos.</w:t>
            </w:r>
          </w:p>
        </w:tc>
      </w:tr>
      <w:tr w:rsidR="001651D8" w:rsidRPr="00080481" w14:paraId="3EB5C779" w14:textId="77777777" w:rsidTr="00890A6C">
        <w:trPr>
          <w:trHeight w:val="2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0153" w14:textId="77777777" w:rsidR="001651D8" w:rsidRPr="00080481" w:rsidRDefault="001651D8" w:rsidP="001651D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86A" w14:textId="77777777" w:rsidR="001651D8" w:rsidRPr="00080481" w:rsidRDefault="001651D8" w:rsidP="003D262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vinculado de planta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CD7C" w14:textId="77777777" w:rsidR="001651D8" w:rsidRPr="003D2627" w:rsidRDefault="005B2817" w:rsidP="007C33B9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 w:rsidRPr="003D262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813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0C4D" w14:textId="77777777" w:rsidR="001651D8" w:rsidRPr="003D2627" w:rsidRDefault="00CE736D" w:rsidP="007C33B9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 w:rsidRPr="003D262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C25D" w14:textId="77777777" w:rsidR="001651D8" w:rsidRPr="003D2627" w:rsidRDefault="007C33B9" w:rsidP="007C33B9">
            <w:pPr>
              <w:pStyle w:val="Prrafodelista"/>
              <w:spacing w:after="0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 w:rsidRPr="003D262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-3.19</w:t>
            </w:r>
            <w:r w:rsidR="001651D8" w:rsidRPr="003D262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BD7" w14:textId="77777777" w:rsidR="001651D8" w:rsidRPr="00080481" w:rsidRDefault="001651D8" w:rsidP="001651D8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5EB2388C" w14:textId="77777777" w:rsidR="001D6335" w:rsidRDefault="001D6335" w:rsidP="001D6335">
      <w:pPr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</w:p>
    <w:p w14:paraId="363A46A2" w14:textId="77777777" w:rsidR="007030F0" w:rsidRDefault="007030F0" w:rsidP="007030F0">
      <w:pPr>
        <w:pStyle w:val="Prrafodelista"/>
        <w:numPr>
          <w:ilvl w:val="1"/>
          <w:numId w:val="35"/>
        </w:numPr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  <w:r w:rsidRPr="007030F0">
        <w:rPr>
          <w:rFonts w:ascii="Century Gothic" w:hAnsi="Century Gothic" w:cs="Arial"/>
          <w:b/>
          <w:sz w:val="22"/>
          <w:szCs w:val="20"/>
          <w:lang w:val="es-MX" w:eastAsia="es-CO"/>
        </w:rPr>
        <w:t>Contratos</w:t>
      </w:r>
    </w:p>
    <w:p w14:paraId="74B48566" w14:textId="77777777" w:rsidR="002B6397" w:rsidRPr="007030F0" w:rsidRDefault="002B6397" w:rsidP="002B6397">
      <w:pPr>
        <w:pStyle w:val="Prrafodelista"/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</w:p>
    <w:p w14:paraId="4C6E7E02" w14:textId="77777777" w:rsidR="007030F0" w:rsidRDefault="007030F0" w:rsidP="007030F0">
      <w:pPr>
        <w:pStyle w:val="Default"/>
        <w:numPr>
          <w:ilvl w:val="2"/>
          <w:numId w:val="35"/>
        </w:numPr>
        <w:jc w:val="both"/>
        <w:rPr>
          <w:rFonts w:ascii="Century Gothic" w:eastAsia="Times New Roman" w:hAnsi="Century Gothic"/>
          <w:b/>
          <w:color w:val="auto"/>
          <w:sz w:val="22"/>
          <w:szCs w:val="20"/>
          <w:lang w:val="es-ES_tradnl"/>
        </w:rPr>
      </w:pPr>
      <w:r w:rsidRPr="007030F0">
        <w:rPr>
          <w:rFonts w:ascii="Century Gothic" w:eastAsia="Times New Roman" w:hAnsi="Century Gothic"/>
          <w:b/>
          <w:color w:val="auto"/>
          <w:sz w:val="22"/>
          <w:szCs w:val="20"/>
          <w:lang w:val="es-ES_tradnl"/>
        </w:rPr>
        <w:t>Por funcionamiento</w:t>
      </w:r>
    </w:p>
    <w:p w14:paraId="45E4F88E" w14:textId="77777777" w:rsidR="004F66FC" w:rsidRDefault="004F66FC" w:rsidP="007030F0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134"/>
        <w:gridCol w:w="1134"/>
        <w:gridCol w:w="1418"/>
        <w:gridCol w:w="3829"/>
      </w:tblGrid>
      <w:tr w:rsidR="004F66FC" w:rsidRPr="00080481" w14:paraId="6291430F" w14:textId="77777777" w:rsidTr="004F66FC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3A7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6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639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C42F3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4F66FC" w:rsidRPr="00080481" w14:paraId="7FB0F428" w14:textId="77777777" w:rsidTr="004F66FC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E08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536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FA5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enero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D6A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</w:t>
            </w:r>
            <w:r w:rsidR="003C4A5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87F" w14:textId="77777777" w:rsidR="004F66FC" w:rsidRPr="00080481" w:rsidRDefault="004F66FC" w:rsidP="004F66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 la cantidad entre enero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65393" w14:textId="77777777" w:rsidR="004F66FC" w:rsidRPr="00080481" w:rsidRDefault="007E7120" w:rsidP="004F66FC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Teniendo en cuenta que la información para el año 2017 se tomó como base de enero a septiembre </w:t>
            </w:r>
            <w:r w:rsidR="00F375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y para el año 2018 se tiene en cuenta 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la información suministrada de enero</w:t>
            </w:r>
            <w:r w:rsidR="00F375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 septiembre de 2018 se 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observa una reducción </w:t>
            </w:r>
            <w:r w:rsidR="00F375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la cantidad 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personal contratado para las áreas misionales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estratégicos</w:t>
            </w:r>
            <w:r w:rsidR="004A319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-51.13% y 54.12% respectivamente </w:t>
            </w:r>
            <w:r w:rsidR="004A319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según datos suministrados por las áreas encargadas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4A319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obteniendo </w:t>
            </w:r>
            <w:r w:rsidR="0005388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c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omo resultado un </w:t>
            </w:r>
            <w:r w:rsidR="00D057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decrecimiento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del personal contratado de</w:t>
            </w:r>
            <w:r w:rsidR="004A319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-69.32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%, lo </w:t>
            </w:r>
            <w:r w:rsidR="0005388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que 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representa</w:t>
            </w:r>
            <w:r w:rsidR="0005388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0D676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226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 </w:t>
            </w:r>
            <w:r w:rsidR="00D057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menos</w:t>
            </w:r>
            <w:r w:rsidR="0005388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</w:t>
            </w:r>
            <w:r w:rsidR="004F66FC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comparación a la vigencia </w:t>
            </w:r>
            <w:r w:rsidR="00D057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enero a septiembre de 2017</w:t>
            </w:r>
            <w:r w:rsidR="00CD333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es de anotar que la mayoría de personal se contrató antes del inicio de la ley de garantías en enero-26 de 2018. </w:t>
            </w:r>
            <w:r w:rsidR="00D057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5B2817" w:rsidRPr="00080481" w14:paraId="7E647AE9" w14:textId="77777777" w:rsidTr="00F2740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A6DB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102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E36" w14:textId="77777777" w:rsidR="005B2817" w:rsidRPr="00080481" w:rsidRDefault="005B2817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834" w14:textId="77777777" w:rsidR="005B2817" w:rsidRPr="00080481" w:rsidRDefault="003C4A53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B3E2" w14:textId="77777777" w:rsidR="005B2817" w:rsidRPr="00080481" w:rsidRDefault="008E3D78" w:rsidP="0051783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51.13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BA4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2E26AD09" w14:textId="77777777" w:rsidTr="00F2740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1E8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577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Apoyo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42A" w14:textId="77777777" w:rsidR="005B2817" w:rsidRPr="00080481" w:rsidRDefault="005B2817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7FFE" w14:textId="77777777" w:rsidR="005B2817" w:rsidRPr="00080481" w:rsidRDefault="003C4A53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3115" w14:textId="77777777" w:rsidR="005B2817" w:rsidRPr="00080481" w:rsidRDefault="008E3D78" w:rsidP="0051783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5913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54.21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A535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0BDD1DB4" w14:textId="77777777" w:rsidTr="00F2740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F063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FB1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Estratégicos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F51" w14:textId="77777777" w:rsidR="005B2817" w:rsidRPr="00080481" w:rsidRDefault="005B2817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6D1F" w14:textId="77777777" w:rsidR="005B2817" w:rsidRPr="00080481" w:rsidRDefault="003C4A53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F08" w14:textId="77777777" w:rsidR="005B2817" w:rsidRPr="00080481" w:rsidRDefault="004A4F45" w:rsidP="0051783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40.00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079E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4B91D8A5" w14:textId="77777777" w:rsidTr="00F2740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C0C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10B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Seguimiento y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DD1" w14:textId="77777777" w:rsidR="005B2817" w:rsidRPr="00080481" w:rsidRDefault="005B2817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74F4" w14:textId="77777777" w:rsidR="008E3D78" w:rsidRPr="00080481" w:rsidRDefault="003C4A53" w:rsidP="008E3D7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A029" w14:textId="77777777" w:rsidR="005B2817" w:rsidRPr="00080481" w:rsidRDefault="00591381" w:rsidP="0051783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71.43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37D6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1F72D8D3" w14:textId="77777777" w:rsidTr="00F2740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0BDB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933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 (FRV)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ECB" w14:textId="77777777" w:rsidR="005B2817" w:rsidRPr="00080481" w:rsidRDefault="005B2817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06B5" w14:textId="77777777" w:rsidR="0093104B" w:rsidRPr="00080481" w:rsidRDefault="003E4A0E" w:rsidP="00F2740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C6C" w14:textId="77777777" w:rsidR="005B2817" w:rsidRPr="00080481" w:rsidRDefault="00CB37A9" w:rsidP="0051783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8E3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100.00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FF0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4434F60F" w14:textId="77777777" w:rsidTr="000D6763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9F1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A60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personal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E4B8" w14:textId="77777777" w:rsidR="005B2817" w:rsidRPr="00080481" w:rsidRDefault="005B2817" w:rsidP="000D676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1107" w14:textId="77777777" w:rsidR="000D6763" w:rsidRPr="00080481" w:rsidRDefault="003E4A0E" w:rsidP="000D676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D7F" w14:textId="77777777" w:rsidR="005B2817" w:rsidRPr="00080481" w:rsidRDefault="00E83A9A" w:rsidP="0051783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</w:t>
            </w:r>
            <w:r w:rsidR="005913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6</w:t>
            </w:r>
            <w:r w:rsidR="000D676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9.3</w:t>
            </w:r>
            <w:r w:rsidR="005913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</w:t>
            </w:r>
            <w:r w:rsidR="005B2817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2276D1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3ED077E3" w14:textId="77777777" w:rsidR="004F66FC" w:rsidRDefault="00714B4C" w:rsidP="007030F0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  <w:r>
        <w:rPr>
          <w:rFonts w:ascii="Century Gothic" w:eastAsia="Times New Roman" w:hAnsi="Century Gothic"/>
          <w:color w:val="auto"/>
          <w:sz w:val="20"/>
          <w:szCs w:val="20"/>
          <w:lang w:val="es-ES_tradnl"/>
        </w:rPr>
        <w:t xml:space="preserve"> </w:t>
      </w: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134"/>
        <w:gridCol w:w="1134"/>
        <w:gridCol w:w="1418"/>
        <w:gridCol w:w="3829"/>
      </w:tblGrid>
      <w:tr w:rsidR="00A97079" w:rsidRPr="00080481" w14:paraId="3D72D3C4" w14:textId="77777777" w:rsidTr="00A97079">
        <w:trPr>
          <w:trHeight w:val="3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719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6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1AB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B330F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A97079" w:rsidRPr="00080481" w14:paraId="6FA67F18" w14:textId="77777777" w:rsidTr="00A97079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FDB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39B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C47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</w:t>
            </w:r>
            <w:r w:rsidR="007E712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7C2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</w:t>
            </w:r>
            <w:r w:rsidR="00CD333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C1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del valor pagado entre </w:t>
            </w:r>
            <w:r w:rsidR="007E712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julio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79FCD" w14:textId="77777777" w:rsidR="00A97079" w:rsidRPr="00080481" w:rsidRDefault="0079375B" w:rsidP="00A9707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tomo como base la información para el año 2017 de enero a septiembre y para el año 2018 se tiene en cuenta la información suministrada de 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enero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 septiembre </w:t>
            </w:r>
            <w:r w:rsidR="0051180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por valor de $</w:t>
            </w:r>
            <w:r w:rsidR="0051783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2.826.204.913</w:t>
            </w:r>
            <w:r w:rsidR="00CD333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razón por la cual 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presenta un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disminución 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valor cancelado 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servicios personales indirectos de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36.39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%, para el FRV </w:t>
            </w:r>
            <w:r w:rsidR="00CD333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no se </w:t>
            </w:r>
            <w:r w:rsidR="0051783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realizó contratación alguna.</w:t>
            </w:r>
          </w:p>
          <w:p w14:paraId="354A66B2" w14:textId="77777777" w:rsidR="0051180D" w:rsidRDefault="007E7920" w:rsidP="0051180D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valida el compo</w:t>
            </w:r>
            <w:r w:rsidR="0079375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rtamiento de la contratación y de enero a septiembre de 2017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había 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26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 por funcionamiento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representaron la disminución del 63.61%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ya que de </w:t>
            </w:r>
            <w:r w:rsidR="00CD333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enero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septiembre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</w:t>
            </w:r>
            <w:r w:rsidR="0079375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solo se contrata a </w:t>
            </w:r>
            <w:r w:rsidR="00CD333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</w:t>
            </w:r>
            <w:r w:rsidR="000D676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prestadores de servicios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los que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para la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misma 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vigencia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del 2018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representan</w:t>
            </w:r>
            <w:r w:rsidR="00A97079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el 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36.39</w:t>
            </w:r>
            <w:r w:rsidR="0055774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%.</w:t>
            </w:r>
          </w:p>
          <w:p w14:paraId="025291CF" w14:textId="77777777" w:rsidR="0051180D" w:rsidRDefault="0051180D" w:rsidP="0051180D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14:paraId="34B06F31" w14:textId="77777777" w:rsidR="0051180D" w:rsidRPr="0051180D" w:rsidRDefault="0051180D" w:rsidP="0051180D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2B4860E0" w14:textId="77777777" w:rsidTr="000501E9">
        <w:trPr>
          <w:trHeight w:val="56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9D2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21A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01A" w14:textId="77777777" w:rsidR="005B2817" w:rsidRPr="00080481" w:rsidRDefault="005B2817" w:rsidP="00E44A9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4.443.177.964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B6D" w14:textId="77777777" w:rsidR="005B2817" w:rsidRPr="00080481" w:rsidRDefault="00EB5474" w:rsidP="00E44A9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826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204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03D" w14:textId="77777777" w:rsidR="005B2817" w:rsidRPr="00080481" w:rsidRDefault="005B2817" w:rsidP="00E44A9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36.39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C47A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080481" w14:paraId="29473180" w14:textId="77777777" w:rsidTr="000501E9">
        <w:trPr>
          <w:trHeight w:val="7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213" w14:textId="77777777" w:rsidR="005B2817" w:rsidRPr="00080481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E6E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 -FRV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F65" w14:textId="77777777" w:rsidR="005B2817" w:rsidRPr="00080481" w:rsidRDefault="005B2817" w:rsidP="00E44A9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3.276.237.117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72EF" w14:textId="77777777" w:rsidR="005B2817" w:rsidRPr="00080481" w:rsidRDefault="008E3D78" w:rsidP="00E44A9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4BB" w14:textId="77777777" w:rsidR="005B2817" w:rsidRPr="00080481" w:rsidRDefault="007E7120" w:rsidP="00E44A9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4A319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100.00</w:t>
            </w:r>
            <w:r w:rsidR="005B2817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827" w14:textId="77777777" w:rsidR="005B2817" w:rsidRPr="00080481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97079" w:rsidRPr="00080481" w14:paraId="57E2899F" w14:textId="77777777" w:rsidTr="000501E9">
        <w:trPr>
          <w:trHeight w:val="8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D378" w14:textId="77777777" w:rsidR="00A97079" w:rsidRPr="00080481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F83" w14:textId="77777777" w:rsidR="00A97079" w:rsidRPr="00080481" w:rsidRDefault="00A97079" w:rsidP="00A97079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1EB" w14:textId="77777777" w:rsidR="00A97079" w:rsidRPr="00080481" w:rsidRDefault="005B2817" w:rsidP="00E44A9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719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415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893A" w14:textId="77777777" w:rsidR="00A97079" w:rsidRPr="00FA68D9" w:rsidRDefault="00EB5474" w:rsidP="00E44A9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EB5474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2</w:t>
            </w: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.</w:t>
            </w:r>
            <w:r w:rsidRPr="00EB5474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826</w:t>
            </w: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.</w:t>
            </w:r>
            <w:r w:rsidRPr="00EB5474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204</w:t>
            </w: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.</w:t>
            </w:r>
            <w:r w:rsidRPr="00EB5474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7380" w14:textId="77777777" w:rsidR="00A97079" w:rsidRPr="00CF2FC0" w:rsidRDefault="00CF2FC0" w:rsidP="00E44A98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 w:rsidRPr="00CF2FC0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-36.39</w:t>
            </w:r>
            <w:r w:rsidR="00A97079" w:rsidRPr="00CF2FC0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0CD20A" w14:textId="77777777" w:rsidR="00A97079" w:rsidRPr="00080481" w:rsidRDefault="00A97079" w:rsidP="00A97079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60D98799" w14:textId="77777777" w:rsidR="00D444E0" w:rsidRDefault="00D444E0" w:rsidP="002B6397">
      <w:pPr>
        <w:spacing w:after="0"/>
        <w:ind w:left="360"/>
        <w:jc w:val="both"/>
        <w:rPr>
          <w:rFonts w:ascii="Century Gothic" w:hAnsi="Century Gothic" w:cs="Arial"/>
          <w:b/>
          <w:sz w:val="20"/>
          <w:szCs w:val="20"/>
          <w:lang w:val="es-MX" w:eastAsia="es-CO"/>
        </w:rPr>
      </w:pPr>
    </w:p>
    <w:p w14:paraId="1433DF03" w14:textId="77777777" w:rsidR="007030F0" w:rsidRPr="008F5E06" w:rsidRDefault="007030F0" w:rsidP="008F5E06">
      <w:pPr>
        <w:pStyle w:val="Prrafodelista"/>
        <w:numPr>
          <w:ilvl w:val="2"/>
          <w:numId w:val="35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5E06">
        <w:rPr>
          <w:rFonts w:ascii="Century Gothic" w:hAnsi="Century Gothic" w:cs="Arial"/>
          <w:b/>
          <w:sz w:val="20"/>
          <w:szCs w:val="20"/>
          <w:lang w:val="es-MX" w:eastAsia="es-CO"/>
        </w:rPr>
        <w:t>Servicios personales por inversión</w:t>
      </w:r>
    </w:p>
    <w:p w14:paraId="24FF352E" w14:textId="5D64A7DD" w:rsidR="00053882" w:rsidRDefault="00053882" w:rsidP="007030F0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14:paraId="7988BDA5" w14:textId="0DE06685" w:rsidR="00666570" w:rsidRDefault="00666570" w:rsidP="007030F0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14:paraId="74C9AE4A" w14:textId="77777777" w:rsidR="00666570" w:rsidRPr="00F577A0" w:rsidRDefault="00666570" w:rsidP="007030F0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276"/>
        <w:gridCol w:w="1276"/>
        <w:gridCol w:w="1984"/>
        <w:gridCol w:w="2979"/>
      </w:tblGrid>
      <w:tr w:rsidR="00A97079" w:rsidRPr="00A97079" w14:paraId="1460FB46" w14:textId="77777777" w:rsidTr="008F5E06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D4D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64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9C6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9E2DC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A97079" w:rsidRPr="00A97079" w14:paraId="32FB04CB" w14:textId="77777777" w:rsidTr="008F5E06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EE4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F17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C29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enero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3AF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enero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4E7" w14:textId="77777777" w:rsidR="00A97079" w:rsidRPr="00A97079" w:rsidRDefault="00A97079" w:rsidP="00A9707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 la cantidad entre enero - </w:t>
            </w:r>
            <w:r w:rsidR="00DE2218"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septiembre</w:t>
            </w: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B6413" w14:textId="77777777" w:rsidR="00A97079" w:rsidRPr="00A97079" w:rsidRDefault="00A97079" w:rsidP="00A9707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la vigencia actual </w:t>
            </w:r>
            <w:r w:rsidR="00BD3E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</w:t>
            </w:r>
            <w:r w:rsid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enero</w:t>
            </w:r>
            <w:r w:rsidR="00BD3E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-septiembre de 2018 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observa un </w:t>
            </w:r>
            <w:r w:rsid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incremento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</w:t>
            </w:r>
            <w:r w:rsid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36.81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 representados en </w:t>
            </w:r>
            <w:r w:rsid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40</w:t>
            </w:r>
            <w:r w:rsidR="00CF2FC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</w:t>
            </w:r>
            <w:r w:rsidR="009D7F6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contratistas </w:t>
            </w:r>
            <w:r w:rsidR="00EB547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más contratados que en</w:t>
            </w:r>
            <w:r w:rsidR="009D7F6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el periodo de enero a </w:t>
            </w:r>
            <w:r w:rsidR="00440EA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septiembre</w:t>
            </w:r>
            <w:r w:rsidR="009D7F6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2017 de acuerdo con información suministrada por los responsables de la ejecución en cada una de las </w:t>
            </w:r>
            <w:r w:rsidR="00440EA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áreas</w:t>
            </w:r>
            <w:r w:rsidR="009D7F6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5B2817" w:rsidRPr="00A97079" w14:paraId="2D04CCFE" w14:textId="77777777" w:rsidTr="00D444E0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0E" w14:textId="77777777" w:rsidR="005B2817" w:rsidRPr="00A97079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5CE6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A80B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6239" w14:textId="77777777" w:rsidR="005B2817" w:rsidRPr="00A97079" w:rsidRDefault="00FA68D9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  <w:r w:rsidR="002B69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F55" w14:textId="77777777" w:rsidR="005B2817" w:rsidRPr="00A97079" w:rsidRDefault="00CD333E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15.68</w:t>
            </w:r>
            <w:r w:rsidR="005B2817"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CCA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A97079" w14:paraId="69979A86" w14:textId="77777777" w:rsidTr="00D444E0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B2D" w14:textId="77777777" w:rsidR="005B2817" w:rsidRPr="00A97079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B17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Apoyo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E9B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4490" w14:textId="77777777" w:rsidR="005B2817" w:rsidRPr="00A97079" w:rsidRDefault="006F38F2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237F" w14:textId="77777777" w:rsidR="005B2817" w:rsidRPr="00A97079" w:rsidRDefault="00CD333E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2.95</w:t>
            </w:r>
            <w:r w:rsidR="005B2817"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C182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A97079" w14:paraId="5CC161A5" w14:textId="77777777" w:rsidTr="00D444E0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202" w14:textId="77777777" w:rsidR="005B2817" w:rsidRPr="00A97079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62F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Estratégicos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B7F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70B5" w14:textId="77777777" w:rsidR="005B2817" w:rsidRPr="00A97079" w:rsidRDefault="00FA68D9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61C" w14:textId="77777777" w:rsidR="005B2817" w:rsidRPr="00A97079" w:rsidRDefault="00CD333E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290.65</w:t>
            </w:r>
            <w:r w:rsidR="005B2817"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F83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A97079" w14:paraId="31AAB509" w14:textId="77777777" w:rsidTr="00D444E0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D6EE" w14:textId="77777777" w:rsidR="005B2817" w:rsidRPr="00A97079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0FBA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Seguimiento y Control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0CF1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5721" w14:textId="77777777" w:rsidR="005B2817" w:rsidRPr="00A97079" w:rsidRDefault="000666FB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285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0,00%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A7BC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A97079" w14:paraId="0BEA79A7" w14:textId="77777777" w:rsidTr="00D444E0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6A9" w14:textId="77777777" w:rsidR="005B2817" w:rsidRPr="00A97079" w:rsidRDefault="005B2817" w:rsidP="005B281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FAAC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 (FRV)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3E6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A055" w14:textId="77777777" w:rsidR="005B2817" w:rsidRPr="00A97079" w:rsidRDefault="00FA68D9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A76F" w14:textId="77777777" w:rsidR="005B2817" w:rsidRPr="00A97079" w:rsidRDefault="0047082A" w:rsidP="00D444E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100.00</w:t>
            </w:r>
            <w:r w:rsidR="005B2817"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1CE6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B2817" w:rsidRPr="00A97079" w14:paraId="7306CF62" w14:textId="77777777" w:rsidTr="00D444E0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9A3D4" w14:textId="77777777" w:rsidR="005B2817" w:rsidRPr="00A97079" w:rsidRDefault="005B2817" w:rsidP="005B2817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personal Contratado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E3A4" w14:textId="77777777" w:rsidR="005B2817" w:rsidRPr="00A97079" w:rsidRDefault="005B2817" w:rsidP="00D444E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</w:t>
            </w:r>
            <w:r w:rsidR="00D444E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EC6F" w14:textId="77777777" w:rsidR="005B2817" w:rsidRPr="00A97079" w:rsidRDefault="003E4A0E" w:rsidP="00D444E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</w:t>
            </w:r>
            <w:r w:rsidR="00B42CB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5</w:t>
            </w:r>
            <w:r w:rsidR="00EB547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40B5" w14:textId="77777777" w:rsidR="005B2817" w:rsidRPr="00A97079" w:rsidRDefault="00EB5474" w:rsidP="00D444E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36.81</w:t>
            </w:r>
            <w:r w:rsidR="005B2817" w:rsidRPr="00A9707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35262F" w14:textId="77777777" w:rsidR="005B2817" w:rsidRPr="00A97079" w:rsidRDefault="005B2817" w:rsidP="005B2817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674EDB89" w14:textId="77777777" w:rsidR="007030F0" w:rsidRDefault="007030F0" w:rsidP="007030F0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14:paraId="0F8137AE" w14:textId="77777777" w:rsidR="007030F0" w:rsidRDefault="007030F0" w:rsidP="007030F0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5462B21A" w14:textId="77777777" w:rsidR="007030F0" w:rsidRPr="009572B0" w:rsidRDefault="007030F0" w:rsidP="007030F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14:paraId="69576516" w14:textId="77777777" w:rsidR="007030F0" w:rsidRPr="009572B0" w:rsidRDefault="007030F0" w:rsidP="007030F0">
      <w:pPr>
        <w:pStyle w:val="Prrafodelista"/>
        <w:numPr>
          <w:ilvl w:val="1"/>
          <w:numId w:val="36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14:paraId="58CDEE6F" w14:textId="77777777" w:rsidR="007030F0" w:rsidRPr="009572B0" w:rsidRDefault="007030F0" w:rsidP="007030F0">
      <w:pPr>
        <w:pStyle w:val="Prrafodelista"/>
        <w:numPr>
          <w:ilvl w:val="1"/>
          <w:numId w:val="36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14:paraId="6F40F24F" w14:textId="77777777" w:rsidR="007030F0" w:rsidRPr="009572B0" w:rsidRDefault="007030F0" w:rsidP="007030F0">
      <w:pPr>
        <w:pStyle w:val="Prrafodelista"/>
        <w:numPr>
          <w:ilvl w:val="2"/>
          <w:numId w:val="36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14:paraId="299CC6AC" w14:textId="77777777" w:rsidR="007030F0" w:rsidRPr="009572B0" w:rsidRDefault="007030F0" w:rsidP="007030F0">
      <w:pPr>
        <w:pStyle w:val="Prrafodelista"/>
        <w:numPr>
          <w:ilvl w:val="2"/>
          <w:numId w:val="36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14:paraId="7E7E85A1" w14:textId="77777777" w:rsidR="007030F0" w:rsidRPr="009572B0" w:rsidRDefault="007030F0" w:rsidP="007030F0">
      <w:pPr>
        <w:pStyle w:val="Prrafodelista"/>
        <w:numPr>
          <w:ilvl w:val="2"/>
          <w:numId w:val="36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s-MX" w:eastAsia="es-CO"/>
        </w:rPr>
        <w:t>Personal contratado consolidado.</w:t>
      </w: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134"/>
        <w:gridCol w:w="1134"/>
        <w:gridCol w:w="1418"/>
        <w:gridCol w:w="3829"/>
      </w:tblGrid>
      <w:tr w:rsidR="00DE2218" w:rsidRPr="00DE2218" w14:paraId="68752296" w14:textId="77777777" w:rsidTr="00DE2218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6D3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6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97DF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14371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DE2218" w:rsidRPr="00DE2218" w14:paraId="4E07C846" w14:textId="77777777" w:rsidTr="00DE2218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AD7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EF5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26D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enero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CFE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enero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D9B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 la cantidad entre enero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7BB47" w14:textId="77777777" w:rsidR="00DE2218" w:rsidRDefault="00DE2218" w:rsidP="00DE221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la vigencia actual se </w:t>
            </w:r>
            <w:r w:rsidR="003C244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observa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una reducción de </w:t>
            </w:r>
            <w:r w:rsidR="0015121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0.85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represe</w:t>
            </w:r>
            <w:r w:rsidR="003C244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ntados en 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</w:t>
            </w:r>
            <w:r w:rsidR="003C244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contratistas, toda vez que en </w:t>
            </w:r>
            <w:r w:rsidR="006D039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la vigencia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2017</w:t>
            </w:r>
            <w:r w:rsidR="006D039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la contratación </w:t>
            </w:r>
            <w:r w:rsidR="003C244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</w:t>
            </w:r>
            <w:r w:rsidR="00D6259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la UARIV</w:t>
            </w:r>
            <w:r w:rsidR="003C244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 realizaba</w:t>
            </w:r>
            <w:r w:rsidR="006D039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3C244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 través de</w:t>
            </w:r>
            <w:r w:rsidR="006D039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la ordenadora del gasto</w:t>
            </w:r>
            <w:r w:rsidR="00D6259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para la vigencia de 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enero</w:t>
            </w:r>
            <w:r w:rsidR="00D6259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 septiembre de 2018 solamente se contrató a 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62</w:t>
            </w:r>
            <w:r w:rsidR="005E6A0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prestadores de servicios</w:t>
            </w:r>
            <w:r w:rsidR="000113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procesos de apoyo con un incremento del 1937%, 274 prestadores de servicios en procesos de estratégicos </w:t>
            </w:r>
            <w:r w:rsidR="000113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que representan el 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271.28</w:t>
            </w:r>
            <w:r w:rsidR="000113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del total del personal contratado</w:t>
            </w:r>
            <w:r w:rsidR="006D039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14:paraId="1B384FB6" w14:textId="77777777" w:rsidR="009623F8" w:rsidRDefault="009623F8" w:rsidP="00DE221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14:paraId="5A56C671" w14:textId="77777777" w:rsidR="009623F8" w:rsidRPr="00DE2218" w:rsidRDefault="009623F8" w:rsidP="00D62592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atención a lo anterior, la contratación realizada por el FRV pasó de </w:t>
            </w:r>
            <w:r w:rsidR="00D6259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143 a 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114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 en la presente vigencia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corresponde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 a un</w:t>
            </w:r>
            <w:r w:rsidR="005D4A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incremento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19 contratista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representan el 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15.37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total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la contratación de persona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 para procesos misionales.</w:t>
            </w:r>
          </w:p>
        </w:tc>
      </w:tr>
      <w:tr w:rsidR="00EB21AA" w:rsidRPr="00DE2218" w14:paraId="1E374045" w14:textId="77777777" w:rsidTr="00EB21A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FC80" w14:textId="77777777" w:rsidR="00EB21AA" w:rsidRPr="00DE2218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086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9D18" w14:textId="77777777" w:rsidR="00EB21AA" w:rsidRPr="00DE2218" w:rsidRDefault="00EB21AA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8873" w14:textId="77777777" w:rsidR="00C061EC" w:rsidRPr="00DE2218" w:rsidRDefault="003E4A0E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  <w:r w:rsidR="00B42C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861" w14:textId="77777777" w:rsidR="00EB21AA" w:rsidRPr="00DE2218" w:rsidRDefault="00EB21AA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0E695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9.12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4858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DE2218" w14:paraId="0227828D" w14:textId="77777777" w:rsidTr="00EB21A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AE9" w14:textId="77777777" w:rsidR="00EB21AA" w:rsidRPr="00DE2218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4D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Apoyo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63C7" w14:textId="77777777" w:rsidR="00EB21AA" w:rsidRPr="00DE2218" w:rsidRDefault="00EB21AA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9FEA" w14:textId="77777777" w:rsidR="00EB21AA" w:rsidRPr="00DE2218" w:rsidRDefault="006F38F2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695" w14:textId="77777777" w:rsidR="00EB21AA" w:rsidRPr="00DE2218" w:rsidRDefault="000E6954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19.37</w:t>
            </w:r>
            <w:r w:rsidR="00EB21AA"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346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DE2218" w14:paraId="66C1CCCC" w14:textId="77777777" w:rsidTr="00EB21A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E97" w14:textId="77777777" w:rsidR="00EB21AA" w:rsidRPr="00DE2218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681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Estratégicos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66ED" w14:textId="77777777" w:rsidR="00EB21AA" w:rsidRPr="00DE2218" w:rsidRDefault="00EB21AA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79CD" w14:textId="77777777" w:rsidR="00BB2011" w:rsidRPr="00DE2218" w:rsidRDefault="006F38F2" w:rsidP="00BB2011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6FF0" w14:textId="77777777" w:rsidR="00EB21AA" w:rsidRPr="00DE2218" w:rsidRDefault="000E6954" w:rsidP="00BD3E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271.28</w:t>
            </w:r>
            <w:r w:rsidR="00EB21AA"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0215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DE2218" w14:paraId="2D4F2AB5" w14:textId="77777777" w:rsidTr="00EB21A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0E7" w14:textId="77777777" w:rsidR="00EB21AA" w:rsidRPr="00DE2218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BE2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Seguimiento y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6F43" w14:textId="77777777" w:rsidR="00EB21AA" w:rsidRPr="00DE2218" w:rsidRDefault="00EB21AA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0EDE" w14:textId="77777777" w:rsidR="00EB21AA" w:rsidRPr="00DE2218" w:rsidRDefault="00BB2011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6F6" w14:textId="77777777" w:rsidR="00EB21AA" w:rsidRPr="00DE2218" w:rsidRDefault="00BD3EDC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  <w:r w:rsidR="00EB21AA"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63D2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DE2218" w14:paraId="57A61D55" w14:textId="77777777" w:rsidTr="00EB21A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3D2A" w14:textId="77777777" w:rsidR="00EB21AA" w:rsidRPr="00DE2218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652D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 (FRV)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EEC" w14:textId="77777777" w:rsidR="00EB21AA" w:rsidRPr="00DE2218" w:rsidRDefault="00EB21AA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B9D4" w14:textId="77777777" w:rsidR="00EB21AA" w:rsidRPr="00DE2218" w:rsidRDefault="006F38F2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C88A" w14:textId="77777777" w:rsidR="00EB21AA" w:rsidRPr="00DE2218" w:rsidRDefault="005D4A95" w:rsidP="00C061E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15.37</w:t>
            </w:r>
            <w:r w:rsidR="00EB21AA"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3DC3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E2218" w:rsidRPr="00DE2218" w14:paraId="3D1E3DAF" w14:textId="77777777" w:rsidTr="00EB21AA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2843" w14:textId="77777777" w:rsidR="00DE2218" w:rsidRPr="00DE2218" w:rsidRDefault="00DE2218" w:rsidP="00DE2218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personal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8C5" w14:textId="77777777" w:rsidR="00DE2218" w:rsidRPr="00DE2218" w:rsidRDefault="005D4A95" w:rsidP="00C061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73E2" w14:textId="77777777" w:rsidR="00DE2218" w:rsidRPr="00DE2218" w:rsidRDefault="005D4A95" w:rsidP="00C061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514F" w14:textId="77777777" w:rsidR="00DE2218" w:rsidRPr="00DE2218" w:rsidRDefault="00EF0A1B" w:rsidP="00C061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115.37</w:t>
            </w:r>
            <w:r w:rsidR="00DE2218"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9123FB" w14:textId="77777777" w:rsidR="00DE2218" w:rsidRPr="00DE2218" w:rsidRDefault="00DE2218" w:rsidP="00DE2218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E2218" w:rsidRPr="00DE2218" w14:paraId="678C1FB7" w14:textId="77777777" w:rsidTr="00DE2218">
        <w:trPr>
          <w:trHeight w:val="3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2D2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6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0BC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84C19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DE2218" w:rsidRPr="00DE2218" w14:paraId="0EEBDB95" w14:textId="77777777" w:rsidTr="00DE2218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9802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71D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AD3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enero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1F1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</w:t>
            </w:r>
            <w:r w:rsidR="005913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CF8" w14:textId="77777777" w:rsidR="00DE2218" w:rsidRPr="00DE2218" w:rsidRDefault="00DE2218" w:rsidP="00DE221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del valor pagado entre </w:t>
            </w:r>
            <w:r w:rsidR="0001136B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julio</w:t>
            </w: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="0001136B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y enero a septiembre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87A8" w14:textId="77777777" w:rsidR="00DE2218" w:rsidRDefault="00DE2218" w:rsidP="00DE221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rubro de servicios personales indirectos presenta una variación negativa de </w:t>
            </w:r>
            <w:r w:rsidR="000113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95.43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respecto al año anterior por las siguientes razones:</w:t>
            </w:r>
          </w:p>
          <w:p w14:paraId="64740F65" w14:textId="77777777" w:rsidR="009623F8" w:rsidRDefault="009623F8" w:rsidP="00DE221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14:paraId="537F8DF3" w14:textId="77777777" w:rsidR="009623F8" w:rsidRDefault="009623F8" w:rsidP="009623F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1. 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valida el comportam</w:t>
            </w:r>
            <w:r w:rsidR="000113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iento de la contratación de julio a 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</w:t>
            </w:r>
            <w:r w:rsidR="0001136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ptiembre de 2018 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bserva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que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los pagos corresponden al 2.57%</w:t>
            </w:r>
            <w:r w:rsidR="003779B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su gasto asciende a $831.197.630</w:t>
            </w:r>
            <w:r w:rsidRPr="00A9707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debido a que la mayoría de personal se contrató antes del inicio de la ley de garantías.</w:t>
            </w:r>
          </w:p>
          <w:p w14:paraId="5F759192" w14:textId="77777777" w:rsidR="00DE2218" w:rsidRDefault="009623F8" w:rsidP="00DE221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  <w:t>2.</w:t>
            </w:r>
            <w:r w:rsidR="00DE2218"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Para el FRV el 100% los prestadores de servicios</w:t>
            </w:r>
            <w:r w:rsidR="00856A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son </w:t>
            </w:r>
            <w:r w:rsidR="005D4A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114 para la vigencia de enero a septiembre de 2018</w:t>
            </w:r>
            <w:r w:rsidR="00856A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5D4A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los que </w:t>
            </w:r>
            <w:r w:rsidR="003779B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contrataron</w:t>
            </w:r>
            <w:r w:rsidR="00A479F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D4A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corresponden a 18 y su gasto asciende a $493.536.941 y se contrataron después de 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la ley de garantías.</w:t>
            </w:r>
          </w:p>
          <w:p w14:paraId="3C5E7644" w14:textId="77777777" w:rsidR="00DE2218" w:rsidRPr="00DE2218" w:rsidRDefault="00DE2218" w:rsidP="00DE221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  <w:t>3. Validando los pagos se observa que no todos los contratistas pasaron la cuenta al corte del pago y por ende no se alcanza a reportar el pago del mes de septiembre.</w:t>
            </w:r>
          </w:p>
        </w:tc>
      </w:tr>
      <w:tr w:rsidR="00EB21AA" w:rsidRPr="00DE2218" w14:paraId="2EF54A1D" w14:textId="77777777" w:rsidTr="00DE2218">
        <w:trPr>
          <w:trHeight w:val="8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A48C" w14:textId="77777777" w:rsidR="00EB21AA" w:rsidRPr="00DE2218" w:rsidRDefault="00A479FE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1EC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 (apoyo)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B3C" w14:textId="77777777" w:rsidR="00EB21AA" w:rsidRPr="00DE2218" w:rsidRDefault="00EB21AA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32.383.099.748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A58" w14:textId="77777777" w:rsidR="00EB21AA" w:rsidRPr="00DE2218" w:rsidRDefault="00BC2CF4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814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353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ADF" w14:textId="77777777" w:rsidR="00EB21AA" w:rsidRPr="00DE2218" w:rsidRDefault="00EB21AA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32.64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D31A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DE2218" w14:paraId="051C1D50" w14:textId="77777777" w:rsidTr="00DE2218">
        <w:trPr>
          <w:trHeight w:val="8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00D2" w14:textId="77777777" w:rsidR="00EB21AA" w:rsidRPr="00DE2218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A4E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 (FRV)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6C9" w14:textId="77777777" w:rsidR="00EB21AA" w:rsidRPr="00DE2218" w:rsidRDefault="00EB21AA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DC8E" w14:textId="77777777" w:rsidR="00EB21AA" w:rsidRPr="00DE2218" w:rsidRDefault="00E250B5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E250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E250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163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E250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955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E250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DC4" w14:textId="77777777" w:rsidR="00EB21AA" w:rsidRPr="00DE2218" w:rsidRDefault="0001136B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</w:t>
            </w:r>
            <w:r w:rsidR="00EB21AA"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0,00%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B4D" w14:textId="77777777" w:rsidR="00EB21AA" w:rsidRPr="00DE2218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E2218" w:rsidRPr="00DE2218" w14:paraId="421C0AAD" w14:textId="77777777" w:rsidTr="00DE2218">
        <w:trPr>
          <w:trHeight w:val="82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2C5A" w14:textId="77777777" w:rsidR="00DE2218" w:rsidRPr="00DE2218" w:rsidRDefault="00DE2218" w:rsidP="00DE2218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B92" w14:textId="77777777" w:rsidR="00DE2218" w:rsidRPr="00DE2218" w:rsidRDefault="00EB21AA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32.383.099.748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CF77" w14:textId="77777777" w:rsidR="00DE2218" w:rsidRPr="00DE2218" w:rsidRDefault="00BC2CF4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BC2CF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25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BC2CF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978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BC2CF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308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BC2CF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79C" w14:textId="77777777" w:rsidR="00DE2218" w:rsidRPr="00DE2218" w:rsidRDefault="00DE2218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BC2CF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19.78</w:t>
            </w:r>
            <w:r w:rsidRPr="00DE221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82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2D46B" w14:textId="77777777" w:rsidR="00DE2218" w:rsidRPr="00DE2218" w:rsidRDefault="00DE2218" w:rsidP="00DE2218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48D267CA" w14:textId="77777777" w:rsidR="00DE2218" w:rsidRDefault="00DE2218" w:rsidP="007030F0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14:paraId="3A55B860" w14:textId="77777777" w:rsidR="007030F0" w:rsidRPr="00FC23F7" w:rsidRDefault="007030F0" w:rsidP="007030F0">
      <w:pPr>
        <w:pStyle w:val="Prrafodelista"/>
        <w:numPr>
          <w:ilvl w:val="2"/>
          <w:numId w:val="36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C23F7">
        <w:rPr>
          <w:rFonts w:ascii="Century Gothic" w:hAnsi="Century Gothic"/>
          <w:b/>
          <w:sz w:val="20"/>
          <w:szCs w:val="20"/>
        </w:rPr>
        <w:t>Relación personal de planta vs personal contratado</w:t>
      </w:r>
    </w:p>
    <w:p w14:paraId="058F049C" w14:textId="77777777" w:rsidR="007030F0" w:rsidRDefault="007030F0" w:rsidP="007030F0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101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1446"/>
        <w:gridCol w:w="1311"/>
        <w:gridCol w:w="1457"/>
        <w:gridCol w:w="1310"/>
        <w:gridCol w:w="1457"/>
        <w:gridCol w:w="1314"/>
        <w:gridCol w:w="1599"/>
      </w:tblGrid>
      <w:tr w:rsidR="009254B0" w:rsidRPr="005A6780" w14:paraId="44C4F8C4" w14:textId="77777777" w:rsidTr="00856AD9">
        <w:trPr>
          <w:trHeight w:val="499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DF5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º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FD11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F95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9254B0" w:rsidRPr="005A6780" w14:paraId="32BFE037" w14:textId="77777777" w:rsidTr="00856AD9">
        <w:trPr>
          <w:trHeight w:val="1423"/>
        </w:trPr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589" w14:textId="77777777" w:rsidR="005A6780" w:rsidRPr="005A6780" w:rsidRDefault="005A6780" w:rsidP="005A678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CE9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EF4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enero - </w:t>
            </w:r>
            <w:r w:rsidR="009254B0"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septiembre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</w:t>
            </w:r>
            <w:r w:rsidR="003779B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4FC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de la cantidad del personal entre enero - </w:t>
            </w:r>
            <w:r w:rsidR="009254B0"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septiembre de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FD1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</w:t>
            </w:r>
            <w:r w:rsidR="006017E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julio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</w:t>
            </w:r>
            <w:r w:rsidR="009254B0"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septiembre de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E94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de la cantidad del personal entre </w:t>
            </w:r>
            <w:r w:rsidR="006017E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julio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</w:t>
            </w:r>
            <w:r w:rsidR="009254B0"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septiembre de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B96" w14:textId="77777777" w:rsidR="005A6780" w:rsidRPr="005A6780" w:rsidRDefault="005A6780" w:rsidP="005A678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 la cantidad entre enero - </w:t>
            </w:r>
            <w:r w:rsidR="009254B0"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septiembre de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FB2" w14:textId="77777777" w:rsidR="005A6780" w:rsidRPr="005A6780" w:rsidRDefault="005A6780" w:rsidP="005A678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evidencia que la cantidad de contratistas de las áreas estratégicas, seguimiento y control, misionales y de apoyo es </w:t>
            </w:r>
            <w:r w:rsidR="00856A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inferio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r al personal de planta para la vigencia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</w:t>
            </w:r>
            <w:r w:rsidR="00856A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8.47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 y para la vigencia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el personal contratado representa 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52.53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%.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  <w:t xml:space="preserve">Respecto al año anterior se observa que el personal </w:t>
            </w:r>
            <w:r w:rsidR="0089446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planta 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contratado se reduce en 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8.47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 y el personal de planta </w:t>
            </w:r>
            <w:r w:rsidR="00856A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disminuyo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</w:t>
            </w:r>
            <w:r w:rsidR="00A269F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47.44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%.</w:t>
            </w:r>
          </w:p>
        </w:tc>
      </w:tr>
      <w:tr w:rsidR="006017ED" w:rsidRPr="005A6780" w14:paraId="6C4BE5B6" w14:textId="77777777" w:rsidTr="00856AD9">
        <w:trPr>
          <w:trHeight w:val="774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B93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5B8" w14:textId="77777777" w:rsidR="006017ED" w:rsidRPr="005A6780" w:rsidRDefault="006017ED" w:rsidP="006017E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personal contratado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9FA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3779B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643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61%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7509" w14:textId="77777777" w:rsidR="006017ED" w:rsidRPr="005A6780" w:rsidRDefault="005D4A95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2B2" w14:textId="77777777" w:rsidR="006017ED" w:rsidRPr="005A6780" w:rsidRDefault="00A269F9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52.53</w:t>
            </w:r>
            <w:r w:rsidR="006017ED"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186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</w:t>
            </w:r>
            <w:r w:rsidR="00A269F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8.47</w:t>
            </w: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79F" w14:textId="77777777" w:rsidR="006017ED" w:rsidRPr="005A6780" w:rsidRDefault="006017ED" w:rsidP="006017E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6017ED" w:rsidRPr="005A6780" w14:paraId="7230FBFD" w14:textId="77777777" w:rsidTr="00856AD9">
        <w:trPr>
          <w:trHeight w:val="65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6FC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2BA" w14:textId="77777777" w:rsidR="006017ED" w:rsidRPr="005A6780" w:rsidRDefault="006017ED" w:rsidP="006017E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personal vinculado de planta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9F7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DE3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39%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068" w14:textId="77777777" w:rsidR="006017ED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81AF" w14:textId="77777777" w:rsidR="006017ED" w:rsidRPr="005A6780" w:rsidRDefault="00A269F9" w:rsidP="006017ED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47.44</w:t>
            </w:r>
            <w:r w:rsidR="006017ED"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07D" w14:textId="77777777" w:rsidR="006017ED" w:rsidRPr="005A6780" w:rsidRDefault="00A269F9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8.47</w:t>
            </w:r>
            <w:r w:rsidR="006017ED"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C40D" w14:textId="77777777" w:rsidR="006017ED" w:rsidRPr="005A6780" w:rsidRDefault="006017ED" w:rsidP="006017E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9254B0" w:rsidRPr="005A6780" w14:paraId="66579D79" w14:textId="77777777" w:rsidTr="00856AD9">
        <w:trPr>
          <w:trHeight w:val="333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DDF" w14:textId="77777777" w:rsidR="005A6780" w:rsidRPr="005A6780" w:rsidRDefault="005A6780" w:rsidP="005A678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5A678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Servidores Públicos de la UARIV (Planta + Contratistas)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12AF" w14:textId="77777777" w:rsidR="005A6780" w:rsidRPr="005A6780" w:rsidRDefault="006017ED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2.107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1EA" w14:textId="77777777" w:rsidR="005A6780" w:rsidRPr="005A6780" w:rsidRDefault="005A6780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CCA4" w14:textId="77777777" w:rsidR="005A6780" w:rsidRPr="005A6780" w:rsidRDefault="005D4A95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1.658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93A" w14:textId="77777777" w:rsidR="005A6780" w:rsidRPr="005A6780" w:rsidRDefault="005A6780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441" w14:textId="77777777" w:rsidR="005A6780" w:rsidRPr="005A6780" w:rsidRDefault="005A6780" w:rsidP="006017E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78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N/A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B7D2" w14:textId="77777777" w:rsidR="005A6780" w:rsidRPr="005A6780" w:rsidRDefault="005A6780" w:rsidP="005A678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3CE5E653" w14:textId="77777777" w:rsidR="00EF0A1B" w:rsidRDefault="00EF0A1B" w:rsidP="007030F0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C1C449" w14:textId="77777777" w:rsidR="007030F0" w:rsidRPr="00F577A0" w:rsidRDefault="007030F0" w:rsidP="007030F0">
      <w:pPr>
        <w:pStyle w:val="Prrafodelista"/>
        <w:numPr>
          <w:ilvl w:val="1"/>
          <w:numId w:val="36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577A0">
        <w:rPr>
          <w:rFonts w:ascii="Century Gothic" w:hAnsi="Century Gothic"/>
          <w:b/>
          <w:sz w:val="20"/>
          <w:szCs w:val="20"/>
        </w:rPr>
        <w:t>Otros temas relacionados con personal.</w:t>
      </w:r>
    </w:p>
    <w:p w14:paraId="5693FEF5" w14:textId="77777777" w:rsidR="007030F0" w:rsidRPr="00633A77" w:rsidRDefault="007030F0" w:rsidP="007030F0">
      <w:pPr>
        <w:jc w:val="both"/>
        <w:rPr>
          <w:rFonts w:ascii="Century Gothic" w:hAnsi="Century Gothic"/>
          <w:sz w:val="2"/>
          <w:szCs w:val="20"/>
        </w:rPr>
      </w:pPr>
    </w:p>
    <w:p w14:paraId="06A8E010" w14:textId="77777777" w:rsidR="007030F0" w:rsidRDefault="007030F0" w:rsidP="007030F0">
      <w:pPr>
        <w:pStyle w:val="Ttulo2"/>
        <w:spacing w:before="200"/>
        <w:jc w:val="both"/>
        <w:rPr>
          <w:rFonts w:ascii="Century Gothic" w:hAnsi="Century Gothic" w:cs="Arial"/>
          <w:b w:val="0"/>
          <w:color w:val="auto"/>
          <w:szCs w:val="20"/>
          <w:lang w:eastAsia="es-CO"/>
        </w:rPr>
      </w:pPr>
      <w:r w:rsidRPr="00730AA2">
        <w:rPr>
          <w:rFonts w:ascii="Century Gothic" w:hAnsi="Century Gothic" w:cs="Arial"/>
          <w:b w:val="0"/>
          <w:color w:val="auto"/>
          <w:szCs w:val="20"/>
          <w:lang w:eastAsia="es-CO"/>
        </w:rPr>
        <w:t xml:space="preserve">Los temas relacionados en la norma como son la certificación de no existencia de personal, vinculación y desvinculación de personal, remuneración servicios técnicos, </w:t>
      </w:r>
      <w:r w:rsidRPr="00730AA2">
        <w:rPr>
          <w:rFonts w:ascii="Century Gothic" w:hAnsi="Century Gothic" w:cs="Arial"/>
          <w:b w:val="0"/>
          <w:color w:val="auto"/>
          <w:szCs w:val="20"/>
          <w:lang w:val="es-MX" w:eastAsia="es-MX"/>
        </w:rPr>
        <w:t xml:space="preserve">supernumerarios, </w:t>
      </w:r>
      <w:r w:rsidRPr="00730AA2">
        <w:rPr>
          <w:rFonts w:ascii="Century Gothic" w:hAnsi="Century Gothic" w:cs="Arial"/>
          <w:b w:val="0"/>
          <w:color w:val="auto"/>
          <w:szCs w:val="20"/>
          <w:lang w:eastAsia="es-CO"/>
        </w:rPr>
        <w:t>horas extras y comisiones son temas que se relacionan en la siguiente tabla en donde el Grupo de Gestión de Talento Humano y Contractual manifiesta que se cumple con la normatividad.</w:t>
      </w:r>
    </w:p>
    <w:p w14:paraId="2904B6C3" w14:textId="77777777" w:rsidR="00EF0A1B" w:rsidRPr="00EF0A1B" w:rsidRDefault="00EF0A1B" w:rsidP="00EF0A1B">
      <w:pPr>
        <w:rPr>
          <w:lang w:val="es-ES" w:eastAsia="es-CO"/>
        </w:rPr>
      </w:pPr>
    </w:p>
    <w:p w14:paraId="34E4176E" w14:textId="77777777" w:rsidR="007030F0" w:rsidRDefault="007030F0" w:rsidP="007030F0">
      <w:pPr>
        <w:pStyle w:val="Prrafodelista"/>
        <w:numPr>
          <w:ilvl w:val="2"/>
          <w:numId w:val="36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577A0">
        <w:rPr>
          <w:rFonts w:ascii="Century Gothic" w:hAnsi="Century Gothic"/>
          <w:b/>
          <w:sz w:val="20"/>
          <w:szCs w:val="20"/>
        </w:rPr>
        <w:t>Talento Humano.</w:t>
      </w:r>
    </w:p>
    <w:p w14:paraId="2D63A078" w14:textId="77777777" w:rsidR="00EF0A1B" w:rsidRPr="00F577A0" w:rsidRDefault="00EF0A1B" w:rsidP="00EF0A1B">
      <w:pPr>
        <w:pStyle w:val="Prrafodelista"/>
        <w:spacing w:after="0"/>
        <w:ind w:left="1080"/>
        <w:jc w:val="both"/>
        <w:rPr>
          <w:rFonts w:ascii="Century Gothic" w:hAnsi="Century Gothic"/>
          <w:b/>
          <w:sz w:val="20"/>
          <w:szCs w:val="20"/>
        </w:rPr>
      </w:pPr>
    </w:p>
    <w:p w14:paraId="620FD656" w14:textId="77777777" w:rsidR="007030F0" w:rsidRDefault="007030F0" w:rsidP="007030F0">
      <w:pPr>
        <w:rPr>
          <w:rFonts w:ascii="Century Gothic" w:hAnsi="Century Gothic"/>
          <w:sz w:val="20"/>
          <w:szCs w:val="20"/>
          <w:lang w:eastAsia="es-CO"/>
        </w:rPr>
      </w:pPr>
      <w:r w:rsidRPr="00F577A0">
        <w:rPr>
          <w:rFonts w:ascii="Century Gothic" w:hAnsi="Century Gothic"/>
          <w:noProof/>
          <w:sz w:val="20"/>
          <w:szCs w:val="20"/>
          <w:lang w:val="es-CO" w:eastAsia="es-CO"/>
        </w:rPr>
        <w:drawing>
          <wp:inline distT="0" distB="0" distL="0" distR="0" wp14:anchorId="691CA2CE" wp14:editId="7C6A2459">
            <wp:extent cx="6029181" cy="2258704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12" cy="22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8AAB" w14:textId="77777777" w:rsidR="007030F0" w:rsidRPr="00AE1D7B" w:rsidRDefault="001369DA" w:rsidP="007030F0">
      <w:pPr>
        <w:pStyle w:val="Prrafodelista"/>
        <w:numPr>
          <w:ilvl w:val="2"/>
          <w:numId w:val="36"/>
        </w:numPr>
        <w:rPr>
          <w:rFonts w:ascii="Century Gothic" w:hAnsi="Century Gothic"/>
          <w:b/>
          <w:sz w:val="20"/>
          <w:szCs w:val="20"/>
          <w:lang w:eastAsia="es-CO"/>
        </w:rPr>
      </w:pPr>
      <w:r w:rsidRPr="000F4E92">
        <w:rPr>
          <w:rFonts w:ascii="Century Gothic" w:hAnsi="Century Gothic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0544B0C9" wp14:editId="0991ED0D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6019800" cy="199136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0F0">
        <w:rPr>
          <w:rFonts w:ascii="Century Gothic" w:hAnsi="Century Gothic"/>
          <w:b/>
          <w:sz w:val="20"/>
          <w:szCs w:val="20"/>
          <w:lang w:eastAsia="es-CO"/>
        </w:rPr>
        <w:t>Contratos</w:t>
      </w:r>
    </w:p>
    <w:p w14:paraId="213A8B67" w14:textId="77777777" w:rsidR="007030F0" w:rsidRPr="00633A77" w:rsidRDefault="007030F0" w:rsidP="007030F0">
      <w:pPr>
        <w:rPr>
          <w:rFonts w:ascii="Century Gothic" w:hAnsi="Century Gothic"/>
          <w:b/>
          <w:sz w:val="4"/>
          <w:szCs w:val="20"/>
          <w:lang w:val="es-CO" w:eastAsia="es-CO"/>
        </w:rPr>
      </w:pPr>
    </w:p>
    <w:p w14:paraId="5E02BA9E" w14:textId="77777777" w:rsidR="007030F0" w:rsidRPr="00F577A0" w:rsidRDefault="007030F0" w:rsidP="007030F0">
      <w:pPr>
        <w:pStyle w:val="Prrafodelista"/>
        <w:numPr>
          <w:ilvl w:val="1"/>
          <w:numId w:val="36"/>
        </w:numPr>
        <w:rPr>
          <w:rFonts w:ascii="Century Gothic" w:hAnsi="Century Gothic"/>
          <w:b/>
          <w:sz w:val="20"/>
          <w:szCs w:val="20"/>
          <w:lang w:eastAsia="es-CO"/>
        </w:rPr>
      </w:pPr>
      <w:r>
        <w:rPr>
          <w:rFonts w:ascii="Century Gothic" w:hAnsi="Century Gothic"/>
          <w:b/>
          <w:sz w:val="20"/>
          <w:szCs w:val="20"/>
          <w:lang w:eastAsia="es-CO"/>
        </w:rPr>
        <w:t xml:space="preserve"> </w:t>
      </w:r>
      <w:r w:rsidRPr="00F577A0">
        <w:rPr>
          <w:rFonts w:ascii="Century Gothic" w:hAnsi="Century Gothic"/>
          <w:b/>
          <w:sz w:val="20"/>
          <w:szCs w:val="20"/>
          <w:lang w:eastAsia="es-CO"/>
        </w:rPr>
        <w:t xml:space="preserve">Tiquetes </w:t>
      </w:r>
      <w:r w:rsidRPr="004C2439">
        <w:rPr>
          <w:rFonts w:ascii="Century Gothic" w:hAnsi="Century Gothic"/>
          <w:b/>
          <w:sz w:val="20"/>
          <w:szCs w:val="20"/>
          <w:lang w:eastAsia="es-CO"/>
        </w:rPr>
        <w:t>comisiones al exterior</w:t>
      </w:r>
      <w:r w:rsidRPr="00F577A0">
        <w:rPr>
          <w:rFonts w:ascii="Century Gothic" w:hAnsi="Century Gothic"/>
          <w:b/>
          <w:sz w:val="20"/>
          <w:szCs w:val="20"/>
          <w:lang w:eastAsia="es-CO"/>
        </w:rPr>
        <w:t xml:space="preserve">. </w:t>
      </w:r>
    </w:p>
    <w:p w14:paraId="29BE3530" w14:textId="4EB78B6A" w:rsidR="002C0598" w:rsidRPr="00EF0A1B" w:rsidRDefault="002C0598" w:rsidP="002C0598">
      <w:pPr>
        <w:jc w:val="both"/>
        <w:rPr>
          <w:rFonts w:ascii="Century Gothic" w:hAnsi="Century Gothic"/>
          <w:sz w:val="20"/>
          <w:szCs w:val="20"/>
          <w:lang w:val="es-MX" w:eastAsia="es-MX"/>
        </w:rPr>
      </w:pPr>
      <w:r w:rsidRPr="00EF0A1B">
        <w:rPr>
          <w:rFonts w:ascii="Century Gothic" w:hAnsi="Century Gothic"/>
          <w:sz w:val="20"/>
          <w:szCs w:val="20"/>
          <w:lang w:val="es-MX" w:eastAsia="es-MX"/>
        </w:rPr>
        <w:t xml:space="preserve">Los tiquetes para el exterior dando cumplimiento al Art. 1 del Decreto 2890 de 2005; a los comisionados al exterior se les podrá suministrar pasajes aéreos, marítimos o terrestres solo en clase económica, para la vigencia </w:t>
      </w:r>
      <w:r w:rsidR="00A43BD5" w:rsidRPr="00EF0A1B">
        <w:rPr>
          <w:rFonts w:ascii="Century Gothic" w:hAnsi="Century Gothic"/>
          <w:sz w:val="20"/>
          <w:szCs w:val="20"/>
          <w:lang w:val="es-MX" w:eastAsia="es-MX"/>
        </w:rPr>
        <w:t xml:space="preserve">julio a </w:t>
      </w:r>
      <w:r w:rsidR="0002118C" w:rsidRPr="00EF0A1B">
        <w:rPr>
          <w:rFonts w:ascii="Century Gothic" w:hAnsi="Century Gothic"/>
          <w:sz w:val="20"/>
          <w:szCs w:val="20"/>
          <w:lang w:val="es-MX" w:eastAsia="es-MX"/>
        </w:rPr>
        <w:t>septiembre</w:t>
      </w:r>
      <w:r w:rsidRPr="00EF0A1B">
        <w:rPr>
          <w:rFonts w:ascii="Century Gothic" w:hAnsi="Century Gothic"/>
          <w:sz w:val="20"/>
          <w:szCs w:val="20"/>
          <w:lang w:val="es-MX" w:eastAsia="es-MX"/>
        </w:rPr>
        <w:t xml:space="preserve"> de 2018 la Unidad de Integración y Reparación para la Victimas no apropió recursos financieros para el rubro.</w:t>
      </w:r>
    </w:p>
    <w:p w14:paraId="010B3A99" w14:textId="77777777" w:rsidR="007030F0" w:rsidRPr="001369DA" w:rsidRDefault="007030F0" w:rsidP="007030F0">
      <w:pPr>
        <w:pStyle w:val="Ttulo1"/>
        <w:numPr>
          <w:ilvl w:val="0"/>
          <w:numId w:val="36"/>
        </w:numPr>
        <w:spacing w:before="480"/>
        <w:rPr>
          <w:rFonts w:ascii="Century Gothic" w:hAnsi="Century Gothic"/>
          <w:b/>
          <w:color w:val="000000" w:themeColor="text1"/>
          <w:sz w:val="24"/>
          <w:szCs w:val="20"/>
        </w:rPr>
      </w:pPr>
      <w:r w:rsidRPr="001369DA">
        <w:rPr>
          <w:rFonts w:ascii="Century Gothic" w:hAnsi="Century Gothic"/>
          <w:b/>
          <w:color w:val="000000" w:themeColor="text1"/>
          <w:sz w:val="24"/>
          <w:szCs w:val="20"/>
        </w:rPr>
        <w:t>PUBLICIDAD Y PUBLICACIONES</w:t>
      </w:r>
    </w:p>
    <w:p w14:paraId="26D3AFFD" w14:textId="77777777" w:rsidR="007030F0" w:rsidRPr="00633A77" w:rsidRDefault="007030F0" w:rsidP="007030F0">
      <w:pPr>
        <w:rPr>
          <w:rFonts w:ascii="Century Gothic" w:hAnsi="Century Gothic"/>
          <w:sz w:val="4"/>
          <w:szCs w:val="20"/>
        </w:rPr>
      </w:pPr>
    </w:p>
    <w:p w14:paraId="57284CA2" w14:textId="77777777" w:rsidR="002C0598" w:rsidRPr="00EF0A1B" w:rsidRDefault="002C0598" w:rsidP="002C0598">
      <w:pPr>
        <w:jc w:val="both"/>
        <w:rPr>
          <w:rFonts w:ascii="Century Gothic" w:hAnsi="Century Gothic"/>
          <w:sz w:val="20"/>
          <w:szCs w:val="20"/>
          <w:lang w:val="es-MX" w:eastAsia="es-MX"/>
        </w:rPr>
      </w:pPr>
      <w:r w:rsidRPr="00EF0A1B">
        <w:rPr>
          <w:rFonts w:ascii="Century Gothic" w:hAnsi="Century Gothic"/>
          <w:sz w:val="20"/>
          <w:szCs w:val="20"/>
          <w:lang w:val="es-MX" w:eastAsia="es-MX"/>
        </w:rPr>
        <w:t xml:space="preserve">Dando cumplimiento al capítulo III del Decreto de Austeridad (Decreto 1737 de 1998) y Art. 13 del capítulo IV, La Unidad para la Atentación y Reparación Integral a las Victimas para la vigencia </w:t>
      </w:r>
      <w:r w:rsidR="00A43BD5" w:rsidRPr="00EF0A1B">
        <w:rPr>
          <w:rFonts w:ascii="Century Gothic" w:hAnsi="Century Gothic"/>
          <w:sz w:val="20"/>
          <w:szCs w:val="20"/>
          <w:lang w:val="es-MX" w:eastAsia="es-MX"/>
        </w:rPr>
        <w:t>julio a septiembre</w:t>
      </w:r>
      <w:r w:rsidRPr="00EF0A1B">
        <w:rPr>
          <w:rFonts w:ascii="Century Gothic" w:hAnsi="Century Gothic"/>
          <w:sz w:val="20"/>
          <w:szCs w:val="20"/>
          <w:lang w:val="es-MX" w:eastAsia="es-MX"/>
        </w:rPr>
        <w:t xml:space="preserve"> de 2018 la Unidad de Integración y Reparación para la Victimas no apropió recursos financieros para el rubro de publicidad.</w:t>
      </w:r>
    </w:p>
    <w:p w14:paraId="4010D6BA" w14:textId="77777777" w:rsidR="007030F0" w:rsidRPr="001369DA" w:rsidRDefault="007030F0" w:rsidP="007030F0">
      <w:pPr>
        <w:pStyle w:val="Ttulo1"/>
        <w:spacing w:before="480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2.1. Otros temas relacionados con publicidad y publicaciones.</w:t>
      </w:r>
    </w:p>
    <w:p w14:paraId="610A8711" w14:textId="77777777" w:rsidR="007030F0" w:rsidRPr="00633A77" w:rsidRDefault="007030F0" w:rsidP="007030F0">
      <w:pPr>
        <w:rPr>
          <w:sz w:val="4"/>
          <w:lang w:val="es-ES" w:eastAsia="es-ES"/>
        </w:rPr>
      </w:pPr>
    </w:p>
    <w:p w14:paraId="6BEC8DC9" w14:textId="77777777" w:rsidR="007030F0" w:rsidRDefault="007030F0" w:rsidP="007030F0">
      <w:pPr>
        <w:pStyle w:val="Ttulo2"/>
        <w:spacing w:before="200"/>
        <w:jc w:val="both"/>
        <w:rPr>
          <w:rFonts w:ascii="Century Gothic" w:hAnsi="Century Gothic" w:cs="Arial"/>
          <w:b w:val="0"/>
          <w:color w:val="auto"/>
          <w:szCs w:val="20"/>
          <w:lang w:eastAsia="es-CO"/>
        </w:rPr>
      </w:pPr>
      <w:r w:rsidRPr="001369DA">
        <w:rPr>
          <w:rFonts w:ascii="Century Gothic" w:hAnsi="Century Gothic" w:cs="Arial"/>
          <w:b w:val="0"/>
          <w:color w:val="auto"/>
          <w:szCs w:val="20"/>
          <w:lang w:eastAsia="es-CO"/>
        </w:rPr>
        <w:t xml:space="preserve">A continuación, se relaciona los temas </w:t>
      </w:r>
      <w:r w:rsidR="009254B0">
        <w:rPr>
          <w:rFonts w:ascii="Century Gothic" w:hAnsi="Century Gothic" w:cs="Arial"/>
          <w:b w:val="0"/>
          <w:color w:val="auto"/>
          <w:szCs w:val="20"/>
          <w:lang w:eastAsia="es-CO"/>
        </w:rPr>
        <w:t>mencionados</w:t>
      </w:r>
      <w:r w:rsidRPr="001369DA">
        <w:rPr>
          <w:rFonts w:ascii="Century Gothic" w:hAnsi="Century Gothic" w:cs="Arial"/>
          <w:b w:val="0"/>
          <w:color w:val="auto"/>
          <w:szCs w:val="20"/>
          <w:lang w:eastAsia="es-CO"/>
        </w:rPr>
        <w:t xml:space="preserve"> en la norma como son la </w:t>
      </w:r>
      <w:r w:rsidRPr="001369DA">
        <w:rPr>
          <w:rFonts w:ascii="Century Gothic" w:hAnsi="Century Gothic"/>
          <w:b w:val="0"/>
          <w:color w:val="auto"/>
          <w:szCs w:val="20"/>
          <w:lang w:val="es-MX" w:eastAsia="es-MX"/>
        </w:rPr>
        <w:t>Imprenta Nacional, gastos suntuarios, la impresión, suministro y utilización con cargo al Tesoro Público</w:t>
      </w:r>
      <w:r w:rsidRPr="001369DA">
        <w:rPr>
          <w:rFonts w:ascii="Century Gothic" w:hAnsi="Century Gothic" w:cs="Arial"/>
          <w:b w:val="0"/>
          <w:color w:val="auto"/>
          <w:szCs w:val="20"/>
          <w:lang w:eastAsia="es-CO"/>
        </w:rPr>
        <w:t>. Al respecto la dependencia manifiesta que se cumple con la normatividad:</w:t>
      </w:r>
    </w:p>
    <w:p w14:paraId="6D084676" w14:textId="77777777" w:rsidR="00EB21AA" w:rsidRPr="00EB21AA" w:rsidRDefault="00EB21AA" w:rsidP="00EB21AA">
      <w:pPr>
        <w:rPr>
          <w:lang w:val="es-ES" w:eastAsia="es-CO"/>
        </w:rPr>
      </w:pPr>
    </w:p>
    <w:tbl>
      <w:tblPr>
        <w:tblW w:w="979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752"/>
        <w:gridCol w:w="1539"/>
        <w:gridCol w:w="2077"/>
      </w:tblGrid>
      <w:tr w:rsidR="007030F0" w:rsidRPr="00A23CA5" w14:paraId="56C8D5A6" w14:textId="77777777" w:rsidTr="00F64245">
        <w:trPr>
          <w:trHeight w:val="44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84132D" w14:textId="77777777" w:rsidR="007030F0" w:rsidRPr="00A23CA5" w:rsidRDefault="007030F0" w:rsidP="009E6F3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23CA5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5752" w:type="dxa"/>
            <w:shd w:val="clear" w:color="auto" w:fill="auto"/>
            <w:noWrap/>
            <w:vAlign w:val="center"/>
            <w:hideMark/>
          </w:tcPr>
          <w:p w14:paraId="72E09E5B" w14:textId="77777777" w:rsidR="007030F0" w:rsidRPr="00A23CA5" w:rsidRDefault="007030F0" w:rsidP="009E6F3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Preguntas al proceso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E27F063" w14:textId="77777777" w:rsidR="007030F0" w:rsidRPr="00A23CA5" w:rsidRDefault="007030F0" w:rsidP="009E6F3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Respuesta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4D3DCC06" w14:textId="77777777" w:rsidR="007030F0" w:rsidRPr="00A23CA5" w:rsidRDefault="007030F0" w:rsidP="009E6F3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7030F0" w:rsidRPr="00A23CA5" w14:paraId="04846EE7" w14:textId="77777777" w:rsidTr="00F64245">
        <w:trPr>
          <w:trHeight w:val="1019"/>
        </w:trPr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287A" w14:textId="77777777" w:rsidR="007030F0" w:rsidRPr="00A23CA5" w:rsidRDefault="007030F0" w:rsidP="009E6F3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23CA5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575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52D517" w14:textId="77777777" w:rsidR="007030F0" w:rsidRPr="00A23CA5" w:rsidRDefault="007030F0" w:rsidP="009E6F3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En el cumplimiento del Art. 13 del Decreto 1737 de 1998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¿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El personal de la Entidad realizan gastos suntuarios, la impresión, suministro y utilización con cargo al Tesoro Público de tarjetas de presentación, ¿de Navidad, conmemoraciones, aniversarios o similares y el uso con fines personales de los servicios comunicación?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5CE76" w14:textId="77777777" w:rsidR="007030F0" w:rsidRPr="00A23CA5" w:rsidRDefault="007030F0" w:rsidP="009E6F3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14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"/>
            </w:tblGrid>
            <w:tr w:rsidR="007030F0" w:rsidRPr="00A23CA5" w14:paraId="7D551ABC" w14:textId="77777777" w:rsidTr="006B0D70">
              <w:trPr>
                <w:trHeight w:val="1088"/>
                <w:tblCellSpacing w:w="0" w:type="dxa"/>
              </w:trPr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E6F6B" w14:textId="77777777" w:rsidR="007030F0" w:rsidRPr="00A23CA5" w:rsidRDefault="007030F0" w:rsidP="009E6F3E">
                  <w:pPr>
                    <w:spacing w:after="0"/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CO" w:eastAsia="es-CO"/>
                    </w:rPr>
                    <w:drawing>
                      <wp:anchor distT="0" distB="0" distL="114300" distR="114300" simplePos="0" relativeHeight="251659264" behindDoc="0" locked="0" layoutInCell="1" allowOverlap="1" wp14:anchorId="7BEF485E" wp14:editId="25B840FA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-220345</wp:posOffset>
                        </wp:positionV>
                        <wp:extent cx="371475" cy="609600"/>
                        <wp:effectExtent l="0" t="0" r="0" b="0"/>
                        <wp:wrapNone/>
                        <wp:docPr id="7" name="Imagen 7" descr="C:\Users\JOSE~1.MUR\AppData\Local\Temp\msohtmlclip1\01\clip_image001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OSE~1.MUR\AppData\Local\Temp\msohtmlclip1\01\clip_image001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CO" w:eastAsia="es-CO"/>
                    </w:rPr>
                    <w:drawing>
                      <wp:anchor distT="0" distB="0" distL="114300" distR="114300" simplePos="0" relativeHeight="251660288" behindDoc="0" locked="0" layoutInCell="1" allowOverlap="1" wp14:anchorId="28A16FFE" wp14:editId="54522D74">
                        <wp:simplePos x="0" y="0"/>
                        <wp:positionH relativeFrom="column">
                          <wp:posOffset>664845</wp:posOffset>
                        </wp:positionH>
                        <wp:positionV relativeFrom="paragraph">
                          <wp:posOffset>-224155</wp:posOffset>
                        </wp:positionV>
                        <wp:extent cx="371475" cy="609600"/>
                        <wp:effectExtent l="0" t="0" r="0" b="0"/>
                        <wp:wrapNone/>
                        <wp:docPr id="6" name="Imagen 6" descr="C:\Users\JOSE~1.MUR\AppData\Local\Temp\msohtmlclip1\01\clip_image002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OSE~1.MUR\AppData\Local\Temp\msohtmlclip1\01\clip_image002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23CA5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SI    </w:t>
                  </w:r>
                  <w:r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           </w:t>
                  </w:r>
                  <w:r w:rsidRPr="00A23CA5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NO</w:t>
                  </w:r>
                </w:p>
              </w:tc>
            </w:tr>
          </w:tbl>
          <w:p w14:paraId="44EF8759" w14:textId="77777777" w:rsidR="007030F0" w:rsidRPr="00A23CA5" w:rsidRDefault="007030F0" w:rsidP="009E6F3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282E49" w14:textId="77777777" w:rsidR="007030F0" w:rsidRPr="00A23CA5" w:rsidRDefault="007030F0" w:rsidP="009E6F3E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030F0" w:rsidRPr="00A23CA5" w14:paraId="17626148" w14:textId="77777777" w:rsidTr="00F64245">
        <w:trPr>
          <w:trHeight w:val="100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9F5939" w14:textId="77777777" w:rsidR="007030F0" w:rsidRPr="00A23CA5" w:rsidRDefault="007030F0" w:rsidP="009E6F3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23CA5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14:paraId="672EE095" w14:textId="77777777" w:rsidR="007030F0" w:rsidRPr="00A23CA5" w:rsidRDefault="007030F0" w:rsidP="009E6F3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En el cumplimiento del Art. 8 del Decreto 3667 de 2006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¿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la Entidad contrata o realiza directamente la edición, impresión o publicación de documentos que no estén relacionados con las funciones que legalmente deben cumplir, y/o contrata o patrocina la impresión de ediciones de lujo, y/o de impresiones con policromías?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0C6A9E28" w14:textId="77777777" w:rsidR="007030F0" w:rsidRPr="00A23CA5" w:rsidRDefault="007030F0" w:rsidP="009E6F3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14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"/>
            </w:tblGrid>
            <w:tr w:rsidR="007030F0" w:rsidRPr="00A23CA5" w14:paraId="0FBF74FB" w14:textId="77777777" w:rsidTr="006B0D70">
              <w:trPr>
                <w:trHeight w:val="1123"/>
                <w:tblCellSpacing w:w="0" w:type="dxa"/>
              </w:trPr>
              <w:tc>
                <w:tcPr>
                  <w:tcW w:w="1487" w:type="dxa"/>
                  <w:shd w:val="clear" w:color="auto" w:fill="auto"/>
                  <w:vAlign w:val="center"/>
                  <w:hideMark/>
                </w:tcPr>
                <w:p w14:paraId="714218D4" w14:textId="77777777" w:rsidR="007030F0" w:rsidRPr="00A23CA5" w:rsidRDefault="007030F0" w:rsidP="009E6F3E">
                  <w:pPr>
                    <w:spacing w:after="0"/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CO" w:eastAsia="es-CO"/>
                    </w:rPr>
                    <w:drawing>
                      <wp:anchor distT="0" distB="0" distL="114300" distR="114300" simplePos="0" relativeHeight="251661312" behindDoc="0" locked="0" layoutInCell="1" allowOverlap="1" wp14:anchorId="6FA68E3C" wp14:editId="63AB7E7E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-69850</wp:posOffset>
                        </wp:positionV>
                        <wp:extent cx="371475" cy="304800"/>
                        <wp:effectExtent l="0" t="0" r="0" b="0"/>
                        <wp:wrapNone/>
                        <wp:docPr id="1" name="Imagen 1" descr="C:\Users\JOSE~1.MUR\AppData\Local\Temp\msohtmlclip1\01\clip_image003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OSE~1.MUR\AppData\Local\Temp\msohtmlclip1\01\clip_image003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CO" w:eastAsia="es-CO"/>
                    </w:rPr>
                    <w:drawing>
                      <wp:anchor distT="0" distB="0" distL="114300" distR="114300" simplePos="0" relativeHeight="251662336" behindDoc="0" locked="0" layoutInCell="1" allowOverlap="1" wp14:anchorId="45209ACA" wp14:editId="0EDF0A42">
                        <wp:simplePos x="0" y="0"/>
                        <wp:positionH relativeFrom="column">
                          <wp:posOffset>732155</wp:posOffset>
                        </wp:positionH>
                        <wp:positionV relativeFrom="paragraph">
                          <wp:posOffset>-69850</wp:posOffset>
                        </wp:positionV>
                        <wp:extent cx="371475" cy="304800"/>
                        <wp:effectExtent l="0" t="0" r="0" b="0"/>
                        <wp:wrapNone/>
                        <wp:docPr id="3" name="Imagen 3" descr="C:\Users\JOSE~1.MUR\AppData\Local\Temp\msohtmlclip1\01\clip_image004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JOSE~1.MUR\AppData\Local\Temp\msohtmlclip1\01\clip_image004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 SI               </w:t>
                  </w:r>
                  <w:r w:rsidRPr="00A23CA5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 NO</w:t>
                  </w:r>
                </w:p>
              </w:tc>
            </w:tr>
          </w:tbl>
          <w:p w14:paraId="3EF76D51" w14:textId="77777777" w:rsidR="007030F0" w:rsidRPr="00A23CA5" w:rsidRDefault="007030F0" w:rsidP="009E6F3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352995BE" w14:textId="77777777" w:rsidR="007030F0" w:rsidRPr="00A23CA5" w:rsidRDefault="007030F0" w:rsidP="009E6F3E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</w:tbl>
    <w:p w14:paraId="343AD708" w14:textId="77777777" w:rsidR="007030F0" w:rsidRPr="001D6335" w:rsidRDefault="007030F0" w:rsidP="007030F0">
      <w:pPr>
        <w:pStyle w:val="Ttulo1"/>
        <w:numPr>
          <w:ilvl w:val="0"/>
          <w:numId w:val="36"/>
        </w:numPr>
        <w:spacing w:before="480"/>
        <w:rPr>
          <w:rFonts w:ascii="Century Gothic" w:hAnsi="Century Gothic"/>
          <w:b/>
          <w:sz w:val="20"/>
          <w:szCs w:val="20"/>
        </w:rPr>
      </w:pPr>
      <w:r w:rsidRPr="001D6335">
        <w:rPr>
          <w:rFonts w:ascii="Century Gothic" w:hAnsi="Century Gothic"/>
          <w:b/>
          <w:color w:val="auto"/>
          <w:sz w:val="24"/>
          <w:szCs w:val="20"/>
        </w:rPr>
        <w:t>SERVICIOS ADMINISTRATIVOS.</w:t>
      </w:r>
    </w:p>
    <w:p w14:paraId="50581982" w14:textId="77777777" w:rsidR="00080481" w:rsidRDefault="00080481" w:rsidP="007030F0">
      <w:pPr>
        <w:rPr>
          <w:lang w:val="es-ES" w:eastAsia="es-ES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347"/>
        <w:gridCol w:w="1120"/>
        <w:gridCol w:w="1499"/>
        <w:gridCol w:w="1560"/>
        <w:gridCol w:w="3685"/>
      </w:tblGrid>
      <w:tr w:rsidR="00080481" w:rsidRPr="00080481" w14:paraId="044AC287" w14:textId="77777777" w:rsidTr="0002118C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4A1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55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2D9E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CB3CF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080481" w:rsidRPr="00080481" w14:paraId="741562FB" w14:textId="77777777" w:rsidTr="0002118C">
        <w:trPr>
          <w:trHeight w:val="1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C9B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C8E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9AF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julio - septiembre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DF5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julio - septiembre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629C" w14:textId="77777777" w:rsidR="00080481" w:rsidRPr="00080481" w:rsidRDefault="00080481" w:rsidP="0008048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del valor pagado entre julio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1D603" w14:textId="77777777" w:rsidR="00080481" w:rsidRDefault="00080481" w:rsidP="0008048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Al realizar el análisis del comportamiento en la variación de servicios públicos se observa que la entidad presentó un aumento en los rubros:</w:t>
            </w:r>
          </w:p>
          <w:p w14:paraId="750BF4AC" w14:textId="52F16581" w:rsidR="00080481" w:rsidRDefault="00080481" w:rsidP="0008048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Aunque se tuvo un aumento significativo en el consumo de </w:t>
            </w:r>
            <w:r w:rsidR="001612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los 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servicio</w:t>
            </w:r>
            <w:r w:rsidR="001612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 públicos a nivel general, ya que se registran en cada uno de estos rubros </w:t>
            </w:r>
            <w:r w:rsidR="00F6424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 consumo</w:t>
            </w:r>
            <w:r w:rsidR="001612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la regionales y las diferentes sedes centrales de la UARIV, lo anterior muestra un incremento total del 783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.89</w:t>
            </w:r>
            <w:r w:rsidR="001612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14:paraId="66B6648A" w14:textId="77777777" w:rsidR="00080481" w:rsidRDefault="00080481" w:rsidP="0008048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  <w:t xml:space="preserve"> </w:t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2.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El servicio de energía presentó 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incremento más elevado 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el tercer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trime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stre del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2017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 un 803.76% que en pesos representa un incremento de   $</w:t>
            </w:r>
            <w:r w:rsidR="00AD238B" w:rsidRP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AD238B" w:rsidRP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444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AD238B" w:rsidRP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358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AD238B" w:rsidRP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983</w:t>
            </w:r>
          </w:p>
          <w:p w14:paraId="7E3BFE49" w14:textId="77777777" w:rsidR="00AD238B" w:rsidRDefault="00080481" w:rsidP="00AD238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3. 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el servicio de Gas 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Natural presenta el incremento más alto con el 976.67%, que en pesos representa un incremento de   $</w:t>
            </w:r>
            <w:r w:rsidR="00AD238B" w:rsidRP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.501.923</w:t>
            </w:r>
          </w:p>
          <w:p w14:paraId="5E9735E5" w14:textId="77777777" w:rsidR="00080481" w:rsidRDefault="00AD238B" w:rsidP="0008048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  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="00080481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4.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La cantidad de líneas y los planes de telefonía móvil celular son exactamente los mismos en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2017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.  El aumento en el consumo se da principalmente en los servicios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prestados en las sedes territoriales y las direcciones a nivel central</w:t>
            </w:r>
          </w:p>
          <w:p w14:paraId="69FB8A4D" w14:textId="77777777" w:rsidR="0098531B" w:rsidRDefault="00080481" w:rsidP="009254B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5.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 El consumo de telefonía fija en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2017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muestra un comportamiento </w:t>
            </w:r>
            <w:r w:rsidR="009254B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incremento en el consumo de 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768.58</w:t>
            </w:r>
            <w:r w:rsidR="009254B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en comparación a la vigencia anterior</w:t>
            </w:r>
            <w:r w:rsidR="0098531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se recomienda tener mayor control 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este</w:t>
            </w:r>
            <w:r w:rsidR="009254B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14:paraId="71F58C54" w14:textId="77777777" w:rsidR="00080481" w:rsidRPr="00080481" w:rsidRDefault="009254B0" w:rsidP="009254B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="00080481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6.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 aumento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el consumo del rubro de otros servicios públicos a través del cual se paga el servicio de AVANTEL, responde a que en </w:t>
            </w:r>
            <w:r w:rsidR="005B281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2018</w:t>
            </w:r>
            <w:r w:rsidR="00AD23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no se controló el servicio</w:t>
            </w:r>
            <w:r w:rsidR="00080481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EB21AA" w:rsidRPr="00080481" w14:paraId="095C3EF4" w14:textId="77777777" w:rsidTr="0002118C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29BF" w14:textId="77777777" w:rsidR="00EB21AA" w:rsidRPr="00080481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A41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ACUEDUCTO ALCANTARILLADO Y ASEO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873" w14:textId="77777777" w:rsidR="00EB21AA" w:rsidRPr="00080481" w:rsidRDefault="00EB21AA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17.785.486,39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ED63" w14:textId="77777777" w:rsidR="00EB21AA" w:rsidRPr="00080481" w:rsidRDefault="006340A7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340A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147</w:t>
            </w:r>
            <w:r w:rsid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6340A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687</w:t>
            </w:r>
            <w:r w:rsid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6340A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F875" w14:textId="77777777" w:rsidR="00EB21AA" w:rsidRPr="00080481" w:rsidRDefault="008F1211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730.38</w:t>
            </w:r>
            <w:r w:rsidR="00EB21AA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68656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080481" w14:paraId="0CCF006E" w14:textId="77777777" w:rsidTr="0002118C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27A" w14:textId="77777777" w:rsidR="00EB21AA" w:rsidRPr="00080481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FC4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394" w14:textId="77777777" w:rsidR="00EB21AA" w:rsidRPr="00080481" w:rsidRDefault="00EB21AA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179.698.585,27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A982" w14:textId="77777777" w:rsidR="00EB21AA" w:rsidRPr="00080481" w:rsidRDefault="009C51E6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624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057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56</w:t>
            </w:r>
            <w:r w:rsid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CA1F0" w14:textId="77777777" w:rsidR="00EB21AA" w:rsidRPr="00080481" w:rsidRDefault="008F1211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803.76</w:t>
            </w:r>
            <w:r w:rsidR="00EB21AA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D597D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080481" w14:paraId="71F3ED43" w14:textId="77777777" w:rsidTr="0002118C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44A3" w14:textId="77777777" w:rsidR="00EB21AA" w:rsidRPr="00080481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8C3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GAS NATURAL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F2" w14:textId="77777777" w:rsidR="00EB21AA" w:rsidRPr="00080481" w:rsidRDefault="00EB21AA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153.779,00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320A" w14:textId="77777777" w:rsidR="00EB21AA" w:rsidRPr="00080481" w:rsidRDefault="009C51E6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655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9C51E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9874" w14:textId="77777777" w:rsidR="00EB21AA" w:rsidRPr="00080481" w:rsidRDefault="00161257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976.67</w:t>
            </w:r>
            <w:r w:rsidR="00EB21AA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6666C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080481" w14:paraId="6CB06DC3" w14:textId="77777777" w:rsidTr="0002118C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DBD" w14:textId="77777777" w:rsidR="00EB21AA" w:rsidRPr="00080481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2CD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TELEFONIA MOVIL CELULAR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5D3" w14:textId="77777777" w:rsidR="00EB21AA" w:rsidRPr="00080481" w:rsidRDefault="00EB21AA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6.468.328,19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E5A50" w14:textId="77777777" w:rsidR="00EB21AA" w:rsidRPr="00080481" w:rsidRDefault="007D3F98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54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589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88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B6FE0" w14:textId="77777777" w:rsidR="00EB21AA" w:rsidRPr="00080481" w:rsidRDefault="00161257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743.95</w:t>
            </w:r>
            <w:r w:rsidR="00EB21AA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FC2C8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080481" w14:paraId="352C91BE" w14:textId="77777777" w:rsidTr="0002118C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BC76" w14:textId="77777777" w:rsidR="00EB21AA" w:rsidRPr="00080481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6FE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TELEFONO, FAX Y OTROS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5DE" w14:textId="77777777" w:rsidR="00EB21AA" w:rsidRPr="00080481" w:rsidRDefault="00EB21AA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16.753.377,97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1D4E" w14:textId="77777777" w:rsidR="00EB21AA" w:rsidRPr="00080481" w:rsidRDefault="007D3F98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145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517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7D3F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30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3C9C" w14:textId="77777777" w:rsidR="00EB21AA" w:rsidRPr="00080481" w:rsidRDefault="00161257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768.58</w:t>
            </w:r>
            <w:r w:rsidR="00EB21AA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10F81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EB21AA" w:rsidRPr="00080481" w14:paraId="39C72C7F" w14:textId="77777777" w:rsidTr="0002118C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39D" w14:textId="77777777" w:rsidR="00EB21AA" w:rsidRPr="00080481" w:rsidRDefault="00EB21AA" w:rsidP="00EB21A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C7D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OTROS SERVICIOS PÚBLICOS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8ED" w14:textId="77777777" w:rsidR="00EB21AA" w:rsidRPr="00080481" w:rsidRDefault="00EB21AA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10.536.246,00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08D21" w14:textId="77777777" w:rsidR="00EB21AA" w:rsidRPr="00080481" w:rsidRDefault="00625F5D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25F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625F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780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625F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0D72" w14:textId="77777777" w:rsidR="00EB21AA" w:rsidRPr="00080481" w:rsidRDefault="00161257" w:rsidP="0016125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581.27</w:t>
            </w:r>
            <w:r w:rsidR="00EB21AA" w:rsidRPr="000804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79BF8" w14:textId="77777777" w:rsidR="00EB21AA" w:rsidRPr="00080481" w:rsidRDefault="00EB21AA" w:rsidP="00EB21AA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080481" w:rsidRPr="00080481" w14:paraId="1788AC64" w14:textId="77777777" w:rsidTr="0002118C">
        <w:trPr>
          <w:trHeight w:val="54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ED8" w14:textId="77777777" w:rsidR="00080481" w:rsidRPr="00080481" w:rsidRDefault="00080481" w:rsidP="008F12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B9D" w14:textId="77777777" w:rsidR="00080481" w:rsidRPr="00080481" w:rsidRDefault="00EB21AA" w:rsidP="008F12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231.395.802,82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DA40" w14:textId="77777777" w:rsidR="00080481" w:rsidRPr="00080481" w:rsidRDefault="008F1211" w:rsidP="008F12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F121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8F121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045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8F121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289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8F121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9899" w14:textId="77777777" w:rsidR="00080481" w:rsidRPr="00080481" w:rsidRDefault="00161257" w:rsidP="008F121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783.89</w:t>
            </w:r>
            <w:r w:rsidR="00080481" w:rsidRPr="0008048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40D22" w14:textId="77777777" w:rsidR="00080481" w:rsidRPr="00080481" w:rsidRDefault="00080481" w:rsidP="0008048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714A4667" w14:textId="77777777" w:rsidR="007030F0" w:rsidRPr="001369DA" w:rsidRDefault="007030F0" w:rsidP="007030F0">
      <w:pPr>
        <w:pStyle w:val="Ttulo1"/>
        <w:numPr>
          <w:ilvl w:val="1"/>
          <w:numId w:val="37"/>
        </w:numPr>
        <w:spacing w:before="480"/>
        <w:ind w:hanging="40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Vehículos.</w:t>
      </w:r>
    </w:p>
    <w:p w14:paraId="497BC199" w14:textId="77777777" w:rsidR="007030F0" w:rsidRPr="00633A77" w:rsidRDefault="007030F0" w:rsidP="007030F0">
      <w:pPr>
        <w:rPr>
          <w:rFonts w:ascii="Century Gothic" w:hAnsi="Century Gothic" w:cs="Arial"/>
          <w:sz w:val="2"/>
          <w:szCs w:val="20"/>
          <w:lang w:val="es-CO" w:eastAsia="es-CO"/>
        </w:rPr>
      </w:pPr>
    </w:p>
    <w:p w14:paraId="2BBEDEE1" w14:textId="77777777" w:rsidR="007030F0" w:rsidRDefault="007030F0" w:rsidP="007030F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</w: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</w: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</w: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  <w:t>Dando</w:t>
      </w:r>
      <w:r w:rsidRPr="00BF17DA">
        <w:rPr>
          <w:rFonts w:ascii="Century Gothic" w:hAnsi="Century Gothic" w:cs="Arial"/>
          <w:sz w:val="20"/>
          <w:szCs w:val="20"/>
          <w:lang w:val="es-CO" w:eastAsia="es-CO"/>
        </w:rPr>
        <w:t xml:space="preserve"> cumplimiento al Art. 17 a 19 Capitulo IV del Decreto1737 de 1998 en temas relacionados en servicios administrativos – vehículos, se presenta a continuación la tabla donde se relaciona los pagos por cada concepto y una breve explicación de la dependencia</w:t>
      </w:r>
      <w:r>
        <w:rPr>
          <w:rFonts w:ascii="Century Gothic" w:hAnsi="Century Gothic" w:cs="Arial"/>
          <w:sz w:val="20"/>
          <w:szCs w:val="20"/>
          <w:lang w:val="es-CO" w:eastAsia="es-CO"/>
        </w:rPr>
        <w:t>.</w:t>
      </w:r>
    </w:p>
    <w:tbl>
      <w:tblPr>
        <w:tblW w:w="9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106"/>
        <w:gridCol w:w="1222"/>
        <w:gridCol w:w="1176"/>
        <w:gridCol w:w="561"/>
        <w:gridCol w:w="1403"/>
        <w:gridCol w:w="1120"/>
        <w:gridCol w:w="499"/>
        <w:gridCol w:w="1230"/>
        <w:gridCol w:w="1257"/>
      </w:tblGrid>
      <w:tr w:rsidR="00A25CDF" w:rsidRPr="00A25CDF" w14:paraId="1E15FD91" w14:textId="77777777" w:rsidTr="00F64245">
        <w:trPr>
          <w:trHeight w:val="737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E7A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83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05C3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0E2B5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A25CDF" w:rsidRPr="00A25CDF" w14:paraId="434621BC" w14:textId="77777777" w:rsidTr="00F64245">
        <w:trPr>
          <w:trHeight w:val="456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5E9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B5D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Costo del servicio (Vehículos)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1F5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F4E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23B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del valor pagado entre julio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9C4AF" w14:textId="77777777" w:rsidR="007E786B" w:rsidRPr="00A57D63" w:rsidRDefault="007E786B" w:rsidP="00A25CDF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No s</w:t>
            </w:r>
            <w:r w:rsidR="00A25CDF"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 </w:t>
            </w: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puede establecer la comparación debido a que no se presentó la facturación del trimestre por las razones aquí expuestas: </w:t>
            </w:r>
          </w:p>
          <w:p w14:paraId="11CB197C" w14:textId="77777777" w:rsidR="00A57D63" w:rsidRPr="00A57D63" w:rsidRDefault="00A25CDF" w:rsidP="00A57D6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br/>
              <w:t xml:space="preserve">1. </w:t>
            </w:r>
            <w:r w:rsidR="00A57D63"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 julio se utilizó un total de 30 camionetas de la siguiente manera: Direcciones territoriales 20, Oficinas adscriptas a las Direcciones Territoriales 7 Dirección General 1, Subdirección General 1 y Secretaria General 1.</w:t>
            </w:r>
          </w:p>
          <w:p w14:paraId="379D6E75" w14:textId="77777777" w:rsidR="00A57D63" w:rsidRPr="00A57D63" w:rsidRDefault="00A57D63" w:rsidP="00A57D6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 agosto se Utilizó un total de 31 camionetas de la siguiente manera: Direcciones territoriales 20, Oficinas adscriptas a las Direcciones Territoriales 8, Dirección General 1, Subdirección General 1 y Secretaria General 1.</w:t>
            </w:r>
          </w:p>
          <w:p w14:paraId="2DA35FC8" w14:textId="77777777" w:rsidR="00A57D63" w:rsidRPr="00A57D63" w:rsidRDefault="00A57D63" w:rsidP="00A57D6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Servicio por demanda contrato No 1390 de 2018: </w:t>
            </w:r>
          </w:p>
          <w:p w14:paraId="6F9E44C9" w14:textId="77777777" w:rsidR="00A57D63" w:rsidRPr="00A57D63" w:rsidRDefault="00A57D63" w:rsidP="00A57D6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 julio se atendieron un total de 148 solicitudes de camioneta por demanda de las cuales se prestaron 137 servicios y se cancelaron 11.</w:t>
            </w:r>
          </w:p>
          <w:p w14:paraId="25C1B7A6" w14:textId="77777777" w:rsidR="007E786B" w:rsidRPr="00A57D63" w:rsidRDefault="00A57D63" w:rsidP="00A57D6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 agosto se atendió un total de 162 solicitudes de camionetas por demanda de las cuales se prestaron 142 y se cancelaron 20.</w:t>
            </w:r>
          </w:p>
          <w:p w14:paraId="13AF330C" w14:textId="77777777" w:rsidR="00A25CDF" w:rsidRPr="00A57D63" w:rsidRDefault="00A25CDF" w:rsidP="00A25CDF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br/>
              <w:t>2</w:t>
            </w:r>
            <w:r w:rsidR="00A57D63" w:rsidRPr="00A57D6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 Esta variación se debe al incremento de las comisiones realizadas las cuales se incrementaron, puesto que para el 2018 se inspeccionaron más inmuebles alcanzando casi la cobertura del 70% de los bienes inspeccionados.</w:t>
            </w:r>
          </w:p>
        </w:tc>
      </w:tr>
      <w:tr w:rsidR="00A25CDF" w:rsidRPr="00A25CDF" w14:paraId="26BDEF1D" w14:textId="77777777" w:rsidTr="00F64245">
        <w:trPr>
          <w:trHeight w:val="777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02FC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67A5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693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facturado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2E0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del servicio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489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 hora extra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A98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facturado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65A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del servicio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26E" w14:textId="77777777" w:rsidR="00A25CDF" w:rsidRPr="00A25CDF" w:rsidRDefault="00A25CDF" w:rsidP="00A25CD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 hora extra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9FD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0CB8E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381240" w:rsidRPr="00A25CDF" w14:paraId="318DCD02" w14:textId="77777777" w:rsidTr="00F64245">
        <w:trPr>
          <w:trHeight w:val="726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EDFF" w14:textId="77777777" w:rsidR="00381240" w:rsidRPr="00A25CDF" w:rsidRDefault="00381240" w:rsidP="0038124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2DE5" w14:textId="77777777" w:rsidR="00381240" w:rsidRPr="00A25CDF" w:rsidRDefault="00381240" w:rsidP="0038124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Administrativa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75C" w14:textId="77777777" w:rsidR="007D15A9" w:rsidRPr="00DA1DAB" w:rsidRDefault="007D15A9" w:rsidP="007D15A9">
            <w:pPr>
              <w:spacing w:after="0"/>
              <w:jc w:val="center"/>
              <w:rPr>
                <w:rFonts w:ascii="Century Gothic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hAnsi="Century Gothic"/>
                <w:bCs/>
                <w:color w:val="000000"/>
                <w:sz w:val="14"/>
                <w:szCs w:val="14"/>
              </w:rPr>
              <w:t xml:space="preserve">   217.836.480,00 </w:t>
            </w:r>
          </w:p>
          <w:p w14:paraId="3935974A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6E4" w14:textId="77777777" w:rsidR="00DA1DAB" w:rsidRPr="00DA1DAB" w:rsidRDefault="00DA1DAB" w:rsidP="00DA1DAB">
            <w:pPr>
              <w:spacing w:after="0"/>
              <w:jc w:val="center"/>
              <w:rPr>
                <w:rFonts w:ascii="Century Gothic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hAnsi="Century Gothic"/>
                <w:bCs/>
                <w:color w:val="000000"/>
                <w:sz w:val="14"/>
                <w:szCs w:val="14"/>
              </w:rPr>
              <w:t xml:space="preserve">   217.836.480,00 </w:t>
            </w:r>
          </w:p>
          <w:p w14:paraId="21EA2DD5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86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5D8" w14:textId="77777777" w:rsidR="00DA1DAB" w:rsidRPr="00DA1DAB" w:rsidRDefault="00DA1DAB" w:rsidP="00DA1DAB">
            <w:pPr>
              <w:spacing w:after="0"/>
              <w:jc w:val="center"/>
              <w:rPr>
                <w:rFonts w:ascii="Century Gothic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hAnsi="Century Gothic"/>
                <w:color w:val="000000"/>
                <w:sz w:val="14"/>
                <w:szCs w:val="14"/>
              </w:rPr>
              <w:t xml:space="preserve">   669.780.464,64 </w:t>
            </w:r>
          </w:p>
          <w:p w14:paraId="6D312F26" w14:textId="77777777" w:rsidR="00381240" w:rsidRPr="00DA1DAB" w:rsidRDefault="00381240" w:rsidP="00326C33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C349" w14:textId="77777777" w:rsidR="00DA1DAB" w:rsidRPr="00DA1DAB" w:rsidRDefault="00DA1DAB" w:rsidP="00DA1DAB">
            <w:pPr>
              <w:spacing w:after="0"/>
              <w:jc w:val="center"/>
              <w:rPr>
                <w:rFonts w:ascii="Century Gothic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hAnsi="Century Gothic"/>
                <w:color w:val="000000"/>
                <w:sz w:val="14"/>
                <w:szCs w:val="14"/>
              </w:rPr>
              <w:t xml:space="preserve">   669.780.464,64 </w:t>
            </w:r>
          </w:p>
          <w:p w14:paraId="5352925F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1F6" w14:textId="77777777" w:rsidR="00381240" w:rsidRPr="00A25CDF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6FFA" w14:textId="77777777" w:rsidR="00381240" w:rsidRPr="00A25CDF" w:rsidRDefault="00AD238B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207.46</w:t>
            </w:r>
            <w:r w:rsidR="00381240"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9D8" w14:textId="77777777" w:rsidR="00381240" w:rsidRPr="00A25CDF" w:rsidRDefault="00381240" w:rsidP="00381240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381240" w:rsidRPr="00A25CDF" w14:paraId="183A37EF" w14:textId="77777777" w:rsidTr="00F64245">
        <w:trPr>
          <w:trHeight w:val="870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1E4" w14:textId="77777777" w:rsidR="00381240" w:rsidRPr="00A25CDF" w:rsidRDefault="00381240" w:rsidP="0038124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B56" w14:textId="77777777" w:rsidR="00381240" w:rsidRPr="00A25CDF" w:rsidRDefault="00381240" w:rsidP="0038124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Fondo de Reparación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B554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47.621.000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7B8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47.621.000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FF97" w14:textId="77777777" w:rsidR="00381240" w:rsidRPr="00DA1DAB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436" w14:textId="77777777" w:rsidR="00381240" w:rsidRPr="00DA1DAB" w:rsidRDefault="00AC5DD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73.285.800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1C16" w14:textId="77777777" w:rsidR="00381240" w:rsidRPr="00DA1DAB" w:rsidRDefault="00A924C8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73.0</w:t>
            </w:r>
            <w:r w:rsidR="006174FB" w:rsidRPr="00DA1DA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85.800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432" w14:textId="77777777" w:rsidR="00381240" w:rsidRPr="00A25CDF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196" w14:textId="77777777" w:rsidR="00381240" w:rsidRPr="00A25CDF" w:rsidRDefault="006B32E9" w:rsidP="00F807C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53.47</w:t>
            </w:r>
            <w:r w:rsidR="00381240" w:rsidRPr="00A25CD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603" w14:textId="77777777" w:rsidR="00381240" w:rsidRPr="00A25CDF" w:rsidRDefault="00381240" w:rsidP="00381240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381240" w:rsidRPr="00A25CDF" w14:paraId="1F0126F3" w14:textId="77777777" w:rsidTr="00F64245">
        <w:trPr>
          <w:trHeight w:val="839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0934F" w14:textId="77777777" w:rsidR="00381240" w:rsidRPr="00A25CDF" w:rsidRDefault="00381240" w:rsidP="0038124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SUBTOTALES $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C1D" w14:textId="77777777" w:rsidR="00381240" w:rsidRPr="00A25CDF" w:rsidRDefault="00326C33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265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457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CA24" w14:textId="77777777" w:rsidR="00381240" w:rsidRPr="00A25CDF" w:rsidRDefault="00326C33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265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457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63D" w14:textId="77777777" w:rsidR="00381240" w:rsidRPr="00A25CDF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D715" w14:textId="77777777" w:rsidR="00381240" w:rsidRPr="00A25CDF" w:rsidRDefault="00326C33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743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066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264,64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2375" w14:textId="77777777" w:rsidR="00381240" w:rsidRPr="00A25CDF" w:rsidRDefault="00326C33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743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066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264,64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2FC0" w14:textId="77777777" w:rsidR="00381240" w:rsidRPr="00A25CDF" w:rsidRDefault="00381240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FF9" w14:textId="77777777" w:rsidR="00381240" w:rsidRPr="00A25CDF" w:rsidRDefault="003B3A4F" w:rsidP="00F807C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179.19</w:t>
            </w:r>
            <w:r w:rsidR="00F807C0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1847" w14:textId="77777777" w:rsidR="00381240" w:rsidRPr="00A25CDF" w:rsidRDefault="00381240" w:rsidP="00381240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A25CDF" w:rsidRPr="00A25CDF" w14:paraId="67CBC6CA" w14:textId="77777777" w:rsidTr="00F64245">
        <w:trPr>
          <w:trHeight w:val="4401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FF2E0" w14:textId="77777777" w:rsidR="00A25CDF" w:rsidRPr="00A25CDF" w:rsidRDefault="00A25CDF" w:rsidP="00F4377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25CD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3080" w14:textId="77777777" w:rsidR="00A25CDF" w:rsidRPr="00A25CDF" w:rsidRDefault="00F43773" w:rsidP="00F4377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$ </w:t>
            </w:r>
            <w:r w:rsidR="00326C33"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265</w:t>
            </w:r>
            <w:r w:rsid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326C33"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457</w:t>
            </w:r>
            <w:r w:rsid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326C33"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480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7006" w14:textId="77777777" w:rsidR="00A25CDF" w:rsidRPr="00A25CDF" w:rsidRDefault="00F43773" w:rsidP="00F4377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326C33"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743</w:t>
            </w:r>
            <w:r w:rsid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326C33"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066</w:t>
            </w:r>
            <w:r w:rsid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326C33" w:rsidRPr="00326C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264,64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61A3" w14:textId="77777777" w:rsidR="00A25CDF" w:rsidRPr="00A25CDF" w:rsidRDefault="007E786B" w:rsidP="00F4377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N/A</w:t>
            </w: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AE5A52" w14:textId="77777777" w:rsidR="00A25CDF" w:rsidRPr="00A25CDF" w:rsidRDefault="00A25CDF" w:rsidP="00A25CDF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</w:tbl>
    <w:p w14:paraId="0F403EF0" w14:textId="77777777" w:rsidR="00A57D63" w:rsidRDefault="00A57D63" w:rsidP="007030F0">
      <w:pPr>
        <w:rPr>
          <w:lang w:val="es-CO" w:eastAsia="es-ES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470"/>
        <w:gridCol w:w="1560"/>
        <w:gridCol w:w="1559"/>
        <w:gridCol w:w="2180"/>
        <w:gridCol w:w="1928"/>
      </w:tblGrid>
      <w:tr w:rsidR="00710D5D" w:rsidRPr="00710D5D" w14:paraId="02E61664" w14:textId="77777777" w:rsidTr="00F678AD">
        <w:trPr>
          <w:trHeight w:val="6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2799" w14:textId="77777777" w:rsidR="00710D5D" w:rsidRPr="00710D5D" w:rsidRDefault="00710D5D" w:rsidP="00710D5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7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EB14" w14:textId="77777777" w:rsidR="00710D5D" w:rsidRPr="00710D5D" w:rsidRDefault="00710D5D" w:rsidP="00710D5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3795" w14:textId="77777777" w:rsidR="00710D5D" w:rsidRPr="00710D5D" w:rsidRDefault="00710D5D" w:rsidP="00710D5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080481" w:rsidRPr="00710D5D" w14:paraId="0D28D31B" w14:textId="77777777" w:rsidTr="00F678AD">
        <w:trPr>
          <w:trHeight w:val="115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3D6" w14:textId="77777777" w:rsidR="00710D5D" w:rsidRPr="00710D5D" w:rsidRDefault="00710D5D" w:rsidP="00710D5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AB6" w14:textId="77777777" w:rsidR="00710D5D" w:rsidRPr="00710D5D" w:rsidRDefault="00710D5D" w:rsidP="00710D5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vehículos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D29" w14:textId="77777777" w:rsidR="00710D5D" w:rsidRPr="00710D5D" w:rsidRDefault="00710D5D" w:rsidP="00710D5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F5" w14:textId="77777777" w:rsidR="00710D5D" w:rsidRPr="00710D5D" w:rsidRDefault="00710D5D" w:rsidP="00710D5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julio - septiembre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E3B" w14:textId="77777777" w:rsidR="00710D5D" w:rsidRPr="00710D5D" w:rsidRDefault="00710D5D" w:rsidP="00710D5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Variación de la cantidad entre   julio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069" w14:textId="77777777" w:rsidR="00710D5D" w:rsidRPr="00710D5D" w:rsidRDefault="00710D5D" w:rsidP="00710D5D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Para el 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tercer 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trimestre </w:t>
            </w:r>
            <w:r w:rsidR="005B281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2017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y </w:t>
            </w:r>
            <w:r w:rsidR="005B281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2018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el FRV 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utilizó 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127</w:t>
            </w:r>
            <w:r w:rsidR="003C4F8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servicios </w:t>
            </w:r>
            <w:r w:rsidR="008D1E7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que prestaron 41 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vehículos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="008D1E7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para este periodo.</w:t>
            </w:r>
            <w:r w:rsidR="00F807C0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(adjuntan relación)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, arrojando como resultado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un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incremento</w:t>
            </w:r>
            <w:r w:rsidRPr="00710D5D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de 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38.04% para el FRV</w:t>
            </w:r>
            <w:r w:rsidR="008D1E7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 L</w:t>
            </w:r>
            <w:r w:rsidR="006174F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a parte administrativa de la unidad </w:t>
            </w:r>
            <w:r w:rsidR="00A67A6B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tomo </w:t>
            </w:r>
            <w:r w:rsidR="007B2B50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120 vehículos para uso, en donde se atendieron 279</w:t>
            </w:r>
            <w:r w:rsidR="00127711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servicio</w:t>
            </w:r>
            <w:r w:rsidR="007B2B50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s, para el mes de septiembre no hay información.</w:t>
            </w:r>
          </w:p>
        </w:tc>
      </w:tr>
      <w:tr w:rsidR="00D11A60" w:rsidRPr="00710D5D" w14:paraId="0A766DD4" w14:textId="77777777" w:rsidTr="00F678AD">
        <w:trPr>
          <w:trHeight w:val="4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6CE" w14:textId="77777777" w:rsidR="00D11A60" w:rsidRPr="00710D5D" w:rsidRDefault="00D11A60" w:rsidP="00D11A6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F49" w14:textId="77777777" w:rsidR="00D11A60" w:rsidRPr="00710D5D" w:rsidRDefault="00D11A60" w:rsidP="00D11A6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Administrativa (</w:t>
            </w: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Fijas)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680" w14:textId="77777777" w:rsidR="00D11A60" w:rsidRPr="00710D5D" w:rsidRDefault="00D11A60" w:rsidP="00D11A6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5451" w14:textId="77777777" w:rsidR="00D11A60" w:rsidRPr="00710D5D" w:rsidRDefault="00DA1DAB" w:rsidP="00D11A6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12</w:t>
            </w:r>
            <w:r w:rsidR="007B2B50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7CC6" w14:textId="77777777" w:rsidR="00D11A60" w:rsidRPr="00710D5D" w:rsidRDefault="007B2B50" w:rsidP="0005442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500,00</w:t>
            </w:r>
            <w:r w:rsidR="00D11A60"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6722" w14:textId="77777777" w:rsidR="00D11A60" w:rsidRPr="00710D5D" w:rsidRDefault="00D11A60" w:rsidP="00D11A60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D11A60" w:rsidRPr="00710D5D" w14:paraId="28AD91A8" w14:textId="77777777" w:rsidTr="00F678AD">
        <w:trPr>
          <w:trHeight w:val="4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15C2" w14:textId="77777777" w:rsidR="00D11A60" w:rsidRPr="00710D5D" w:rsidRDefault="00D11A60" w:rsidP="00D11A6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914" w14:textId="77777777" w:rsidR="00D11A60" w:rsidRPr="00710D5D" w:rsidRDefault="00D11A60" w:rsidP="00D11A6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Administrativa (</w:t>
            </w: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 prestado)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2A5" w14:textId="77777777" w:rsidR="00D11A60" w:rsidRPr="00710D5D" w:rsidRDefault="00D11A60" w:rsidP="00D11A6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BE7D" w14:textId="77777777" w:rsidR="00D11A60" w:rsidRPr="00710D5D" w:rsidRDefault="00DA1DAB" w:rsidP="00D11A6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158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A6A3" w14:textId="77777777" w:rsidR="00D11A60" w:rsidRPr="00710D5D" w:rsidRDefault="007B2B50" w:rsidP="0005442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125.71</w:t>
            </w:r>
            <w:r w:rsidR="00D11A60"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A444" w14:textId="77777777" w:rsidR="00D11A60" w:rsidRPr="00710D5D" w:rsidRDefault="00D11A60" w:rsidP="00D11A60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D11A60" w:rsidRPr="00710D5D" w14:paraId="5E12E51C" w14:textId="77777777" w:rsidTr="00F678AD">
        <w:trPr>
          <w:trHeight w:val="51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26A" w14:textId="77777777" w:rsidR="00D11A60" w:rsidRPr="00710D5D" w:rsidRDefault="00D11A60" w:rsidP="00D11A6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1D1" w14:textId="77777777" w:rsidR="00D11A60" w:rsidRPr="00710D5D" w:rsidRDefault="00D11A60" w:rsidP="00D11A6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Fondo de Reparación (Servicio prestado)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971" w14:textId="77777777" w:rsidR="00D11A60" w:rsidRPr="00710D5D" w:rsidRDefault="00D11A60" w:rsidP="00D11A6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 w:rsidRPr="00710D5D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7B6" w14:textId="77777777" w:rsidR="00D11A60" w:rsidRPr="00710D5D" w:rsidRDefault="006174FB" w:rsidP="00D11A6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DBC7" w14:textId="77777777" w:rsidR="00D11A60" w:rsidRPr="00710D5D" w:rsidRDefault="006174FB" w:rsidP="0005442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38.04</w:t>
            </w: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5941" w14:textId="77777777" w:rsidR="00D11A60" w:rsidRPr="00710D5D" w:rsidRDefault="00D11A60" w:rsidP="00D11A60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</w:tbl>
    <w:p w14:paraId="15EC3C7D" w14:textId="77777777" w:rsidR="007030F0" w:rsidRDefault="007030F0" w:rsidP="007B2B50">
      <w:pPr>
        <w:spacing w:after="0"/>
        <w:rPr>
          <w:lang w:val="es-CO" w:eastAsia="es-ES"/>
        </w:rPr>
      </w:pPr>
    </w:p>
    <w:p w14:paraId="22D94EAB" w14:textId="77777777" w:rsidR="007030F0" w:rsidRPr="001369DA" w:rsidRDefault="007030F0" w:rsidP="007B2B50">
      <w:pPr>
        <w:pStyle w:val="Ttulo1"/>
        <w:numPr>
          <w:ilvl w:val="1"/>
          <w:numId w:val="37"/>
        </w:numPr>
        <w:spacing w:before="0"/>
        <w:ind w:left="604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Inmuebles y Mantenimiento.</w:t>
      </w:r>
    </w:p>
    <w:p w14:paraId="05ABC600" w14:textId="77777777" w:rsidR="007030F0" w:rsidRDefault="007030F0" w:rsidP="007B2B50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29D7933E" w14:textId="77777777" w:rsidR="007030F0" w:rsidRDefault="007030F0" w:rsidP="007B2B50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BF17DA">
        <w:rPr>
          <w:rFonts w:ascii="Century Gothic" w:hAnsi="Century Gothic" w:cs="Arial"/>
          <w:sz w:val="20"/>
          <w:szCs w:val="20"/>
          <w:lang w:val="es-CO" w:eastAsia="es-CO"/>
        </w:rPr>
        <w:t>Dando cumplimiento al Art. 20 del Capítulo IV del Decreto1737 de 1998 en temas relacionados en servicios administrativos – inmuebles y mantenimiento, se presenta a continuación la tabla donde se relaciona los pagos por cada concepto.</w:t>
      </w:r>
    </w:p>
    <w:p w14:paraId="4E386F90" w14:textId="77777777" w:rsidR="007030F0" w:rsidRDefault="007030F0" w:rsidP="007B2B50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044"/>
        <w:gridCol w:w="1044"/>
        <w:gridCol w:w="1218"/>
        <w:gridCol w:w="5526"/>
      </w:tblGrid>
      <w:tr w:rsidR="00C324E2" w:rsidRPr="00C324E2" w14:paraId="7C376130" w14:textId="77777777" w:rsidTr="001F261F">
        <w:trPr>
          <w:trHeight w:val="315"/>
        </w:trPr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CD06F" w14:textId="77777777" w:rsidR="00C324E2" w:rsidRPr="00C324E2" w:rsidRDefault="00C324E2" w:rsidP="00C324E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5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52C74" w14:textId="77777777" w:rsidR="00C324E2" w:rsidRPr="00C324E2" w:rsidRDefault="00C324E2" w:rsidP="00C324E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cualitativos</w:t>
            </w:r>
          </w:p>
        </w:tc>
      </w:tr>
      <w:tr w:rsidR="00C324E2" w:rsidRPr="00C324E2" w14:paraId="29AEF1BB" w14:textId="77777777" w:rsidTr="001F261F">
        <w:trPr>
          <w:trHeight w:val="148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862CC" w14:textId="77777777" w:rsidR="00C324E2" w:rsidRPr="00C324E2" w:rsidRDefault="00C324E2" w:rsidP="00C324E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FC2" w14:textId="77777777" w:rsidR="00C324E2" w:rsidRPr="00C324E2" w:rsidRDefault="00C324E2" w:rsidP="00C324E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julio - septiembre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4DC" w14:textId="77777777" w:rsidR="00C324E2" w:rsidRPr="00C324E2" w:rsidRDefault="00C324E2" w:rsidP="00C324E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entre julio - septiembre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E86" w14:textId="77777777" w:rsidR="00C324E2" w:rsidRPr="00C324E2" w:rsidRDefault="00C324E2" w:rsidP="00C324E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1F261F"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Variación</w:t>
            </w: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del valor pagado entre julio - septiembre de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  <w:tc>
          <w:tcPr>
            <w:tcW w:w="5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86C62" w14:textId="77777777" w:rsidR="001F261F" w:rsidRDefault="00C324E2" w:rsidP="00C324E2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La </w:t>
            </w:r>
            <w:r w:rsidR="001F261F"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variación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este trimestre se presenta debido por 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las </w:t>
            </w:r>
            <w:r w:rsidR="001F261F"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siguientes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razones:</w:t>
            </w:r>
          </w:p>
          <w:p w14:paraId="0502AF44" w14:textId="77777777" w:rsidR="001F261F" w:rsidRDefault="00C324E2" w:rsidP="00C324E2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presentan incrementos por encima del valor al IPC </w:t>
            </w:r>
            <w:r w:rsidR="00BD2E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con un promedio superior al 15%, </w:t>
            </w:r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para las inst</w:t>
            </w:r>
            <w:r w:rsidR="00BD2E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</w:t>
            </w:r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laciones de </w:t>
            </w:r>
            <w:r w:rsidR="00BD2E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Atlántico</w:t>
            </w:r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proofErr w:type="spellStart"/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Ofc</w:t>
            </w:r>
            <w:proofErr w:type="spellEnd"/>
            <w:r w:rsidR="00E37D3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Central, Cauca, Llanos Orientales y Amazonía</w:t>
            </w:r>
            <w:r w:rsidR="00BD2E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 Norte de Santander, Santander, Urabá, Parque Santander piso-3, Avianca P-19-2</w:t>
            </w:r>
            <w:r w:rsidR="007B2B5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1-32, Parque Santander P-4, en a</w:t>
            </w:r>
            <w:r w:rsidR="00BD2E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gosto se inicia contrato con San Remo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14:paraId="530A7801" w14:textId="77777777" w:rsidR="001F261F" w:rsidRDefault="00C324E2" w:rsidP="00C324E2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2.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BD2E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Para 10 de las 44 oficinas en arriendo de las sedes de la Unidad a nivel nacional el incremento fue superior al 20%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14:paraId="53AA8FF6" w14:textId="77777777" w:rsidR="00814AF8" w:rsidRDefault="00C324E2" w:rsidP="00C324E2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3.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 realizan </w:t>
            </w:r>
            <w:r w:rsidR="00814AF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</w:t>
            </w: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nuevo contrato con </w:t>
            </w:r>
            <w:r w:rsidR="00814AF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San Remo el cual va en tiempo hasta diciembre 31 de 2018, se entregan instalaciones de </w:t>
            </w:r>
            <w:proofErr w:type="spellStart"/>
            <w:r w:rsidR="00814AF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Afinsa</w:t>
            </w:r>
            <w:proofErr w:type="spellEnd"/>
            <w:r w:rsidR="00814AF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(4 pisos) que disminuyen este rubro para los meses de agosto y septiembre en $ 112.698.708 millones.</w:t>
            </w:r>
          </w:p>
          <w:p w14:paraId="5161A2CA" w14:textId="77777777" w:rsidR="00C324E2" w:rsidRPr="00C324E2" w:rsidRDefault="00814AF8" w:rsidP="00C324E2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4. Aunque los incrementos que se dieron para este periodo en este son elevados, el aumento total solamente se da en 4.88%    </w:t>
            </w:r>
          </w:p>
        </w:tc>
      </w:tr>
      <w:tr w:rsidR="00D11A60" w:rsidRPr="00C324E2" w14:paraId="3AE99F5E" w14:textId="77777777" w:rsidTr="00D11A60">
        <w:trPr>
          <w:trHeight w:val="607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C5E50" w14:textId="77777777" w:rsidR="00D11A60" w:rsidRPr="00C324E2" w:rsidRDefault="00D11A60" w:rsidP="00D11A6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Ar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rendamientos bienes inmuebles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F290" w14:textId="77777777" w:rsidR="00D11A60" w:rsidRPr="00C324E2" w:rsidRDefault="00D11A60" w:rsidP="0005442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1.797.927.410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84D70" w14:textId="77777777" w:rsidR="00D11A60" w:rsidRPr="00C324E2" w:rsidRDefault="00845B24" w:rsidP="0005442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1.875.245.571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9456" w14:textId="77777777" w:rsidR="00D11A60" w:rsidRPr="00C324E2" w:rsidRDefault="00845B24" w:rsidP="0005442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4.88</w:t>
            </w:r>
            <w:r w:rsidR="00D11A60" w:rsidRPr="00C324E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552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A6822" w14:textId="77777777" w:rsidR="00D11A60" w:rsidRPr="00C324E2" w:rsidRDefault="00D11A60" w:rsidP="00D11A6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11A60" w:rsidRPr="00C324E2" w14:paraId="7C5E4FBB" w14:textId="77777777" w:rsidTr="00D11A60">
        <w:trPr>
          <w:trHeight w:val="639"/>
        </w:trPr>
        <w:tc>
          <w:tcPr>
            <w:tcW w:w="122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A9C6" w14:textId="77777777" w:rsidR="00D11A60" w:rsidRPr="00C324E2" w:rsidRDefault="00D11A60" w:rsidP="00D11A6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4D57D" w14:textId="77777777" w:rsidR="00D11A60" w:rsidRPr="00C324E2" w:rsidRDefault="00D11A60" w:rsidP="0005442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C324E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1.797.927.410</w:t>
            </w:r>
          </w:p>
        </w:tc>
        <w:tc>
          <w:tcPr>
            <w:tcW w:w="104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EFDF8" w14:textId="77777777" w:rsidR="00D11A60" w:rsidRPr="00C324E2" w:rsidRDefault="00845B24" w:rsidP="0005442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1.875.245.571</w:t>
            </w:r>
          </w:p>
        </w:tc>
        <w:tc>
          <w:tcPr>
            <w:tcW w:w="12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D999" w14:textId="77777777" w:rsidR="00D11A60" w:rsidRPr="00C324E2" w:rsidRDefault="00E37D38" w:rsidP="0005442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4.88%</w:t>
            </w:r>
          </w:p>
        </w:tc>
        <w:tc>
          <w:tcPr>
            <w:tcW w:w="5526" w:type="dxa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5BFDD" w14:textId="77777777" w:rsidR="00D11A60" w:rsidRPr="00C324E2" w:rsidRDefault="00D11A60" w:rsidP="00D11A6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4925BFF4" w14:textId="77777777" w:rsidR="007030F0" w:rsidRDefault="007030F0" w:rsidP="007B2B50">
      <w:pPr>
        <w:pStyle w:val="Ttulo1"/>
        <w:spacing w:before="0"/>
        <w:rPr>
          <w:rFonts w:ascii="Century Gothic" w:hAnsi="Century Gothic"/>
          <w:sz w:val="20"/>
          <w:szCs w:val="20"/>
        </w:rPr>
      </w:pPr>
    </w:p>
    <w:p w14:paraId="4841D9C5" w14:textId="77777777" w:rsidR="007030F0" w:rsidRPr="001369DA" w:rsidRDefault="007030F0" w:rsidP="007B2B50">
      <w:pPr>
        <w:pStyle w:val="Ttulo1"/>
        <w:numPr>
          <w:ilvl w:val="1"/>
          <w:numId w:val="37"/>
        </w:numPr>
        <w:spacing w:before="0"/>
        <w:ind w:left="746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Otros temas relacionados con servicios administrativos.</w:t>
      </w:r>
    </w:p>
    <w:p w14:paraId="214C2426" w14:textId="77777777" w:rsidR="007030F0" w:rsidRPr="00EF0A1B" w:rsidRDefault="007030F0" w:rsidP="007B2B50">
      <w:pPr>
        <w:pStyle w:val="Ttulo2"/>
        <w:rPr>
          <w:rFonts w:ascii="Century Gothic" w:hAnsi="Century Gothic"/>
          <w:szCs w:val="20"/>
          <w:lang w:val="es-ES_tradnl"/>
        </w:rPr>
      </w:pPr>
    </w:p>
    <w:p w14:paraId="01138785" w14:textId="77777777" w:rsidR="007B2B50" w:rsidRDefault="001369DA" w:rsidP="007B2B50">
      <w:pPr>
        <w:spacing w:after="0"/>
        <w:jc w:val="both"/>
        <w:rPr>
          <w:rFonts w:ascii="Century Gothic" w:hAnsi="Century Gothic" w:cs="Arial"/>
          <w:bCs/>
          <w:sz w:val="20"/>
          <w:szCs w:val="20"/>
          <w:lang w:val="es-MX" w:eastAsia="es-MX"/>
        </w:rPr>
      </w:pPr>
      <w:r w:rsidRPr="00241E5B"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1D993569" wp14:editId="19A2AFCC">
            <wp:simplePos x="0" y="0"/>
            <wp:positionH relativeFrom="margin">
              <wp:posOffset>-243205</wp:posOffset>
            </wp:positionH>
            <wp:positionV relativeFrom="paragraph">
              <wp:posOffset>902970</wp:posOffset>
            </wp:positionV>
            <wp:extent cx="6553200" cy="1923415"/>
            <wp:effectExtent l="0" t="0" r="0" b="635"/>
            <wp:wrapTight wrapText="bothSides">
              <wp:wrapPolygon edited="0">
                <wp:start x="753" y="0"/>
                <wp:lineTo x="63" y="428"/>
                <wp:lineTo x="0" y="1711"/>
                <wp:lineTo x="251" y="3423"/>
                <wp:lineTo x="0" y="5562"/>
                <wp:lineTo x="0" y="5776"/>
                <wp:lineTo x="753" y="6846"/>
                <wp:lineTo x="0" y="7060"/>
                <wp:lineTo x="0" y="9841"/>
                <wp:lineTo x="753" y="10269"/>
                <wp:lineTo x="0" y="11338"/>
                <wp:lineTo x="0" y="13692"/>
                <wp:lineTo x="753" y="13692"/>
                <wp:lineTo x="251" y="14975"/>
                <wp:lineTo x="251" y="15403"/>
                <wp:lineTo x="753" y="17115"/>
                <wp:lineTo x="0" y="17115"/>
                <wp:lineTo x="0" y="18612"/>
                <wp:lineTo x="753" y="20537"/>
                <wp:lineTo x="0" y="20965"/>
                <wp:lineTo x="0" y="21393"/>
                <wp:lineTo x="21537" y="21393"/>
                <wp:lineTo x="21537" y="0"/>
                <wp:lineTo x="753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0F0" w:rsidRPr="00BF17DA">
        <w:rPr>
          <w:rFonts w:ascii="Century Gothic" w:hAnsi="Century Gothic" w:cs="Arial"/>
          <w:bCs/>
          <w:sz w:val="20"/>
          <w:szCs w:val="20"/>
          <w:lang w:val="es-MX" w:eastAsia="es-MX"/>
        </w:rPr>
        <w:t xml:space="preserve">A continuación, se relaciona los temas relacionados en la norma como son celebraciones, conmemoraciones, agasajos públicos, gastos suntuarios y tarjetas de crédito. Las extensiones </w:t>
      </w:r>
    </w:p>
    <w:p w14:paraId="6542B841" w14:textId="77777777" w:rsidR="007030F0" w:rsidRDefault="007030F0" w:rsidP="007B2B50">
      <w:pPr>
        <w:spacing w:after="0"/>
        <w:jc w:val="both"/>
        <w:rPr>
          <w:rFonts w:ascii="Century Gothic" w:hAnsi="Century Gothic" w:cs="Arial"/>
          <w:bCs/>
          <w:sz w:val="20"/>
          <w:szCs w:val="20"/>
          <w:lang w:val="es-MX" w:eastAsia="es-MX"/>
        </w:rPr>
      </w:pPr>
      <w:r w:rsidRPr="00BF17DA">
        <w:rPr>
          <w:rFonts w:ascii="Century Gothic" w:hAnsi="Century Gothic" w:cs="Arial"/>
          <w:bCs/>
          <w:sz w:val="20"/>
          <w:szCs w:val="20"/>
          <w:lang w:val="es-MX" w:eastAsia="es-MX"/>
        </w:rPr>
        <w:t>telefónicas tienen código o clave y los permisos a llamadas a celulares o exterior. En temas relacionados a papelería, erogaciones para afiliación clubes sociales, pagos por acciones, inscripciones, cuotas de sostenimiento o gastos para recepciones, invitaciones.</w:t>
      </w:r>
    </w:p>
    <w:p w14:paraId="4BA385A2" w14:textId="77777777" w:rsidR="007B2B50" w:rsidRPr="005B6D72" w:rsidRDefault="007B2B50" w:rsidP="007B2B50">
      <w:pPr>
        <w:spacing w:after="0"/>
        <w:jc w:val="both"/>
        <w:rPr>
          <w:rFonts w:ascii="Century Gothic" w:hAnsi="Century Gothic" w:cs="Arial"/>
          <w:bCs/>
          <w:sz w:val="20"/>
          <w:szCs w:val="20"/>
          <w:lang w:val="es-MX" w:eastAsia="es-MX"/>
        </w:rPr>
      </w:pPr>
    </w:p>
    <w:p w14:paraId="5B4A6BFF" w14:textId="77777777" w:rsidR="007030F0" w:rsidRDefault="007030F0" w:rsidP="007B2B50">
      <w:pPr>
        <w:pStyle w:val="Ttulo1"/>
        <w:numPr>
          <w:ilvl w:val="0"/>
          <w:numId w:val="37"/>
        </w:numPr>
        <w:spacing w:before="0"/>
        <w:ind w:left="746"/>
        <w:rPr>
          <w:rFonts w:ascii="Century Gothic" w:hAnsi="Century Gothic"/>
          <w:b/>
          <w:color w:val="auto"/>
          <w:sz w:val="24"/>
          <w:szCs w:val="20"/>
        </w:rPr>
      </w:pPr>
      <w:r w:rsidRPr="001D6335">
        <w:rPr>
          <w:rFonts w:ascii="Century Gothic" w:hAnsi="Century Gothic"/>
          <w:b/>
          <w:color w:val="auto"/>
          <w:sz w:val="24"/>
          <w:szCs w:val="20"/>
        </w:rPr>
        <w:t>CONCILIACIONES JUDICIALES Y OTRAS SOLUCIONES ALTERNATIVAS DE CONFLICTO.</w:t>
      </w:r>
    </w:p>
    <w:p w14:paraId="511DEECD" w14:textId="77777777" w:rsidR="007B2B50" w:rsidRPr="007B2B50" w:rsidRDefault="007B2B50" w:rsidP="007B2B50"/>
    <w:p w14:paraId="045F0E29" w14:textId="77777777" w:rsidR="007030F0" w:rsidRDefault="007030F0" w:rsidP="007B2B50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BF17DA">
        <w:rPr>
          <w:rFonts w:ascii="Century Gothic" w:hAnsi="Century Gothic" w:cs="Arial"/>
          <w:sz w:val="20"/>
          <w:szCs w:val="20"/>
          <w:lang w:val="es-CO" w:eastAsia="es-CO"/>
        </w:rPr>
        <w:t>Dando cumplimiento al Art. 6 Decreto 26 de 1998 en temas relacionados en conciliaciones judiciales y otras soluciones alternativas de conflicto, se presenta a continuación la tabla donde se relaciona los pagos por cada concepto y una breve explicación de la dependencia.</w:t>
      </w:r>
    </w:p>
    <w:p w14:paraId="4DAEECA5" w14:textId="77777777" w:rsidR="007B2B50" w:rsidRDefault="007B2B50" w:rsidP="007B2B50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343"/>
        <w:gridCol w:w="1701"/>
        <w:gridCol w:w="1701"/>
        <w:gridCol w:w="1134"/>
        <w:gridCol w:w="1134"/>
        <w:gridCol w:w="1134"/>
        <w:gridCol w:w="1771"/>
      </w:tblGrid>
      <w:tr w:rsidR="007030F0" w:rsidRPr="00F142B7" w14:paraId="45B754FA" w14:textId="77777777" w:rsidTr="001D6335">
        <w:trPr>
          <w:trHeight w:val="315"/>
        </w:trPr>
        <w:tc>
          <w:tcPr>
            <w:tcW w:w="9918" w:type="dxa"/>
            <w:gridSpan w:val="7"/>
            <w:noWrap/>
            <w:vAlign w:val="center"/>
            <w:hideMark/>
          </w:tcPr>
          <w:p w14:paraId="4AB96728" w14:textId="77777777" w:rsidR="007030F0" w:rsidRPr="00F142B7" w:rsidRDefault="007030F0" w:rsidP="007B2B5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Datos del </w:t>
            </w:r>
            <w:r w:rsidR="008F010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3er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trimestre año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2017</w:t>
            </w:r>
          </w:p>
        </w:tc>
      </w:tr>
      <w:tr w:rsidR="007030F0" w:rsidRPr="00CB7545" w14:paraId="31723DA9" w14:textId="77777777" w:rsidTr="001D6335">
        <w:trPr>
          <w:trHeight w:val="765"/>
        </w:trPr>
        <w:tc>
          <w:tcPr>
            <w:tcW w:w="1343" w:type="dxa"/>
            <w:vAlign w:val="center"/>
            <w:hideMark/>
          </w:tcPr>
          <w:p w14:paraId="2543E6CB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Acción o medios de control (Demandas)</w:t>
            </w:r>
          </w:p>
        </w:tc>
        <w:tc>
          <w:tcPr>
            <w:tcW w:w="1701" w:type="dxa"/>
            <w:vAlign w:val="center"/>
            <w:hideMark/>
          </w:tcPr>
          <w:p w14:paraId="38F9C9C5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Conciliación (Formas de solución de conflicto)</w:t>
            </w:r>
          </w:p>
        </w:tc>
        <w:tc>
          <w:tcPr>
            <w:tcW w:w="1701" w:type="dxa"/>
            <w:vAlign w:val="center"/>
            <w:hideMark/>
          </w:tcPr>
          <w:p w14:paraId="61BE641B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Convocante</w:t>
            </w:r>
          </w:p>
        </w:tc>
        <w:tc>
          <w:tcPr>
            <w:tcW w:w="1134" w:type="dxa"/>
            <w:vAlign w:val="center"/>
            <w:hideMark/>
          </w:tcPr>
          <w:p w14:paraId="60133BF8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Acordado</w:t>
            </w:r>
          </w:p>
        </w:tc>
        <w:tc>
          <w:tcPr>
            <w:tcW w:w="1134" w:type="dxa"/>
            <w:vAlign w:val="center"/>
            <w:hideMark/>
          </w:tcPr>
          <w:p w14:paraId="5CF082F7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Acordado</w:t>
            </w:r>
          </w:p>
        </w:tc>
        <w:tc>
          <w:tcPr>
            <w:tcW w:w="1134" w:type="dxa"/>
            <w:vAlign w:val="center"/>
            <w:hideMark/>
          </w:tcPr>
          <w:p w14:paraId="11DD30D3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de pago</w:t>
            </w:r>
          </w:p>
        </w:tc>
        <w:tc>
          <w:tcPr>
            <w:tcW w:w="1771" w:type="dxa"/>
            <w:vAlign w:val="center"/>
            <w:hideMark/>
          </w:tcPr>
          <w:p w14:paraId="6DA6C220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</w:t>
            </w:r>
          </w:p>
        </w:tc>
      </w:tr>
      <w:tr w:rsidR="007030F0" w:rsidRPr="00CB7545" w14:paraId="1B1910A3" w14:textId="77777777" w:rsidTr="001D6335">
        <w:trPr>
          <w:trHeight w:val="300"/>
        </w:trPr>
        <w:tc>
          <w:tcPr>
            <w:tcW w:w="1343" w:type="dxa"/>
            <w:vAlign w:val="center"/>
          </w:tcPr>
          <w:p w14:paraId="06B455F0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4F518DFC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06C0E66D" w14:textId="77777777" w:rsidR="007030F0" w:rsidRPr="00F142B7" w:rsidRDefault="007030F0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315489F6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133D7C36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38D2CEED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71" w:type="dxa"/>
            <w:vAlign w:val="center"/>
            <w:hideMark/>
          </w:tcPr>
          <w:p w14:paraId="0A59337E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774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</w:tr>
      <w:tr w:rsidR="007030F0" w:rsidRPr="00CB7545" w14:paraId="68F2E6E7" w14:textId="77777777" w:rsidTr="001D6335">
        <w:trPr>
          <w:trHeight w:val="273"/>
        </w:trPr>
        <w:tc>
          <w:tcPr>
            <w:tcW w:w="1343" w:type="dxa"/>
            <w:vAlign w:val="center"/>
          </w:tcPr>
          <w:p w14:paraId="2BA008F8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3584DE12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4548396C" w14:textId="77777777" w:rsidR="007030F0" w:rsidRPr="00F142B7" w:rsidRDefault="007030F0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7ECFB8C0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01EF99C3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5FEA72A1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71" w:type="dxa"/>
            <w:vAlign w:val="center"/>
            <w:hideMark/>
          </w:tcPr>
          <w:p w14:paraId="403C6B73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7030F0" w:rsidRPr="00CB7545" w14:paraId="2FC1A6CA" w14:textId="77777777" w:rsidTr="001D6335">
        <w:trPr>
          <w:trHeight w:val="300"/>
        </w:trPr>
        <w:tc>
          <w:tcPr>
            <w:tcW w:w="1343" w:type="dxa"/>
            <w:noWrap/>
            <w:vAlign w:val="center"/>
            <w:hideMark/>
          </w:tcPr>
          <w:p w14:paraId="49911ABD" w14:textId="77777777" w:rsidR="007030F0" w:rsidRPr="00F142B7" w:rsidRDefault="007030F0" w:rsidP="007B2B5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701" w:type="dxa"/>
            <w:noWrap/>
            <w:vAlign w:val="center"/>
            <w:hideMark/>
          </w:tcPr>
          <w:p w14:paraId="5EBB90F0" w14:textId="77777777" w:rsidR="007030F0" w:rsidRPr="00F142B7" w:rsidRDefault="007030F0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5CB41D94" w14:textId="77777777" w:rsidR="007030F0" w:rsidRPr="00F142B7" w:rsidRDefault="007030F0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4DFA12B" w14:textId="77777777" w:rsidR="007030F0" w:rsidRPr="00F142B7" w:rsidRDefault="007030F0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12369F67" w14:textId="77777777" w:rsidR="007030F0" w:rsidRPr="00F142B7" w:rsidRDefault="007030F0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48DEF69" w14:textId="77777777" w:rsidR="007030F0" w:rsidRPr="00F142B7" w:rsidRDefault="007030F0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771" w:type="dxa"/>
            <w:noWrap/>
            <w:vAlign w:val="center"/>
            <w:hideMark/>
          </w:tcPr>
          <w:p w14:paraId="64266370" w14:textId="77777777" w:rsidR="007030F0" w:rsidRPr="00F142B7" w:rsidRDefault="007030F0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7030F0" w:rsidRPr="00F142B7" w14:paraId="33BCDF3A" w14:textId="77777777" w:rsidTr="001D6335">
        <w:trPr>
          <w:trHeight w:val="300"/>
        </w:trPr>
        <w:tc>
          <w:tcPr>
            <w:tcW w:w="9918" w:type="dxa"/>
            <w:gridSpan w:val="7"/>
            <w:vMerge w:val="restart"/>
            <w:vAlign w:val="center"/>
            <w:hideMark/>
          </w:tcPr>
          <w:p w14:paraId="33286AD3" w14:textId="77777777" w:rsidR="007030F0" w:rsidRDefault="007030F0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774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Información enviada por el proceso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:</w:t>
            </w:r>
          </w:p>
          <w:p w14:paraId="3096F985" w14:textId="77777777" w:rsidR="007030F0" w:rsidRDefault="007030F0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14:paraId="2AEF2721" w14:textId="77777777" w:rsidR="007030F0" w:rsidRPr="00F142B7" w:rsidRDefault="007030F0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Durante el periodo comprendido en el </w:t>
            </w:r>
            <w:r w:rsidR="008F010C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tercer</w:t>
            </w:r>
            <w:r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 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trimestre del año </w:t>
            </w:r>
            <w:r w:rsidR="005B2817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2017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, no se presentó ningún acuerdo conciliatorio por parte de la Unidad para la Atención y Reparación Integral a las Víctimas.</w:t>
            </w:r>
          </w:p>
        </w:tc>
      </w:tr>
      <w:tr w:rsidR="007030F0" w:rsidRPr="00F142B7" w14:paraId="12F491C5" w14:textId="77777777" w:rsidTr="001D6335">
        <w:trPr>
          <w:trHeight w:val="315"/>
        </w:trPr>
        <w:tc>
          <w:tcPr>
            <w:tcW w:w="9918" w:type="dxa"/>
            <w:gridSpan w:val="7"/>
            <w:vMerge/>
            <w:vAlign w:val="center"/>
            <w:hideMark/>
          </w:tcPr>
          <w:p w14:paraId="6FCC7D6C" w14:textId="77777777" w:rsidR="007030F0" w:rsidRPr="00F142B7" w:rsidRDefault="007030F0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4B88FE05" w14:textId="77777777" w:rsidR="00B70F09" w:rsidRDefault="00B70F09" w:rsidP="007B2B50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43"/>
        <w:gridCol w:w="1701"/>
        <w:gridCol w:w="1701"/>
        <w:gridCol w:w="1134"/>
        <w:gridCol w:w="1134"/>
        <w:gridCol w:w="1134"/>
        <w:gridCol w:w="1204"/>
      </w:tblGrid>
      <w:tr w:rsidR="008F010C" w:rsidRPr="00F142B7" w14:paraId="6760A785" w14:textId="77777777" w:rsidTr="0002118C">
        <w:trPr>
          <w:trHeight w:val="315"/>
        </w:trPr>
        <w:tc>
          <w:tcPr>
            <w:tcW w:w="9351" w:type="dxa"/>
            <w:gridSpan w:val="7"/>
            <w:noWrap/>
            <w:vAlign w:val="center"/>
            <w:hideMark/>
          </w:tcPr>
          <w:p w14:paraId="6185DC48" w14:textId="77777777" w:rsidR="008F010C" w:rsidRPr="00F142B7" w:rsidRDefault="008F010C" w:rsidP="007B2B5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Datos del 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3er trimestre año </w:t>
            </w:r>
            <w:r w:rsidR="005B281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2018</w:t>
            </w:r>
          </w:p>
        </w:tc>
      </w:tr>
      <w:tr w:rsidR="008F010C" w:rsidRPr="00CB7545" w14:paraId="3AACC62B" w14:textId="77777777" w:rsidTr="0002118C">
        <w:trPr>
          <w:trHeight w:val="765"/>
        </w:trPr>
        <w:tc>
          <w:tcPr>
            <w:tcW w:w="1343" w:type="dxa"/>
            <w:vAlign w:val="center"/>
            <w:hideMark/>
          </w:tcPr>
          <w:p w14:paraId="020792B4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Acción o medios de control (Demandas)</w:t>
            </w:r>
          </w:p>
        </w:tc>
        <w:tc>
          <w:tcPr>
            <w:tcW w:w="1701" w:type="dxa"/>
            <w:vAlign w:val="center"/>
            <w:hideMark/>
          </w:tcPr>
          <w:p w14:paraId="7793C0C1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Conciliación (Formas de solución de conflicto)</w:t>
            </w:r>
          </w:p>
        </w:tc>
        <w:tc>
          <w:tcPr>
            <w:tcW w:w="1701" w:type="dxa"/>
            <w:vAlign w:val="center"/>
            <w:hideMark/>
          </w:tcPr>
          <w:p w14:paraId="7A56A340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Convocante</w:t>
            </w:r>
          </w:p>
        </w:tc>
        <w:tc>
          <w:tcPr>
            <w:tcW w:w="1134" w:type="dxa"/>
            <w:vAlign w:val="center"/>
            <w:hideMark/>
          </w:tcPr>
          <w:p w14:paraId="68C1B7D2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Acordado</w:t>
            </w:r>
          </w:p>
        </w:tc>
        <w:tc>
          <w:tcPr>
            <w:tcW w:w="1134" w:type="dxa"/>
            <w:vAlign w:val="center"/>
            <w:hideMark/>
          </w:tcPr>
          <w:p w14:paraId="6AB5F0F1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Acordado</w:t>
            </w:r>
          </w:p>
        </w:tc>
        <w:tc>
          <w:tcPr>
            <w:tcW w:w="1134" w:type="dxa"/>
            <w:vAlign w:val="center"/>
            <w:hideMark/>
          </w:tcPr>
          <w:p w14:paraId="60E93ED7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de pago</w:t>
            </w:r>
          </w:p>
        </w:tc>
        <w:tc>
          <w:tcPr>
            <w:tcW w:w="1204" w:type="dxa"/>
            <w:vAlign w:val="center"/>
            <w:hideMark/>
          </w:tcPr>
          <w:p w14:paraId="6F1CB085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</w:t>
            </w:r>
          </w:p>
        </w:tc>
      </w:tr>
      <w:tr w:rsidR="008F010C" w:rsidRPr="00CB7545" w14:paraId="4FEF8B9F" w14:textId="77777777" w:rsidTr="0002118C">
        <w:trPr>
          <w:trHeight w:val="300"/>
        </w:trPr>
        <w:tc>
          <w:tcPr>
            <w:tcW w:w="1343" w:type="dxa"/>
            <w:vAlign w:val="center"/>
          </w:tcPr>
          <w:p w14:paraId="113B302C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26B3C594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59AF7E14" w14:textId="77777777" w:rsidR="008F010C" w:rsidRPr="00F142B7" w:rsidRDefault="008F010C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3C84B1C3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49A46047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420E66D9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4" w:type="dxa"/>
            <w:vAlign w:val="center"/>
            <w:hideMark/>
          </w:tcPr>
          <w:p w14:paraId="3D8C719E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774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$ 0</w:t>
            </w:r>
          </w:p>
        </w:tc>
      </w:tr>
      <w:tr w:rsidR="008F010C" w:rsidRPr="00CB7545" w14:paraId="53443C1D" w14:textId="77777777" w:rsidTr="0002118C">
        <w:trPr>
          <w:trHeight w:val="273"/>
        </w:trPr>
        <w:tc>
          <w:tcPr>
            <w:tcW w:w="1343" w:type="dxa"/>
            <w:vAlign w:val="center"/>
          </w:tcPr>
          <w:p w14:paraId="33CC28B5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3A426858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701" w:type="dxa"/>
            <w:vAlign w:val="center"/>
          </w:tcPr>
          <w:p w14:paraId="20A9C17A" w14:textId="77777777" w:rsidR="008F010C" w:rsidRPr="00F142B7" w:rsidRDefault="008F010C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2B702011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078AEF3E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7808C070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4" w:type="dxa"/>
            <w:vAlign w:val="center"/>
            <w:hideMark/>
          </w:tcPr>
          <w:p w14:paraId="02CB7B42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8F010C" w:rsidRPr="00CB7545" w14:paraId="349CAFB3" w14:textId="77777777" w:rsidTr="0002118C">
        <w:trPr>
          <w:trHeight w:val="300"/>
        </w:trPr>
        <w:tc>
          <w:tcPr>
            <w:tcW w:w="1343" w:type="dxa"/>
            <w:noWrap/>
            <w:vAlign w:val="center"/>
            <w:hideMark/>
          </w:tcPr>
          <w:p w14:paraId="7BC2F3A9" w14:textId="77777777" w:rsidR="008F010C" w:rsidRPr="00F142B7" w:rsidRDefault="008F010C" w:rsidP="007B2B5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701" w:type="dxa"/>
            <w:noWrap/>
            <w:vAlign w:val="center"/>
            <w:hideMark/>
          </w:tcPr>
          <w:p w14:paraId="010A840C" w14:textId="77777777" w:rsidR="008F010C" w:rsidRPr="00F142B7" w:rsidRDefault="008F010C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0B787856" w14:textId="77777777" w:rsidR="008F010C" w:rsidRPr="00F142B7" w:rsidRDefault="008F010C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7AD22A8" w14:textId="77777777" w:rsidR="008F010C" w:rsidRPr="00F142B7" w:rsidRDefault="008F010C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8175AD7" w14:textId="77777777" w:rsidR="008F010C" w:rsidRPr="00F142B7" w:rsidRDefault="008F010C" w:rsidP="007B2B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304B717" w14:textId="77777777" w:rsidR="008F010C" w:rsidRPr="00F142B7" w:rsidRDefault="008F010C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04" w:type="dxa"/>
            <w:noWrap/>
            <w:vAlign w:val="center"/>
            <w:hideMark/>
          </w:tcPr>
          <w:p w14:paraId="16F0F2BB" w14:textId="77777777" w:rsidR="008F010C" w:rsidRPr="00F142B7" w:rsidRDefault="008F010C" w:rsidP="007B2B50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F010C" w:rsidRPr="00F142B7" w14:paraId="7554D5FA" w14:textId="77777777" w:rsidTr="0002118C">
        <w:trPr>
          <w:trHeight w:val="300"/>
        </w:trPr>
        <w:tc>
          <w:tcPr>
            <w:tcW w:w="9351" w:type="dxa"/>
            <w:gridSpan w:val="7"/>
            <w:vMerge w:val="restart"/>
            <w:vAlign w:val="center"/>
            <w:hideMark/>
          </w:tcPr>
          <w:p w14:paraId="7A0D2F9B" w14:textId="77777777" w:rsidR="008F010C" w:rsidRDefault="008F010C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774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Información enviada por el proceso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:</w:t>
            </w:r>
          </w:p>
          <w:p w14:paraId="66E83562" w14:textId="77777777" w:rsidR="008F010C" w:rsidRPr="00F142B7" w:rsidRDefault="008F010C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Durante el periodo comprendido en el </w:t>
            </w:r>
            <w:r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tercer 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trimestre del año </w:t>
            </w:r>
            <w:r w:rsidR="005B2817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2018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, no se presentó ningún acuerdo conciliatorio por parte de la Unidad para la Atención y Reparación Integral a las Víctimas.</w:t>
            </w:r>
          </w:p>
        </w:tc>
      </w:tr>
      <w:tr w:rsidR="008F010C" w:rsidRPr="00F142B7" w14:paraId="24879FC3" w14:textId="77777777" w:rsidTr="0002118C">
        <w:trPr>
          <w:trHeight w:val="315"/>
        </w:trPr>
        <w:tc>
          <w:tcPr>
            <w:tcW w:w="9351" w:type="dxa"/>
            <w:gridSpan w:val="7"/>
            <w:vMerge/>
            <w:vAlign w:val="center"/>
            <w:hideMark/>
          </w:tcPr>
          <w:p w14:paraId="52A1CECE" w14:textId="77777777" w:rsidR="008F010C" w:rsidRPr="00F142B7" w:rsidRDefault="008F010C" w:rsidP="007B2B50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0208B70A" w14:textId="77777777" w:rsidR="00C446A2" w:rsidRDefault="00C446A2" w:rsidP="007B2B50">
      <w:pPr>
        <w:tabs>
          <w:tab w:val="left" w:pos="2865"/>
        </w:tabs>
        <w:spacing w:after="0"/>
        <w:rPr>
          <w:rFonts w:ascii="Arial Narrow" w:hAnsi="Arial Narrow"/>
          <w:b/>
        </w:rPr>
      </w:pPr>
    </w:p>
    <w:p w14:paraId="18D89B37" w14:textId="77777777" w:rsidR="007B2B50" w:rsidRDefault="007B2B50" w:rsidP="007B2B50">
      <w:pPr>
        <w:tabs>
          <w:tab w:val="left" w:pos="2865"/>
        </w:tabs>
        <w:spacing w:after="0"/>
        <w:rPr>
          <w:rFonts w:ascii="Arial Narrow" w:hAnsi="Arial Narrow"/>
          <w:b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70F09" w14:paraId="20BE2622" w14:textId="77777777" w:rsidTr="00F2303D"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8C74C12" w14:textId="77777777" w:rsidR="00B70F09" w:rsidRPr="001369DA" w:rsidRDefault="00C527AC" w:rsidP="007B2B50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95069">
              <w:rPr>
                <w:rFonts w:ascii="Arial" w:hAnsi="Arial" w:cs="Arial"/>
                <w:b/>
                <w:sz w:val="20"/>
                <w:szCs w:val="20"/>
              </w:rPr>
              <w:t>CONCLUSIONES Y/O RECOMENDACIONES.</w:t>
            </w:r>
          </w:p>
        </w:tc>
      </w:tr>
    </w:tbl>
    <w:p w14:paraId="39C9A6CA" w14:textId="77777777" w:rsidR="00B70F09" w:rsidRDefault="00B70F09" w:rsidP="007B2B50">
      <w:pPr>
        <w:spacing w:after="0"/>
        <w:rPr>
          <w:rFonts w:ascii="Arial Narrow" w:hAnsi="Arial Narrow"/>
          <w:b/>
        </w:rPr>
      </w:pPr>
    </w:p>
    <w:p w14:paraId="08107551" w14:textId="77777777" w:rsidR="007030F0" w:rsidRDefault="007030F0" w:rsidP="007B2B50">
      <w:pPr>
        <w:pStyle w:val="Prrafodelista"/>
        <w:numPr>
          <w:ilvl w:val="0"/>
          <w:numId w:val="38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Se solicita continuar con la ejecución de las medidas de control y seguimiento frente a los rubros </w:t>
      </w:r>
      <w:r w:rsidRPr="00664918">
        <w:rPr>
          <w:rFonts w:ascii="Century Gothic" w:hAnsi="Century Gothic" w:cs="Arial"/>
          <w:sz w:val="20"/>
          <w:szCs w:val="20"/>
        </w:rPr>
        <w:t xml:space="preserve">de funcionamiento para la vigencia </w:t>
      </w:r>
      <w:r w:rsidR="005B2817">
        <w:rPr>
          <w:rFonts w:ascii="Century Gothic" w:hAnsi="Century Gothic" w:cs="Arial"/>
          <w:sz w:val="20"/>
          <w:szCs w:val="20"/>
        </w:rPr>
        <w:t>2018</w:t>
      </w:r>
      <w:r>
        <w:rPr>
          <w:rFonts w:ascii="Century Gothic" w:hAnsi="Century Gothic" w:cs="Arial"/>
          <w:sz w:val="20"/>
          <w:szCs w:val="20"/>
        </w:rPr>
        <w:t>.</w:t>
      </w:r>
    </w:p>
    <w:p w14:paraId="7A716769" w14:textId="77777777" w:rsidR="007030F0" w:rsidRPr="00E43F03" w:rsidRDefault="007030F0" w:rsidP="007B2B50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0707D55A" w14:textId="3D0E24D1" w:rsidR="00EF0A1B" w:rsidRDefault="00F64245" w:rsidP="00DA445C">
      <w:pPr>
        <w:pStyle w:val="Prrafodelista"/>
        <w:numPr>
          <w:ilvl w:val="0"/>
          <w:numId w:val="38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F64245">
        <w:rPr>
          <w:rFonts w:ascii="Century Gothic" w:hAnsi="Century Gothic" w:cs="Arial"/>
          <w:sz w:val="20"/>
          <w:szCs w:val="20"/>
        </w:rPr>
        <w:t xml:space="preserve">Iniciar el proceso de implementación de las medidas de austeridad contenidas en </w:t>
      </w:r>
      <w:r w:rsidR="00F2303D" w:rsidRPr="00F64245">
        <w:rPr>
          <w:rFonts w:ascii="Century Gothic" w:hAnsi="Century Gothic" w:cs="Arial"/>
          <w:sz w:val="20"/>
          <w:szCs w:val="20"/>
        </w:rPr>
        <w:t>la</w:t>
      </w:r>
      <w:r w:rsidRPr="00F64245">
        <w:rPr>
          <w:rFonts w:ascii="Century Gothic" w:hAnsi="Century Gothic" w:cs="Arial"/>
          <w:sz w:val="20"/>
          <w:szCs w:val="20"/>
        </w:rPr>
        <w:t xml:space="preserve"> Directiva Presidencial No. 09 del 9 de noviembre de 2018</w:t>
      </w:r>
      <w:r>
        <w:rPr>
          <w:rFonts w:ascii="Century Gothic" w:hAnsi="Century Gothic" w:cs="Arial"/>
          <w:sz w:val="20"/>
          <w:szCs w:val="20"/>
        </w:rPr>
        <w:t>.</w:t>
      </w:r>
    </w:p>
    <w:p w14:paraId="4590D083" w14:textId="77777777" w:rsidR="00F64245" w:rsidRPr="00F64245" w:rsidRDefault="00F64245" w:rsidP="00F64245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62A741B6" w14:textId="77777777" w:rsidR="00F64245" w:rsidRPr="00F64245" w:rsidRDefault="00F64245" w:rsidP="00F64245">
      <w:pPr>
        <w:pStyle w:val="Prrafodelista"/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4338"/>
      </w:tblGrid>
      <w:tr w:rsidR="00B70F09" w:rsidRPr="00595069" w14:paraId="2BB32BF5" w14:textId="77777777" w:rsidTr="0002118C">
        <w:trPr>
          <w:trHeight w:val="655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99B6" w14:textId="77777777" w:rsidR="00B70F09" w:rsidRPr="00595069" w:rsidRDefault="00251BA1" w:rsidP="007B2B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</w:t>
            </w:r>
            <w:r w:rsidR="00B70F09"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PROBÓ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C7EB" w14:textId="77777777" w:rsidR="00B70F09" w:rsidRPr="00595069" w:rsidRDefault="00B70F09" w:rsidP="007B2B5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_________________________________</w:t>
            </w:r>
          </w:p>
        </w:tc>
      </w:tr>
      <w:tr w:rsidR="00B70F09" w:rsidRPr="00595069" w14:paraId="0D407614" w14:textId="77777777" w:rsidTr="0002118C">
        <w:trPr>
          <w:trHeight w:val="83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2894" w14:textId="77777777" w:rsidR="00B70F09" w:rsidRPr="00595069" w:rsidRDefault="00B70F09" w:rsidP="007B2B50">
            <w:pPr>
              <w:spacing w:after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6FB0" w14:textId="77777777" w:rsidR="00B70F09" w:rsidRPr="00595069" w:rsidRDefault="00B70F09" w:rsidP="000211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JEFE OFIC</w:t>
            </w:r>
            <w:r w:rsidR="00595069"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5950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NA DE CONTROL INTERNO</w:t>
            </w:r>
          </w:p>
        </w:tc>
      </w:tr>
    </w:tbl>
    <w:p w14:paraId="7CFE8726" w14:textId="77777777" w:rsidR="001D6335" w:rsidRDefault="001D6335" w:rsidP="007B2B50">
      <w:pPr>
        <w:spacing w:after="0"/>
        <w:rPr>
          <w:rFonts w:ascii="Arial Narrow" w:hAnsi="Arial Narrow"/>
          <w:b/>
          <w:lang w:val="es-CO"/>
        </w:rPr>
      </w:pPr>
    </w:p>
    <w:p w14:paraId="4B93C23E" w14:textId="77777777" w:rsidR="007B2B50" w:rsidRDefault="007B2B50" w:rsidP="007B2B50">
      <w:pPr>
        <w:spacing w:after="0"/>
        <w:rPr>
          <w:rFonts w:ascii="Arial Narrow" w:hAnsi="Arial Narrow" w:cs="Arial"/>
          <w:b/>
        </w:rPr>
      </w:pPr>
    </w:p>
    <w:p w14:paraId="7E8FA268" w14:textId="77777777" w:rsidR="007F3D09" w:rsidRPr="00595069" w:rsidRDefault="007F3D09" w:rsidP="007B2B50">
      <w:pPr>
        <w:spacing w:after="0"/>
        <w:rPr>
          <w:rFonts w:ascii="Arial Narrow" w:hAnsi="Arial Narrow" w:cs="Arial"/>
          <w:b/>
        </w:rPr>
      </w:pPr>
      <w:r w:rsidRPr="00595069">
        <w:rPr>
          <w:rFonts w:ascii="Arial Narrow" w:hAnsi="Arial Narrow" w:cs="Arial"/>
          <w:b/>
        </w:rPr>
        <w:t>ANEXOS</w:t>
      </w:r>
    </w:p>
    <w:p w14:paraId="67566079" w14:textId="77777777" w:rsidR="00807453" w:rsidRDefault="00595069" w:rsidP="007B2B50">
      <w:pPr>
        <w:spacing w:after="0"/>
        <w:rPr>
          <w:rFonts w:ascii="Arial" w:hAnsi="Arial" w:cs="Arial"/>
          <w:b/>
          <w:sz w:val="22"/>
          <w:szCs w:val="22"/>
        </w:rPr>
      </w:pPr>
      <w:r w:rsidRPr="00595069">
        <w:rPr>
          <w:rFonts w:ascii="Arial" w:hAnsi="Arial" w:cs="Arial"/>
          <w:b/>
          <w:sz w:val="22"/>
          <w:szCs w:val="22"/>
        </w:rPr>
        <w:t>CONTROL DE CAMBIOS</w:t>
      </w:r>
    </w:p>
    <w:p w14:paraId="77BFE2FC" w14:textId="77777777" w:rsidR="007B2B50" w:rsidRDefault="007B2B50" w:rsidP="007B2B50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4648" w:type="pct"/>
        <w:jc w:val="center"/>
        <w:tblLook w:val="04A0" w:firstRow="1" w:lastRow="0" w:firstColumn="1" w:lastColumn="0" w:noHBand="0" w:noVBand="1"/>
      </w:tblPr>
      <w:tblGrid>
        <w:gridCol w:w="1044"/>
        <w:gridCol w:w="2903"/>
        <w:gridCol w:w="4892"/>
      </w:tblGrid>
      <w:tr w:rsidR="00807453" w:rsidRPr="009541C3" w14:paraId="6DC36B72" w14:textId="77777777" w:rsidTr="008245FC">
        <w:trPr>
          <w:trHeight w:val="395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1773E65E" w14:textId="77777777" w:rsidR="00807453" w:rsidRPr="009541C3" w:rsidRDefault="00807453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14:paraId="545971B3" w14:textId="77777777" w:rsidR="00807453" w:rsidRPr="009541C3" w:rsidRDefault="00807453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066BB9CC" w14:textId="77777777" w:rsidR="00807453" w:rsidRPr="009541C3" w:rsidRDefault="00807453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807453" w:rsidRPr="00C431C5" w14:paraId="5616AC7E" w14:textId="77777777" w:rsidTr="008245FC">
        <w:trPr>
          <w:trHeight w:val="395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7CFDF849" w14:textId="77777777" w:rsidR="00807453" w:rsidRPr="00C527AC" w:rsidRDefault="00807453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362AFCBC" w14:textId="77777777" w:rsidR="00807453" w:rsidRPr="00173778" w:rsidRDefault="00173778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3778">
              <w:rPr>
                <w:rFonts w:ascii="Arial" w:hAnsi="Arial" w:cs="Arial"/>
                <w:sz w:val="20"/>
                <w:szCs w:val="20"/>
              </w:rPr>
              <w:t>04/08/2014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2A2E87A6" w14:textId="77777777" w:rsidR="00807453" w:rsidRPr="00C527AC" w:rsidRDefault="00807453" w:rsidP="007B2B50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formato</w:t>
            </w:r>
            <w:r w:rsid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73778" w:rsidRPr="00C431C5" w14:paraId="3CA85C81" w14:textId="77777777" w:rsidTr="008245FC">
        <w:trPr>
          <w:trHeight w:val="395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3EE438A9" w14:textId="77777777" w:rsidR="00173778" w:rsidRPr="00C527AC" w:rsidRDefault="00173778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545E91E5" w14:textId="77777777" w:rsidR="00173778" w:rsidRPr="004E129F" w:rsidRDefault="00173778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9F">
              <w:rPr>
                <w:rFonts w:ascii="Arial" w:hAnsi="Arial" w:cs="Arial"/>
                <w:sz w:val="20"/>
                <w:szCs w:val="20"/>
              </w:rPr>
              <w:t>09/03/20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4B0FEA9D" w14:textId="77777777" w:rsidR="00173778" w:rsidRPr="00C527AC" w:rsidRDefault="00173778" w:rsidP="007B2B50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 revisar el formato se evidencia que la casilla fecha de informe está repetida.</w:t>
            </w:r>
          </w:p>
        </w:tc>
      </w:tr>
      <w:tr w:rsidR="00807453" w:rsidRPr="00A522F1" w14:paraId="7E2DA534" w14:textId="77777777" w:rsidTr="008245FC">
        <w:trPr>
          <w:trHeight w:val="481"/>
          <w:jc w:val="center"/>
        </w:trPr>
        <w:tc>
          <w:tcPr>
            <w:tcW w:w="591" w:type="pct"/>
          </w:tcPr>
          <w:p w14:paraId="21F1A80B" w14:textId="77777777" w:rsidR="00807453" w:rsidRPr="00C527AC" w:rsidRDefault="00173778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48537665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2" w:type="pct"/>
            <w:vAlign w:val="center"/>
          </w:tcPr>
          <w:p w14:paraId="4EC8660B" w14:textId="77777777" w:rsidR="00807453" w:rsidRPr="00C527AC" w:rsidRDefault="004E129F" w:rsidP="007B2B5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06/</w:t>
            </w:r>
            <w:r w:rsidR="005B2817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767" w:type="pct"/>
            <w:vAlign w:val="center"/>
          </w:tcPr>
          <w:p w14:paraId="78FF88BD" w14:textId="77777777" w:rsidR="00807453" w:rsidRPr="00C527AC" w:rsidRDefault="00537AB4" w:rsidP="007B2B5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7837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modifica </w:t>
            </w:r>
            <w:r w:rsidR="00C527AC"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formato y se</w:t>
            </w: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adiciona firma aprobación del </w:t>
            </w:r>
            <w:r w:rsid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Jefe Oficina de Control Interno.</w:t>
            </w:r>
          </w:p>
        </w:tc>
      </w:tr>
      <w:bookmarkEnd w:id="0"/>
    </w:tbl>
    <w:p w14:paraId="3827C77C" w14:textId="77777777" w:rsidR="00A14FAB" w:rsidRPr="000831BE" w:rsidRDefault="00A14FAB" w:rsidP="007B2B50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sectPr w:rsidR="00A14FAB" w:rsidRPr="000831BE" w:rsidSect="00EE192F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5640A" w14:textId="77777777" w:rsidR="00676E04" w:rsidRDefault="00676E04">
      <w:pPr>
        <w:spacing w:after="0"/>
      </w:pPr>
      <w:r>
        <w:separator/>
      </w:r>
    </w:p>
  </w:endnote>
  <w:endnote w:type="continuationSeparator" w:id="0">
    <w:p w14:paraId="1AB65684" w14:textId="77777777" w:rsidR="00676E04" w:rsidRDefault="0067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1DC0" w14:textId="77777777" w:rsidR="00666570" w:rsidRDefault="00666570" w:rsidP="00C446A2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14:paraId="49354343" w14:textId="77777777" w:rsidR="00666570" w:rsidRDefault="00666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AF4C" w14:textId="77777777" w:rsidR="00676E04" w:rsidRDefault="00676E04">
      <w:pPr>
        <w:spacing w:after="0"/>
      </w:pPr>
      <w:r>
        <w:separator/>
      </w:r>
    </w:p>
  </w:footnote>
  <w:footnote w:type="continuationSeparator" w:id="0">
    <w:p w14:paraId="79809E7B" w14:textId="77777777" w:rsidR="00676E04" w:rsidRDefault="00676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3115" w14:textId="77777777" w:rsidR="00666570" w:rsidRDefault="006665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4FD94EDC" wp14:editId="5EB328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D8B6" w14:textId="77777777" w:rsidR="00666570" w:rsidRDefault="00666570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14:paraId="1255A11A" w14:textId="77777777" w:rsidR="00666570" w:rsidRDefault="00666570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699"/>
    </w:tblGrid>
    <w:tr w:rsidR="00666570" w:rsidRPr="0044395D" w14:paraId="1EB9DB4D" w14:textId="77777777" w:rsidTr="00C446A2">
      <w:trPr>
        <w:trHeight w:val="416"/>
      </w:trPr>
      <w:tc>
        <w:tcPr>
          <w:tcW w:w="3035" w:type="dxa"/>
          <w:vMerge w:val="restart"/>
          <w:shd w:val="clear" w:color="auto" w:fill="auto"/>
        </w:tcPr>
        <w:p w14:paraId="7A1213E5" w14:textId="77777777" w:rsidR="00666570" w:rsidRDefault="00666570" w:rsidP="00EF7F03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1A345393" wp14:editId="6476F056">
                <wp:simplePos x="0" y="0"/>
                <wp:positionH relativeFrom="column">
                  <wp:posOffset>-102870</wp:posOffset>
                </wp:positionH>
                <wp:positionV relativeFrom="paragraph">
                  <wp:posOffset>245745</wp:posOffset>
                </wp:positionV>
                <wp:extent cx="1945270" cy="499024"/>
                <wp:effectExtent l="0" t="0" r="0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2C93A-B656-4B78-A902-CD369987EA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B2A2C93A-B656-4B78-A902-CD369987EAA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270" cy="4990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14:paraId="229233E6" w14:textId="77777777" w:rsidR="00666570" w:rsidRDefault="00666570" w:rsidP="00EF7F03">
          <w:pPr>
            <w:widowControl w:val="0"/>
            <w:rPr>
              <w:noProof/>
              <w:sz w:val="16"/>
              <w:szCs w:val="16"/>
            </w:rPr>
          </w:pPr>
        </w:p>
        <w:p w14:paraId="5DDDD432" w14:textId="77777777" w:rsidR="00666570" w:rsidRPr="00C225FB" w:rsidRDefault="00666570" w:rsidP="00EF7F03">
          <w:pPr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50021"/>
          <w:vAlign w:val="center"/>
        </w:tcPr>
        <w:p w14:paraId="2222739C" w14:textId="77777777" w:rsidR="00666570" w:rsidRPr="00595069" w:rsidRDefault="00666570" w:rsidP="0017506B">
          <w:pPr>
            <w:widowControl w:val="0"/>
            <w:spacing w:after="0" w:line="240" w:lineRule="atLeast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INFORME DE SEGUIMIENTO</w:t>
          </w:r>
        </w:p>
      </w:tc>
    </w:tr>
    <w:tr w:rsidR="00666570" w:rsidRPr="00C446A2" w14:paraId="11EED3C0" w14:textId="77777777" w:rsidTr="00294040">
      <w:tblPrEx>
        <w:tblCellMar>
          <w:left w:w="108" w:type="dxa"/>
          <w:right w:w="108" w:type="dxa"/>
        </w:tblCellMar>
      </w:tblPrEx>
      <w:trPr>
        <w:trHeight w:val="375"/>
      </w:trPr>
      <w:tc>
        <w:tcPr>
          <w:tcW w:w="3035" w:type="dxa"/>
          <w:vMerge/>
          <w:shd w:val="clear" w:color="auto" w:fill="auto"/>
        </w:tcPr>
        <w:p w14:paraId="5B1ED237" w14:textId="77777777" w:rsidR="00666570" w:rsidRPr="00C225FB" w:rsidRDefault="00666570" w:rsidP="00294040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14:paraId="48737F7E" w14:textId="77777777" w:rsidR="00666570" w:rsidRPr="00C225FB" w:rsidRDefault="00666570" w:rsidP="00294040">
          <w:pPr>
            <w:widowControl w:val="0"/>
            <w:spacing w:after="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>
            <w:rPr>
              <w:rFonts w:ascii="Arial" w:hAnsi="Arial" w:cs="Arial"/>
              <w:color w:val="000000"/>
              <w:sz w:val="16"/>
              <w:szCs w:val="16"/>
            </w:rPr>
            <w:t>ELABORACIÓ</w:t>
          </w:r>
          <w:r w:rsidRPr="00EA3C1C">
            <w:rPr>
              <w:rFonts w:ascii="Arial" w:hAnsi="Arial" w:cs="Arial"/>
              <w:color w:val="000000"/>
              <w:sz w:val="16"/>
              <w:szCs w:val="16"/>
            </w:rPr>
            <w:t>N DE INFORMES INTERNOS, EXTERNOS POR REQUERIMIENTO LEGAL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 OTROS INFORMES.</w:t>
          </w:r>
        </w:p>
      </w:tc>
    </w:tr>
    <w:tr w:rsidR="00666570" w:rsidRPr="0044395D" w14:paraId="46EFCF44" w14:textId="77777777" w:rsidTr="009E6F3E">
      <w:tblPrEx>
        <w:tblCellMar>
          <w:left w:w="108" w:type="dxa"/>
          <w:right w:w="108" w:type="dxa"/>
        </w:tblCellMar>
      </w:tblPrEx>
      <w:trPr>
        <w:trHeight w:hRule="exact" w:val="288"/>
      </w:trPr>
      <w:tc>
        <w:tcPr>
          <w:tcW w:w="3035" w:type="dxa"/>
          <w:vMerge/>
          <w:shd w:val="clear" w:color="auto" w:fill="auto"/>
        </w:tcPr>
        <w:p w14:paraId="123E3176" w14:textId="77777777" w:rsidR="00666570" w:rsidRPr="00C225FB" w:rsidRDefault="00666570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14:paraId="76FC44FF" w14:textId="77777777" w:rsidR="00666570" w:rsidRPr="00C225FB" w:rsidRDefault="00666570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 EVALUACIÒN INDEPENDIENTE.</w:t>
          </w:r>
        </w:p>
      </w:tc>
    </w:tr>
    <w:tr w:rsidR="00666570" w:rsidRPr="00C64C3C" w14:paraId="3EF31188" w14:textId="77777777" w:rsidTr="00C446A2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035" w:type="dxa"/>
          <w:vMerge/>
          <w:shd w:val="clear" w:color="auto" w:fill="auto"/>
        </w:tcPr>
        <w:p w14:paraId="78EF3B71" w14:textId="77777777" w:rsidR="00666570" w:rsidRPr="00C64C3C" w:rsidRDefault="00666570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14:paraId="0CC852CB" w14:textId="77777777" w:rsidR="00666570" w:rsidRPr="00C64C3C" w:rsidRDefault="00666570" w:rsidP="00B14AEC">
          <w:pPr>
            <w:pStyle w:val="Encabezado"/>
            <w:widowControl w:val="0"/>
            <w:spacing w:line="240" w:lineRule="atLeast"/>
            <w:ind w:left="-9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Código:  </w:t>
          </w:r>
          <w:bookmarkStart w:id="1" w:name="_Hlk485376669"/>
          <w:r w:rsidRPr="00C64C3C">
            <w:rPr>
              <w:rFonts w:ascii="Arial" w:hAnsi="Arial" w:cs="Arial"/>
              <w:sz w:val="16"/>
              <w:szCs w:val="16"/>
            </w:rPr>
            <w:t>150.19.15-10</w:t>
          </w:r>
          <w:bookmarkEnd w:id="1"/>
        </w:p>
      </w:tc>
      <w:tc>
        <w:tcPr>
          <w:tcW w:w="1475" w:type="dxa"/>
          <w:shd w:val="clear" w:color="auto" w:fill="auto"/>
        </w:tcPr>
        <w:p w14:paraId="7C1CE938" w14:textId="77777777" w:rsidR="00666570" w:rsidRPr="00C64C3C" w:rsidRDefault="00666570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Versión:  0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</w:tcPr>
        <w:p w14:paraId="7C2C0160" w14:textId="77777777" w:rsidR="00666570" w:rsidRPr="00C64C3C" w:rsidRDefault="00666570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Fecha:</w:t>
          </w:r>
          <w:r w:rsidRPr="00C64C3C">
            <w:rPr>
              <w:rFonts w:cs="Arial"/>
              <w:sz w:val="16"/>
              <w:szCs w:val="16"/>
            </w:rPr>
            <w:t xml:space="preserve">  </w:t>
          </w:r>
          <w:r>
            <w:rPr>
              <w:rFonts w:cs="Arial"/>
              <w:sz w:val="16"/>
              <w:szCs w:val="16"/>
            </w:rPr>
            <w:t>26/07</w:t>
          </w:r>
          <w:r w:rsidRPr="00C64C3C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>2018</w:t>
          </w:r>
        </w:p>
      </w:tc>
      <w:tc>
        <w:tcPr>
          <w:tcW w:w="1699" w:type="dxa"/>
          <w:shd w:val="clear" w:color="auto" w:fill="auto"/>
        </w:tcPr>
        <w:p w14:paraId="3F3DBFC7" w14:textId="77777777" w:rsidR="00666570" w:rsidRPr="00C64C3C" w:rsidRDefault="00666570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</w:rPr>
            <w:t>13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  <w:r w:rsidRPr="00C64C3C">
            <w:rPr>
              <w:rFonts w:ascii="Arial" w:hAnsi="Arial" w:cs="Arial"/>
              <w:sz w:val="16"/>
              <w:szCs w:val="22"/>
            </w:rPr>
            <w:t xml:space="preserve"> de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</w:rPr>
            <w:t>13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0DF458E3" w14:textId="77777777" w:rsidR="00666570" w:rsidRPr="00C64C3C" w:rsidRDefault="00666570" w:rsidP="00294040">
    <w:pPr>
      <w:pStyle w:val="Encabezado"/>
      <w:tabs>
        <w:tab w:val="clear" w:pos="8504"/>
        <w:tab w:val="left" w:pos="4956"/>
        <w:tab w:val="left" w:pos="5664"/>
        <w:tab w:val="left" w:pos="6372"/>
      </w:tabs>
      <w:spacing w:line="240" w:lineRule="atLeast"/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0762" w14:textId="77777777" w:rsidR="00666570" w:rsidRDefault="006665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41EF0D73" wp14:editId="0AE3D8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A99"/>
    <w:multiLevelType w:val="multilevel"/>
    <w:tmpl w:val="2DCE9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6F137B"/>
    <w:multiLevelType w:val="hybridMultilevel"/>
    <w:tmpl w:val="6220BE4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E97"/>
    <w:multiLevelType w:val="hybridMultilevel"/>
    <w:tmpl w:val="945C15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7FDE"/>
    <w:multiLevelType w:val="multilevel"/>
    <w:tmpl w:val="88DA7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134BBB"/>
    <w:multiLevelType w:val="multilevel"/>
    <w:tmpl w:val="2752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0F18D8"/>
    <w:multiLevelType w:val="hybridMultilevel"/>
    <w:tmpl w:val="6298F280"/>
    <w:lvl w:ilvl="0" w:tplc="BB0C3868">
      <w:start w:val="1"/>
      <w:numFmt w:val="decimal"/>
      <w:lvlText w:val="%1."/>
      <w:lvlJc w:val="left"/>
      <w:pPr>
        <w:ind w:left="720" w:hanging="360"/>
      </w:pPr>
      <w:rPr>
        <w:rFonts w:ascii="Century Gothic" w:eastAsia="Cambria" w:hAnsi="Century Gothic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12A42F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1546"/>
    <w:multiLevelType w:val="hybridMultilevel"/>
    <w:tmpl w:val="587AB7A0"/>
    <w:lvl w:ilvl="0" w:tplc="2BD4EC28">
      <w:start w:val="8"/>
      <w:numFmt w:val="bullet"/>
      <w:lvlText w:val="-"/>
      <w:lvlJc w:val="left"/>
      <w:pPr>
        <w:ind w:left="499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5948"/>
    <w:multiLevelType w:val="hybridMultilevel"/>
    <w:tmpl w:val="4C246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E2A04"/>
    <w:multiLevelType w:val="multilevel"/>
    <w:tmpl w:val="2D8A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DCD1A80"/>
    <w:multiLevelType w:val="hybridMultilevel"/>
    <w:tmpl w:val="A2620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24D4"/>
    <w:multiLevelType w:val="hybridMultilevel"/>
    <w:tmpl w:val="A372F4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3DC3"/>
    <w:multiLevelType w:val="hybridMultilevel"/>
    <w:tmpl w:val="D228F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F12CE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FBD5458"/>
    <w:multiLevelType w:val="multilevel"/>
    <w:tmpl w:val="E48C8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FF1E1E"/>
    <w:multiLevelType w:val="hybridMultilevel"/>
    <w:tmpl w:val="4DB6BF3C"/>
    <w:lvl w:ilvl="0" w:tplc="240A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2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BA93E5B"/>
    <w:multiLevelType w:val="multilevel"/>
    <w:tmpl w:val="7AC43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693056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56108F6"/>
    <w:multiLevelType w:val="hybridMultilevel"/>
    <w:tmpl w:val="8F2C0DB6"/>
    <w:lvl w:ilvl="0" w:tplc="7F86C8A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47B83"/>
    <w:multiLevelType w:val="hybridMultilevel"/>
    <w:tmpl w:val="17520D5E"/>
    <w:lvl w:ilvl="0" w:tplc="92C40A5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6B62A8"/>
    <w:multiLevelType w:val="multilevel"/>
    <w:tmpl w:val="42F653D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abstractNum w:abstractNumId="38" w15:restartNumberingAfterBreak="0">
    <w:nsid w:val="7F7875F8"/>
    <w:multiLevelType w:val="hybridMultilevel"/>
    <w:tmpl w:val="FE20A820"/>
    <w:lvl w:ilvl="0" w:tplc="2BD4EC28">
      <w:start w:val="8"/>
      <w:numFmt w:val="bullet"/>
      <w:lvlText w:val="-"/>
      <w:lvlJc w:val="left"/>
      <w:pPr>
        <w:ind w:left="499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0"/>
  </w:num>
  <w:num w:numId="4">
    <w:abstractNumId w:val="19"/>
  </w:num>
  <w:num w:numId="5">
    <w:abstractNumId w:val="36"/>
  </w:num>
  <w:num w:numId="6">
    <w:abstractNumId w:val="24"/>
  </w:num>
  <w:num w:numId="7">
    <w:abstractNumId w:val="14"/>
  </w:num>
  <w:num w:numId="8">
    <w:abstractNumId w:val="9"/>
  </w:num>
  <w:num w:numId="9">
    <w:abstractNumId w:val="8"/>
  </w:num>
  <w:num w:numId="10">
    <w:abstractNumId w:val="28"/>
  </w:num>
  <w:num w:numId="11">
    <w:abstractNumId w:val="29"/>
  </w:num>
  <w:num w:numId="12">
    <w:abstractNumId w:val="33"/>
  </w:num>
  <w:num w:numId="13">
    <w:abstractNumId w:val="11"/>
  </w:num>
  <w:num w:numId="14">
    <w:abstractNumId w:val="4"/>
  </w:num>
  <w:num w:numId="15">
    <w:abstractNumId w:val="25"/>
  </w:num>
  <w:num w:numId="16">
    <w:abstractNumId w:val="34"/>
  </w:num>
  <w:num w:numId="17">
    <w:abstractNumId w:val="37"/>
  </w:num>
  <w:num w:numId="18">
    <w:abstractNumId w:val="23"/>
  </w:num>
  <w:num w:numId="19">
    <w:abstractNumId w:val="15"/>
  </w:num>
  <w:num w:numId="20">
    <w:abstractNumId w:val="16"/>
  </w:num>
  <w:num w:numId="21">
    <w:abstractNumId w:val="27"/>
  </w:num>
  <w:num w:numId="22">
    <w:abstractNumId w:val="35"/>
  </w:num>
  <w:num w:numId="23">
    <w:abstractNumId w:val="0"/>
  </w:num>
  <w:num w:numId="24">
    <w:abstractNumId w:val="21"/>
  </w:num>
  <w:num w:numId="25">
    <w:abstractNumId w:val="6"/>
  </w:num>
  <w:num w:numId="26">
    <w:abstractNumId w:val="13"/>
  </w:num>
  <w:num w:numId="27">
    <w:abstractNumId w:val="38"/>
  </w:num>
  <w:num w:numId="28">
    <w:abstractNumId w:val="20"/>
  </w:num>
  <w:num w:numId="29">
    <w:abstractNumId w:val="17"/>
  </w:num>
  <w:num w:numId="30">
    <w:abstractNumId w:val="1"/>
  </w:num>
  <w:num w:numId="31">
    <w:abstractNumId w:val="18"/>
  </w:num>
  <w:num w:numId="32">
    <w:abstractNumId w:val="31"/>
  </w:num>
  <w:num w:numId="33">
    <w:abstractNumId w:val="12"/>
  </w:num>
  <w:num w:numId="34">
    <w:abstractNumId w:val="2"/>
  </w:num>
  <w:num w:numId="35">
    <w:abstractNumId w:val="26"/>
  </w:num>
  <w:num w:numId="36">
    <w:abstractNumId w:val="5"/>
  </w:num>
  <w:num w:numId="37">
    <w:abstractNumId w:val="22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0B41"/>
    <w:rsid w:val="0001136B"/>
    <w:rsid w:val="00016FCD"/>
    <w:rsid w:val="00016FF1"/>
    <w:rsid w:val="00017C75"/>
    <w:rsid w:val="0002118C"/>
    <w:rsid w:val="00021FA0"/>
    <w:rsid w:val="00035906"/>
    <w:rsid w:val="0003770F"/>
    <w:rsid w:val="00046E51"/>
    <w:rsid w:val="000501E9"/>
    <w:rsid w:val="0005148B"/>
    <w:rsid w:val="00053882"/>
    <w:rsid w:val="00053FF2"/>
    <w:rsid w:val="00054426"/>
    <w:rsid w:val="0006017C"/>
    <w:rsid w:val="000666FB"/>
    <w:rsid w:val="00070BE5"/>
    <w:rsid w:val="00071108"/>
    <w:rsid w:val="00072130"/>
    <w:rsid w:val="00075304"/>
    <w:rsid w:val="00080481"/>
    <w:rsid w:val="000831BE"/>
    <w:rsid w:val="000839CC"/>
    <w:rsid w:val="00084629"/>
    <w:rsid w:val="00092DEC"/>
    <w:rsid w:val="00095458"/>
    <w:rsid w:val="00096A9C"/>
    <w:rsid w:val="00096E13"/>
    <w:rsid w:val="000A3C94"/>
    <w:rsid w:val="000A3D55"/>
    <w:rsid w:val="000A4528"/>
    <w:rsid w:val="000A7CA4"/>
    <w:rsid w:val="000B0FF5"/>
    <w:rsid w:val="000B1B69"/>
    <w:rsid w:val="000B1CAA"/>
    <w:rsid w:val="000B3A09"/>
    <w:rsid w:val="000B4DAB"/>
    <w:rsid w:val="000D0D69"/>
    <w:rsid w:val="000D182A"/>
    <w:rsid w:val="000D2447"/>
    <w:rsid w:val="000D5FE0"/>
    <w:rsid w:val="000D6221"/>
    <w:rsid w:val="000D6763"/>
    <w:rsid w:val="000E350D"/>
    <w:rsid w:val="000E6954"/>
    <w:rsid w:val="000F10D2"/>
    <w:rsid w:val="000F1D5D"/>
    <w:rsid w:val="000F36A6"/>
    <w:rsid w:val="000F539E"/>
    <w:rsid w:val="00103199"/>
    <w:rsid w:val="00110BEE"/>
    <w:rsid w:val="001111BB"/>
    <w:rsid w:val="00127711"/>
    <w:rsid w:val="001369DA"/>
    <w:rsid w:val="0014163C"/>
    <w:rsid w:val="00145604"/>
    <w:rsid w:val="001458AE"/>
    <w:rsid w:val="0015121C"/>
    <w:rsid w:val="00151F9E"/>
    <w:rsid w:val="00161257"/>
    <w:rsid w:val="001639DF"/>
    <w:rsid w:val="0016467C"/>
    <w:rsid w:val="001651D8"/>
    <w:rsid w:val="00166B8B"/>
    <w:rsid w:val="00166DE2"/>
    <w:rsid w:val="0017127A"/>
    <w:rsid w:val="00171E31"/>
    <w:rsid w:val="00173778"/>
    <w:rsid w:val="00173B43"/>
    <w:rsid w:val="0017506B"/>
    <w:rsid w:val="00177334"/>
    <w:rsid w:val="00182C88"/>
    <w:rsid w:val="001863C0"/>
    <w:rsid w:val="00187F9F"/>
    <w:rsid w:val="00192A18"/>
    <w:rsid w:val="001942E2"/>
    <w:rsid w:val="001A4320"/>
    <w:rsid w:val="001B1713"/>
    <w:rsid w:val="001B3AE0"/>
    <w:rsid w:val="001B703A"/>
    <w:rsid w:val="001C2753"/>
    <w:rsid w:val="001D6335"/>
    <w:rsid w:val="001E1259"/>
    <w:rsid w:val="001E2632"/>
    <w:rsid w:val="001E7620"/>
    <w:rsid w:val="001F0021"/>
    <w:rsid w:val="001F0E6D"/>
    <w:rsid w:val="001F261F"/>
    <w:rsid w:val="001F5D33"/>
    <w:rsid w:val="001F5E23"/>
    <w:rsid w:val="002006B0"/>
    <w:rsid w:val="00217165"/>
    <w:rsid w:val="00221220"/>
    <w:rsid w:val="0022123A"/>
    <w:rsid w:val="002307FA"/>
    <w:rsid w:val="002347FB"/>
    <w:rsid w:val="0024169D"/>
    <w:rsid w:val="00242C7C"/>
    <w:rsid w:val="00244CA1"/>
    <w:rsid w:val="00251BA1"/>
    <w:rsid w:val="00260188"/>
    <w:rsid w:val="0026698B"/>
    <w:rsid w:val="00270573"/>
    <w:rsid w:val="00272256"/>
    <w:rsid w:val="00272569"/>
    <w:rsid w:val="00273C21"/>
    <w:rsid w:val="0027461E"/>
    <w:rsid w:val="00286317"/>
    <w:rsid w:val="00294040"/>
    <w:rsid w:val="00297BFC"/>
    <w:rsid w:val="002A08EF"/>
    <w:rsid w:val="002B0E50"/>
    <w:rsid w:val="002B6397"/>
    <w:rsid w:val="002B696B"/>
    <w:rsid w:val="002B7A41"/>
    <w:rsid w:val="002C0598"/>
    <w:rsid w:val="002C241F"/>
    <w:rsid w:val="002C3389"/>
    <w:rsid w:val="002C5A3E"/>
    <w:rsid w:val="002E5E64"/>
    <w:rsid w:val="002E6907"/>
    <w:rsid w:val="002F2E76"/>
    <w:rsid w:val="002F54DA"/>
    <w:rsid w:val="00310AE4"/>
    <w:rsid w:val="00311013"/>
    <w:rsid w:val="00315DEC"/>
    <w:rsid w:val="0032144F"/>
    <w:rsid w:val="00323090"/>
    <w:rsid w:val="00326C33"/>
    <w:rsid w:val="00327D50"/>
    <w:rsid w:val="00330E79"/>
    <w:rsid w:val="00332CC0"/>
    <w:rsid w:val="003347FF"/>
    <w:rsid w:val="00343A0E"/>
    <w:rsid w:val="003446B5"/>
    <w:rsid w:val="003622EE"/>
    <w:rsid w:val="003653B5"/>
    <w:rsid w:val="00367D45"/>
    <w:rsid w:val="003760CA"/>
    <w:rsid w:val="00376A9C"/>
    <w:rsid w:val="00377591"/>
    <w:rsid w:val="003779B8"/>
    <w:rsid w:val="00377A6E"/>
    <w:rsid w:val="00381240"/>
    <w:rsid w:val="00382353"/>
    <w:rsid w:val="0038412B"/>
    <w:rsid w:val="003900A2"/>
    <w:rsid w:val="003904C3"/>
    <w:rsid w:val="00393F95"/>
    <w:rsid w:val="003B0748"/>
    <w:rsid w:val="003B09F5"/>
    <w:rsid w:val="003B3A4F"/>
    <w:rsid w:val="003B7FFD"/>
    <w:rsid w:val="003C244A"/>
    <w:rsid w:val="003C4A53"/>
    <w:rsid w:val="003C4F84"/>
    <w:rsid w:val="003C7D7B"/>
    <w:rsid w:val="003D2627"/>
    <w:rsid w:val="003D265E"/>
    <w:rsid w:val="003D3B3E"/>
    <w:rsid w:val="003E0B0A"/>
    <w:rsid w:val="003E4A0E"/>
    <w:rsid w:val="003F0155"/>
    <w:rsid w:val="003F071E"/>
    <w:rsid w:val="003F3467"/>
    <w:rsid w:val="003F6F32"/>
    <w:rsid w:val="003F72A4"/>
    <w:rsid w:val="004261D8"/>
    <w:rsid w:val="00433975"/>
    <w:rsid w:val="00440EA4"/>
    <w:rsid w:val="00445D57"/>
    <w:rsid w:val="00466EC7"/>
    <w:rsid w:val="0046743F"/>
    <w:rsid w:val="0047082A"/>
    <w:rsid w:val="00471AC5"/>
    <w:rsid w:val="004724E3"/>
    <w:rsid w:val="0047523E"/>
    <w:rsid w:val="00476DD6"/>
    <w:rsid w:val="004806A4"/>
    <w:rsid w:val="00482F91"/>
    <w:rsid w:val="00483E1D"/>
    <w:rsid w:val="00493BB6"/>
    <w:rsid w:val="004A1AEA"/>
    <w:rsid w:val="004A3190"/>
    <w:rsid w:val="004A484F"/>
    <w:rsid w:val="004A4EE7"/>
    <w:rsid w:val="004A4F45"/>
    <w:rsid w:val="004A559F"/>
    <w:rsid w:val="004B7E93"/>
    <w:rsid w:val="004C6A08"/>
    <w:rsid w:val="004E129F"/>
    <w:rsid w:val="004F1D14"/>
    <w:rsid w:val="004F3A59"/>
    <w:rsid w:val="004F66FC"/>
    <w:rsid w:val="0050432D"/>
    <w:rsid w:val="00507819"/>
    <w:rsid w:val="0051180D"/>
    <w:rsid w:val="00511EAE"/>
    <w:rsid w:val="00514C31"/>
    <w:rsid w:val="005174B1"/>
    <w:rsid w:val="00517833"/>
    <w:rsid w:val="00524700"/>
    <w:rsid w:val="0053278D"/>
    <w:rsid w:val="00537AB4"/>
    <w:rsid w:val="005427E4"/>
    <w:rsid w:val="00544DB9"/>
    <w:rsid w:val="00554360"/>
    <w:rsid w:val="00556157"/>
    <w:rsid w:val="0055774D"/>
    <w:rsid w:val="00564076"/>
    <w:rsid w:val="005664AB"/>
    <w:rsid w:val="00566B02"/>
    <w:rsid w:val="0057077D"/>
    <w:rsid w:val="005714E4"/>
    <w:rsid w:val="00577E07"/>
    <w:rsid w:val="00590A54"/>
    <w:rsid w:val="00591381"/>
    <w:rsid w:val="00595069"/>
    <w:rsid w:val="005A09C4"/>
    <w:rsid w:val="005A17D9"/>
    <w:rsid w:val="005A6780"/>
    <w:rsid w:val="005B2817"/>
    <w:rsid w:val="005B4C7E"/>
    <w:rsid w:val="005C1358"/>
    <w:rsid w:val="005C3375"/>
    <w:rsid w:val="005D0581"/>
    <w:rsid w:val="005D4A95"/>
    <w:rsid w:val="005D5EC5"/>
    <w:rsid w:val="005E5AA4"/>
    <w:rsid w:val="005E6A02"/>
    <w:rsid w:val="005E6CDC"/>
    <w:rsid w:val="005F4751"/>
    <w:rsid w:val="00600B55"/>
    <w:rsid w:val="006017ED"/>
    <w:rsid w:val="0060248C"/>
    <w:rsid w:val="00614BA9"/>
    <w:rsid w:val="006174CF"/>
    <w:rsid w:val="006174FB"/>
    <w:rsid w:val="00624F89"/>
    <w:rsid w:val="00625C6E"/>
    <w:rsid w:val="00625F5D"/>
    <w:rsid w:val="00626674"/>
    <w:rsid w:val="00631ABD"/>
    <w:rsid w:val="006340A7"/>
    <w:rsid w:val="00635E3E"/>
    <w:rsid w:val="006377BF"/>
    <w:rsid w:val="0064249A"/>
    <w:rsid w:val="00643B53"/>
    <w:rsid w:val="006503C9"/>
    <w:rsid w:val="006506AE"/>
    <w:rsid w:val="0065202F"/>
    <w:rsid w:val="00653F1E"/>
    <w:rsid w:val="00654A67"/>
    <w:rsid w:val="00656309"/>
    <w:rsid w:val="00657EEC"/>
    <w:rsid w:val="0066069E"/>
    <w:rsid w:val="00661695"/>
    <w:rsid w:val="00663BAB"/>
    <w:rsid w:val="00666570"/>
    <w:rsid w:val="00666ED3"/>
    <w:rsid w:val="00670191"/>
    <w:rsid w:val="00675242"/>
    <w:rsid w:val="00676E04"/>
    <w:rsid w:val="00677414"/>
    <w:rsid w:val="006779BF"/>
    <w:rsid w:val="00687A42"/>
    <w:rsid w:val="00690F7C"/>
    <w:rsid w:val="00691BFC"/>
    <w:rsid w:val="006A52BF"/>
    <w:rsid w:val="006A6B5D"/>
    <w:rsid w:val="006B0D70"/>
    <w:rsid w:val="006B1949"/>
    <w:rsid w:val="006B32E9"/>
    <w:rsid w:val="006B3FD3"/>
    <w:rsid w:val="006B5344"/>
    <w:rsid w:val="006B53A1"/>
    <w:rsid w:val="006B7876"/>
    <w:rsid w:val="006D0396"/>
    <w:rsid w:val="006D249D"/>
    <w:rsid w:val="006D46AA"/>
    <w:rsid w:val="006E5FE7"/>
    <w:rsid w:val="006F19C5"/>
    <w:rsid w:val="006F1E21"/>
    <w:rsid w:val="006F3883"/>
    <w:rsid w:val="006F38F2"/>
    <w:rsid w:val="007030F0"/>
    <w:rsid w:val="00704B2C"/>
    <w:rsid w:val="00710D5D"/>
    <w:rsid w:val="00714B4C"/>
    <w:rsid w:val="00717A4F"/>
    <w:rsid w:val="0072107E"/>
    <w:rsid w:val="0072262D"/>
    <w:rsid w:val="00724958"/>
    <w:rsid w:val="0073052A"/>
    <w:rsid w:val="00730AA2"/>
    <w:rsid w:val="0073750F"/>
    <w:rsid w:val="00747B98"/>
    <w:rsid w:val="00751137"/>
    <w:rsid w:val="00752678"/>
    <w:rsid w:val="00753894"/>
    <w:rsid w:val="0076015E"/>
    <w:rsid w:val="007732F5"/>
    <w:rsid w:val="00773A6A"/>
    <w:rsid w:val="007817F2"/>
    <w:rsid w:val="00781FA6"/>
    <w:rsid w:val="0078376B"/>
    <w:rsid w:val="00792049"/>
    <w:rsid w:val="0079375B"/>
    <w:rsid w:val="007A448E"/>
    <w:rsid w:val="007A7FEC"/>
    <w:rsid w:val="007B2B50"/>
    <w:rsid w:val="007B41D7"/>
    <w:rsid w:val="007C2D0E"/>
    <w:rsid w:val="007C33B9"/>
    <w:rsid w:val="007D15A9"/>
    <w:rsid w:val="007D3F98"/>
    <w:rsid w:val="007D58DF"/>
    <w:rsid w:val="007E65C7"/>
    <w:rsid w:val="007E7120"/>
    <w:rsid w:val="007E75CF"/>
    <w:rsid w:val="007E786B"/>
    <w:rsid w:val="007E7920"/>
    <w:rsid w:val="007F3D09"/>
    <w:rsid w:val="00803762"/>
    <w:rsid w:val="00806A83"/>
    <w:rsid w:val="00807453"/>
    <w:rsid w:val="00807908"/>
    <w:rsid w:val="00814AF8"/>
    <w:rsid w:val="008245FC"/>
    <w:rsid w:val="008275CD"/>
    <w:rsid w:val="0083363E"/>
    <w:rsid w:val="00843299"/>
    <w:rsid w:val="00844AAF"/>
    <w:rsid w:val="00845B24"/>
    <w:rsid w:val="00846532"/>
    <w:rsid w:val="00847815"/>
    <w:rsid w:val="00850007"/>
    <w:rsid w:val="008532B5"/>
    <w:rsid w:val="00856AD9"/>
    <w:rsid w:val="00867395"/>
    <w:rsid w:val="00871215"/>
    <w:rsid w:val="00872468"/>
    <w:rsid w:val="00874A09"/>
    <w:rsid w:val="00890A6C"/>
    <w:rsid w:val="00894467"/>
    <w:rsid w:val="008A0089"/>
    <w:rsid w:val="008A0111"/>
    <w:rsid w:val="008A1394"/>
    <w:rsid w:val="008A3595"/>
    <w:rsid w:val="008B50F6"/>
    <w:rsid w:val="008C0846"/>
    <w:rsid w:val="008C229D"/>
    <w:rsid w:val="008D1E77"/>
    <w:rsid w:val="008D2BF6"/>
    <w:rsid w:val="008D3BD8"/>
    <w:rsid w:val="008D503C"/>
    <w:rsid w:val="008D7AF3"/>
    <w:rsid w:val="008E3801"/>
    <w:rsid w:val="008E3D78"/>
    <w:rsid w:val="008E63F2"/>
    <w:rsid w:val="008E64E5"/>
    <w:rsid w:val="008E6E54"/>
    <w:rsid w:val="008E738E"/>
    <w:rsid w:val="008F010C"/>
    <w:rsid w:val="008F1211"/>
    <w:rsid w:val="008F5E06"/>
    <w:rsid w:val="00905562"/>
    <w:rsid w:val="00912704"/>
    <w:rsid w:val="00914524"/>
    <w:rsid w:val="00914568"/>
    <w:rsid w:val="00920FC9"/>
    <w:rsid w:val="009218B3"/>
    <w:rsid w:val="00923B62"/>
    <w:rsid w:val="009254B0"/>
    <w:rsid w:val="00927E8B"/>
    <w:rsid w:val="00930F5A"/>
    <w:rsid w:val="0093104B"/>
    <w:rsid w:val="0094722D"/>
    <w:rsid w:val="00955222"/>
    <w:rsid w:val="00955AAE"/>
    <w:rsid w:val="00955B94"/>
    <w:rsid w:val="00956EA3"/>
    <w:rsid w:val="009623F8"/>
    <w:rsid w:val="00973EA6"/>
    <w:rsid w:val="0097776E"/>
    <w:rsid w:val="0098531B"/>
    <w:rsid w:val="009872C3"/>
    <w:rsid w:val="00991484"/>
    <w:rsid w:val="00992231"/>
    <w:rsid w:val="009930B5"/>
    <w:rsid w:val="0099431D"/>
    <w:rsid w:val="009B1D8B"/>
    <w:rsid w:val="009C51E6"/>
    <w:rsid w:val="009C6F9B"/>
    <w:rsid w:val="009D7818"/>
    <w:rsid w:val="009D7F6F"/>
    <w:rsid w:val="009E0BDD"/>
    <w:rsid w:val="009E0C76"/>
    <w:rsid w:val="009E22F1"/>
    <w:rsid w:val="009E6F3E"/>
    <w:rsid w:val="009F1005"/>
    <w:rsid w:val="009F5897"/>
    <w:rsid w:val="00A00E59"/>
    <w:rsid w:val="00A14FAB"/>
    <w:rsid w:val="00A16F07"/>
    <w:rsid w:val="00A22072"/>
    <w:rsid w:val="00A23C1C"/>
    <w:rsid w:val="00A25CDF"/>
    <w:rsid w:val="00A269F9"/>
    <w:rsid w:val="00A37B50"/>
    <w:rsid w:val="00A4098B"/>
    <w:rsid w:val="00A41FD3"/>
    <w:rsid w:val="00A43BD5"/>
    <w:rsid w:val="00A47003"/>
    <w:rsid w:val="00A479FE"/>
    <w:rsid w:val="00A50231"/>
    <w:rsid w:val="00A53B74"/>
    <w:rsid w:val="00A544CE"/>
    <w:rsid w:val="00A56495"/>
    <w:rsid w:val="00A57572"/>
    <w:rsid w:val="00A57D63"/>
    <w:rsid w:val="00A65066"/>
    <w:rsid w:val="00A67A6B"/>
    <w:rsid w:val="00A73D23"/>
    <w:rsid w:val="00A76CD1"/>
    <w:rsid w:val="00A82B2F"/>
    <w:rsid w:val="00A859B1"/>
    <w:rsid w:val="00A922BD"/>
    <w:rsid w:val="00A924C8"/>
    <w:rsid w:val="00A93D66"/>
    <w:rsid w:val="00A97079"/>
    <w:rsid w:val="00AA3939"/>
    <w:rsid w:val="00AB1BE8"/>
    <w:rsid w:val="00AB21C6"/>
    <w:rsid w:val="00AC390C"/>
    <w:rsid w:val="00AC5DD0"/>
    <w:rsid w:val="00AD238B"/>
    <w:rsid w:val="00AE6B19"/>
    <w:rsid w:val="00AF0960"/>
    <w:rsid w:val="00AF13C9"/>
    <w:rsid w:val="00AF5E0D"/>
    <w:rsid w:val="00B0504F"/>
    <w:rsid w:val="00B07556"/>
    <w:rsid w:val="00B0785A"/>
    <w:rsid w:val="00B10A38"/>
    <w:rsid w:val="00B10A77"/>
    <w:rsid w:val="00B14AEC"/>
    <w:rsid w:val="00B306BF"/>
    <w:rsid w:val="00B349DE"/>
    <w:rsid w:val="00B37194"/>
    <w:rsid w:val="00B40884"/>
    <w:rsid w:val="00B42314"/>
    <w:rsid w:val="00B42CB5"/>
    <w:rsid w:val="00B70F09"/>
    <w:rsid w:val="00B818DE"/>
    <w:rsid w:val="00B829F1"/>
    <w:rsid w:val="00B84145"/>
    <w:rsid w:val="00B877BD"/>
    <w:rsid w:val="00B877CC"/>
    <w:rsid w:val="00B91F95"/>
    <w:rsid w:val="00BA7463"/>
    <w:rsid w:val="00BB01FE"/>
    <w:rsid w:val="00BB156A"/>
    <w:rsid w:val="00BB2011"/>
    <w:rsid w:val="00BB2D1B"/>
    <w:rsid w:val="00BC0D1E"/>
    <w:rsid w:val="00BC2CF4"/>
    <w:rsid w:val="00BD027D"/>
    <w:rsid w:val="00BD09A9"/>
    <w:rsid w:val="00BD2535"/>
    <w:rsid w:val="00BD2E95"/>
    <w:rsid w:val="00BD3B7B"/>
    <w:rsid w:val="00BD3EDC"/>
    <w:rsid w:val="00BD4DF4"/>
    <w:rsid w:val="00BE6169"/>
    <w:rsid w:val="00C052B9"/>
    <w:rsid w:val="00C061EC"/>
    <w:rsid w:val="00C109E9"/>
    <w:rsid w:val="00C140E3"/>
    <w:rsid w:val="00C2751D"/>
    <w:rsid w:val="00C27A4D"/>
    <w:rsid w:val="00C324E2"/>
    <w:rsid w:val="00C32939"/>
    <w:rsid w:val="00C329F6"/>
    <w:rsid w:val="00C33EE2"/>
    <w:rsid w:val="00C37899"/>
    <w:rsid w:val="00C40A16"/>
    <w:rsid w:val="00C43AEC"/>
    <w:rsid w:val="00C446A2"/>
    <w:rsid w:val="00C45F79"/>
    <w:rsid w:val="00C527AC"/>
    <w:rsid w:val="00C55AEB"/>
    <w:rsid w:val="00C55B7B"/>
    <w:rsid w:val="00C5798C"/>
    <w:rsid w:val="00C64C3C"/>
    <w:rsid w:val="00C67989"/>
    <w:rsid w:val="00C70DB1"/>
    <w:rsid w:val="00C73F46"/>
    <w:rsid w:val="00C7450E"/>
    <w:rsid w:val="00C823C6"/>
    <w:rsid w:val="00C87C6F"/>
    <w:rsid w:val="00C91CCB"/>
    <w:rsid w:val="00C96FD1"/>
    <w:rsid w:val="00C97A50"/>
    <w:rsid w:val="00CB0052"/>
    <w:rsid w:val="00CB1814"/>
    <w:rsid w:val="00CB37A9"/>
    <w:rsid w:val="00CB5C3D"/>
    <w:rsid w:val="00CC5FC7"/>
    <w:rsid w:val="00CC75CC"/>
    <w:rsid w:val="00CD333E"/>
    <w:rsid w:val="00CD73A2"/>
    <w:rsid w:val="00CD7616"/>
    <w:rsid w:val="00CE2BDE"/>
    <w:rsid w:val="00CE5248"/>
    <w:rsid w:val="00CE736D"/>
    <w:rsid w:val="00CF2FC0"/>
    <w:rsid w:val="00CF526F"/>
    <w:rsid w:val="00CF55AF"/>
    <w:rsid w:val="00D00A12"/>
    <w:rsid w:val="00D05742"/>
    <w:rsid w:val="00D072E5"/>
    <w:rsid w:val="00D11A60"/>
    <w:rsid w:val="00D17B0F"/>
    <w:rsid w:val="00D2285A"/>
    <w:rsid w:val="00D2605D"/>
    <w:rsid w:val="00D30871"/>
    <w:rsid w:val="00D4091A"/>
    <w:rsid w:val="00D444E0"/>
    <w:rsid w:val="00D45786"/>
    <w:rsid w:val="00D45D95"/>
    <w:rsid w:val="00D4622D"/>
    <w:rsid w:val="00D52F69"/>
    <w:rsid w:val="00D55146"/>
    <w:rsid w:val="00D56A39"/>
    <w:rsid w:val="00D600D4"/>
    <w:rsid w:val="00D60493"/>
    <w:rsid w:val="00D60CE9"/>
    <w:rsid w:val="00D60E3B"/>
    <w:rsid w:val="00D6225E"/>
    <w:rsid w:val="00D62504"/>
    <w:rsid w:val="00D62592"/>
    <w:rsid w:val="00D62C30"/>
    <w:rsid w:val="00D63289"/>
    <w:rsid w:val="00D65E24"/>
    <w:rsid w:val="00D73F0B"/>
    <w:rsid w:val="00D84A48"/>
    <w:rsid w:val="00D851C8"/>
    <w:rsid w:val="00D86B29"/>
    <w:rsid w:val="00D9555B"/>
    <w:rsid w:val="00DA1DAB"/>
    <w:rsid w:val="00DA4C3D"/>
    <w:rsid w:val="00DA77E7"/>
    <w:rsid w:val="00DB25F3"/>
    <w:rsid w:val="00DC11C0"/>
    <w:rsid w:val="00DE2218"/>
    <w:rsid w:val="00DF0635"/>
    <w:rsid w:val="00DF61CF"/>
    <w:rsid w:val="00DF7F68"/>
    <w:rsid w:val="00E01E9C"/>
    <w:rsid w:val="00E02216"/>
    <w:rsid w:val="00E10026"/>
    <w:rsid w:val="00E11A57"/>
    <w:rsid w:val="00E16A8F"/>
    <w:rsid w:val="00E21934"/>
    <w:rsid w:val="00E250B5"/>
    <w:rsid w:val="00E33A7B"/>
    <w:rsid w:val="00E37D38"/>
    <w:rsid w:val="00E41EC8"/>
    <w:rsid w:val="00E44A98"/>
    <w:rsid w:val="00E47160"/>
    <w:rsid w:val="00E50204"/>
    <w:rsid w:val="00E52BA4"/>
    <w:rsid w:val="00E61AC5"/>
    <w:rsid w:val="00E61DCF"/>
    <w:rsid w:val="00E71BBA"/>
    <w:rsid w:val="00E72035"/>
    <w:rsid w:val="00E73C1B"/>
    <w:rsid w:val="00E74744"/>
    <w:rsid w:val="00E74B4F"/>
    <w:rsid w:val="00E750CA"/>
    <w:rsid w:val="00E76FF3"/>
    <w:rsid w:val="00E80823"/>
    <w:rsid w:val="00E82F7C"/>
    <w:rsid w:val="00E83A9A"/>
    <w:rsid w:val="00EA189F"/>
    <w:rsid w:val="00EA1E26"/>
    <w:rsid w:val="00EA3446"/>
    <w:rsid w:val="00EA4E76"/>
    <w:rsid w:val="00EA7502"/>
    <w:rsid w:val="00EB12D7"/>
    <w:rsid w:val="00EB2102"/>
    <w:rsid w:val="00EB21AA"/>
    <w:rsid w:val="00EB298A"/>
    <w:rsid w:val="00EB5474"/>
    <w:rsid w:val="00EB7616"/>
    <w:rsid w:val="00EC1D3F"/>
    <w:rsid w:val="00EC4975"/>
    <w:rsid w:val="00EC5791"/>
    <w:rsid w:val="00ED66AB"/>
    <w:rsid w:val="00EE192F"/>
    <w:rsid w:val="00EE3610"/>
    <w:rsid w:val="00EF0A1B"/>
    <w:rsid w:val="00EF7637"/>
    <w:rsid w:val="00EF7F03"/>
    <w:rsid w:val="00F011B5"/>
    <w:rsid w:val="00F032F9"/>
    <w:rsid w:val="00F113FF"/>
    <w:rsid w:val="00F11C23"/>
    <w:rsid w:val="00F15A84"/>
    <w:rsid w:val="00F2303D"/>
    <w:rsid w:val="00F237D2"/>
    <w:rsid w:val="00F2740B"/>
    <w:rsid w:val="00F3188C"/>
    <w:rsid w:val="00F338AD"/>
    <w:rsid w:val="00F3756C"/>
    <w:rsid w:val="00F43773"/>
    <w:rsid w:val="00F552CB"/>
    <w:rsid w:val="00F64245"/>
    <w:rsid w:val="00F65943"/>
    <w:rsid w:val="00F65D55"/>
    <w:rsid w:val="00F678AD"/>
    <w:rsid w:val="00F732F7"/>
    <w:rsid w:val="00F73A98"/>
    <w:rsid w:val="00F77C1A"/>
    <w:rsid w:val="00F807C0"/>
    <w:rsid w:val="00F93B55"/>
    <w:rsid w:val="00F957ED"/>
    <w:rsid w:val="00F95B20"/>
    <w:rsid w:val="00FA23DC"/>
    <w:rsid w:val="00FA68D9"/>
    <w:rsid w:val="00FA6B3B"/>
    <w:rsid w:val="00FB47CA"/>
    <w:rsid w:val="00FC78EA"/>
    <w:rsid w:val="00FD40C2"/>
    <w:rsid w:val="00FD639F"/>
    <w:rsid w:val="00FE2CDF"/>
    <w:rsid w:val="00FE674B"/>
    <w:rsid w:val="00FE74E9"/>
    <w:rsid w:val="00FF0E7D"/>
    <w:rsid w:val="00FF24FF"/>
    <w:rsid w:val="00FF67DB"/>
    <w:rsid w:val="00FF7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69C9B"/>
  <w15:docId w15:val="{2A61FB7B-DC13-4832-BA9E-EF01B48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03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  <w:style w:type="character" w:customStyle="1" w:styleId="Ttulo1Car">
    <w:name w:val="Título 1 Car"/>
    <w:basedOn w:val="Fuentedeprrafopredeter"/>
    <w:link w:val="Ttulo1"/>
    <w:uiPriority w:val="9"/>
    <w:rsid w:val="007030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2C57-89AA-4FAF-82B4-CFDE37EB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3457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Carlos Arturo Ordonez Castro</cp:lastModifiedBy>
  <cp:revision>6</cp:revision>
  <cp:lastPrinted>2017-11-30T23:12:00Z</cp:lastPrinted>
  <dcterms:created xsi:type="dcterms:W3CDTF">2018-11-16T14:49:00Z</dcterms:created>
  <dcterms:modified xsi:type="dcterms:W3CDTF">2018-11-19T15:12:00Z</dcterms:modified>
</cp:coreProperties>
</file>