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71" w:rsidRDefault="00351471" w:rsidP="00351471">
      <w:pPr>
        <w:pStyle w:val="Pu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 Nº</w:t>
      </w:r>
      <w:r w:rsidRPr="00AA3056">
        <w:rPr>
          <w:rFonts w:ascii="Tahoma" w:hAnsi="Tahoma" w:cs="Tahoma"/>
          <w:color w:val="FFFFFF"/>
          <w:sz w:val="22"/>
          <w:szCs w:val="22"/>
        </w:rPr>
        <w:t>_______</w:t>
      </w:r>
    </w:p>
    <w:p w:rsidR="00351471" w:rsidRPr="00092242" w:rsidRDefault="00351471" w:rsidP="00351471">
      <w:pPr>
        <w:pStyle w:val="Puesto"/>
        <w:jc w:val="left"/>
        <w:rPr>
          <w:rFonts w:ascii="Tahoma" w:hAnsi="Tahoma" w:cs="Tahoma"/>
          <w:sz w:val="22"/>
          <w:szCs w:val="22"/>
        </w:rPr>
      </w:pPr>
    </w:p>
    <w:p w:rsidR="00351471" w:rsidRDefault="00351471" w:rsidP="00351471">
      <w:pPr>
        <w:pStyle w:val="Pu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AUTO</w:t>
      </w:r>
      <w:r w:rsidRPr="00B87C92">
        <w:rPr>
          <w:rFonts w:ascii="Tahoma" w:hAnsi="Tahoma" w:cs="Tahoma"/>
          <w:sz w:val="22"/>
          <w:szCs w:val="22"/>
        </w:rPr>
        <w:t xml:space="preserve"> DE CUMPLIMIENTO DE R</w:t>
      </w:r>
      <w:r>
        <w:rPr>
          <w:rFonts w:ascii="Tahoma" w:hAnsi="Tahoma" w:cs="Tahoma"/>
          <w:sz w:val="22"/>
          <w:szCs w:val="22"/>
        </w:rPr>
        <w:t xml:space="preserve">EQUISITOS DENTRO DEL PROCESO No </w:t>
      </w:r>
      <w:r>
        <w:rPr>
          <w:rFonts w:ascii="Tahoma" w:hAnsi="Tahoma" w:cs="Tahoma"/>
          <w:sz w:val="22"/>
          <w:szCs w:val="22"/>
          <w:highlight w:val="yellow"/>
        </w:rPr>
        <w:fldChar w:fldCharType="begin"/>
      </w:r>
      <w:r>
        <w:rPr>
          <w:rFonts w:ascii="Tahoma" w:hAnsi="Tahoma" w:cs="Tahoma"/>
          <w:sz w:val="22"/>
          <w:szCs w:val="22"/>
          <w:highlight w:val="yellow"/>
        </w:rPr>
        <w:instrText xml:space="preserve"> MERGEFIELD RADICADO_ORFEO </w:instrText>
      </w:r>
      <w:r>
        <w:rPr>
          <w:rFonts w:ascii="Tahoma" w:hAnsi="Tahoma" w:cs="Tahoma"/>
          <w:sz w:val="22"/>
          <w:szCs w:val="22"/>
          <w:highlight w:val="yellow"/>
        </w:rPr>
        <w:fldChar w:fldCharType="separate"/>
      </w:r>
      <w:r>
        <w:rPr>
          <w:rFonts w:ascii="Tahoma" w:hAnsi="Tahoma" w:cs="Tahoma"/>
          <w:noProof/>
          <w:sz w:val="22"/>
          <w:szCs w:val="22"/>
          <w:highlight w:val="yellow"/>
        </w:rPr>
        <w:t>«RADICADO_ORFEO»</w:t>
      </w:r>
      <w:r>
        <w:rPr>
          <w:rFonts w:ascii="Tahoma" w:hAnsi="Tahoma" w:cs="Tahoma"/>
          <w:sz w:val="22"/>
          <w:szCs w:val="22"/>
          <w:highlight w:val="yellow"/>
        </w:rPr>
        <w:fldChar w:fldCharType="end"/>
      </w:r>
    </w:p>
    <w:p w:rsidR="00351471" w:rsidRPr="00B87C92" w:rsidRDefault="00351471" w:rsidP="00351471">
      <w:pPr>
        <w:pStyle w:val="Puesto"/>
        <w:rPr>
          <w:rFonts w:ascii="Tahoma" w:hAnsi="Tahoma" w:cs="Tahoma"/>
          <w:sz w:val="22"/>
          <w:szCs w:val="22"/>
        </w:rPr>
      </w:pPr>
    </w:p>
    <w:p w:rsidR="00351471" w:rsidRPr="00B87C92" w:rsidRDefault="00351471" w:rsidP="00351471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 xml:space="preserve">EL JEFE DE LA OFICINA ASESORA JURÍDICA DE LA UNIDAD PARA LA ATENCIÓN Y REPARACIÓN INTEGRAL A LAS VÍCTIMAS </w:t>
      </w:r>
    </w:p>
    <w:p w:rsidR="00594E0C" w:rsidRPr="00B87C92" w:rsidRDefault="00594E0C" w:rsidP="00594E0C">
      <w:pPr>
        <w:rPr>
          <w:rFonts w:ascii="Tahoma" w:hAnsi="Tahoma" w:cs="Tahoma"/>
          <w:bCs/>
          <w:lang w:val="es-CO"/>
        </w:rPr>
      </w:pPr>
    </w:p>
    <w:p w:rsidR="00594E0C" w:rsidRPr="00B87C92" w:rsidRDefault="00594E0C" w:rsidP="00594E0C">
      <w:pPr>
        <w:jc w:val="center"/>
        <w:rPr>
          <w:rFonts w:ascii="Tahoma" w:hAnsi="Tahoma" w:cs="Tahoma"/>
          <w:bCs/>
          <w:lang w:val="es-CO"/>
        </w:rPr>
      </w:pPr>
      <w:r w:rsidRPr="00B87C92">
        <w:rPr>
          <w:rFonts w:ascii="Tahoma" w:hAnsi="Tahoma" w:cs="Tahoma"/>
          <w:bCs/>
          <w:lang w:val="es-CO"/>
        </w:rPr>
        <w:t xml:space="preserve">En uso de las facultades previstas en el artículo 5 de la Ley 1066 de 2006, los artículos 46,177 y 198 de la Ley 1448 de 2011  y normas reglamentarias,  en especial las conferidas mediante la Resolución No. 603 del 17 de junio de 2013  y,  </w:t>
      </w:r>
    </w:p>
    <w:p w:rsidR="00594E0C" w:rsidRPr="00B87C92" w:rsidRDefault="00594E0C" w:rsidP="00594E0C">
      <w:pPr>
        <w:rPr>
          <w:rFonts w:ascii="Tahoma" w:hAnsi="Tahoma" w:cs="Tahoma"/>
          <w:bCs/>
          <w:lang w:val="es-CO"/>
        </w:rPr>
      </w:pPr>
    </w:p>
    <w:p w:rsidR="00594E0C" w:rsidRPr="00B87C92" w:rsidRDefault="00594E0C" w:rsidP="00594E0C">
      <w:pPr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>CONSIDERANDO</w:t>
      </w:r>
    </w:p>
    <w:p w:rsidR="00594E0C" w:rsidRPr="00B87C92" w:rsidRDefault="00594E0C" w:rsidP="00594E0C">
      <w:pPr>
        <w:jc w:val="both"/>
        <w:rPr>
          <w:rFonts w:ascii="Tahoma" w:eastAsia="Arial Unicode MS" w:hAnsi="Tahoma" w:cs="Tahoma"/>
        </w:rPr>
      </w:pPr>
    </w:p>
    <w:p w:rsidR="00594E0C" w:rsidRPr="00B87C92" w:rsidRDefault="00594E0C" w:rsidP="00594E0C">
      <w:pPr>
        <w:jc w:val="both"/>
        <w:rPr>
          <w:rFonts w:ascii="Tahoma" w:eastAsia="Arial Unicode MS" w:hAnsi="Tahoma" w:cs="Tahoma"/>
        </w:rPr>
      </w:pPr>
      <w:r w:rsidRPr="00B87C92">
        <w:rPr>
          <w:rFonts w:ascii="Tahoma" w:eastAsia="Arial Unicode MS" w:hAnsi="Tahoma" w:cs="Tahoma"/>
        </w:rPr>
        <w:t xml:space="preserve">1. Que el Juzgado XXXXXXXX remitió sentencia condenatoria de fecha XXXXXXX, en la cual se impuso a favor de la Unidad para la Atención y Reparación Integral a las Víctimas- Fondo para la Reparación a las Víctimas el pago de una multa por valor de: XXXXXXXX ($ </w:t>
      </w:r>
      <w:proofErr w:type="spellStart"/>
      <w:r w:rsidRPr="00B87C92">
        <w:rPr>
          <w:rFonts w:ascii="Tahoma" w:eastAsia="Arial Unicode MS" w:hAnsi="Tahoma" w:cs="Tahoma"/>
        </w:rPr>
        <w:t>xxxxx</w:t>
      </w:r>
      <w:proofErr w:type="spellEnd"/>
      <w:r w:rsidRPr="00B87C92">
        <w:rPr>
          <w:rFonts w:ascii="Tahoma" w:eastAsia="Arial Unicode MS" w:hAnsi="Tahoma" w:cs="Tahoma"/>
        </w:rPr>
        <w:t>), a cargo de XXXXXXXX, identificado con C.C. No. XXXXXXXXXX.</w:t>
      </w:r>
    </w:p>
    <w:p w:rsidR="00594E0C" w:rsidRPr="00B87C92" w:rsidRDefault="00594E0C" w:rsidP="00594E0C">
      <w:pPr>
        <w:jc w:val="both"/>
        <w:rPr>
          <w:rFonts w:ascii="Tahoma" w:eastAsia="Arial Unicode MS" w:hAnsi="Tahoma" w:cs="Tahoma"/>
        </w:rPr>
      </w:pPr>
      <w:r w:rsidRPr="00B87C92">
        <w:rPr>
          <w:rFonts w:ascii="Tahoma" w:eastAsia="Arial Unicode MS" w:hAnsi="Tahoma" w:cs="Tahoma"/>
        </w:rPr>
        <w:t>2. Que se observa la constancia secretarial de ejecutoria de la sentencia, conforme el artículo 115 del C.P.C., en la cual se señala</w:t>
      </w:r>
      <w:proofErr w:type="gramStart"/>
      <w:r w:rsidRPr="00B87C92">
        <w:rPr>
          <w:rFonts w:ascii="Tahoma" w:eastAsia="Arial Unicode MS" w:hAnsi="Tahoma" w:cs="Tahoma"/>
        </w:rPr>
        <w:t>:</w:t>
      </w:r>
      <w:r>
        <w:rPr>
          <w:rFonts w:ascii="Tahoma" w:eastAsia="Arial Unicode MS" w:hAnsi="Tahoma" w:cs="Tahoma"/>
        </w:rPr>
        <w:t xml:space="preserve"> </w:t>
      </w:r>
      <w:r w:rsidRPr="00B87C92">
        <w:rPr>
          <w:rFonts w:ascii="Tahoma" w:eastAsia="Arial Unicode MS" w:hAnsi="Tahoma" w:cs="Tahoma"/>
        </w:rPr>
        <w:t>”</w:t>
      </w:r>
      <w:proofErr w:type="gramEnd"/>
      <w:r w:rsidRPr="00B87C92">
        <w:rPr>
          <w:rFonts w:ascii="Tahoma" w:eastAsia="Arial Unicode MS" w:hAnsi="Tahoma" w:cs="Tahoma"/>
          <w:i/>
        </w:rPr>
        <w:t xml:space="preserve">Es primera copia del original, presta merito ejecutivo y se encuentra debidamente ejecutoriada el día </w:t>
      </w:r>
      <w:proofErr w:type="spellStart"/>
      <w:r w:rsidRPr="00B87C92">
        <w:rPr>
          <w:rFonts w:ascii="Tahoma" w:eastAsia="Arial Unicode MS" w:hAnsi="Tahoma" w:cs="Tahoma"/>
          <w:i/>
        </w:rPr>
        <w:t>xxxxx</w:t>
      </w:r>
      <w:proofErr w:type="spellEnd"/>
      <w:r w:rsidRPr="00B87C92">
        <w:rPr>
          <w:rFonts w:ascii="Tahoma" w:eastAsia="Arial Unicode MS" w:hAnsi="Tahoma" w:cs="Tahoma"/>
          <w:i/>
        </w:rPr>
        <w:t xml:space="preserve"> de </w:t>
      </w:r>
      <w:proofErr w:type="spellStart"/>
      <w:r w:rsidRPr="00B87C92">
        <w:rPr>
          <w:rFonts w:ascii="Tahoma" w:eastAsia="Arial Unicode MS" w:hAnsi="Tahoma" w:cs="Tahoma"/>
          <w:i/>
        </w:rPr>
        <w:t>xxxx</w:t>
      </w:r>
      <w:proofErr w:type="spellEnd"/>
      <w:r w:rsidRPr="00B87C92">
        <w:rPr>
          <w:rFonts w:ascii="Tahoma" w:eastAsia="Arial Unicode MS" w:hAnsi="Tahoma" w:cs="Tahoma"/>
          <w:i/>
        </w:rPr>
        <w:t xml:space="preserve"> de 20xxx</w:t>
      </w:r>
      <w:r w:rsidRPr="00B87C92">
        <w:rPr>
          <w:rFonts w:ascii="Tahoma" w:eastAsia="Arial Unicode MS" w:hAnsi="Tahoma" w:cs="Tahoma"/>
        </w:rPr>
        <w:t xml:space="preserve">”. </w:t>
      </w:r>
    </w:p>
    <w:p w:rsidR="00594E0C" w:rsidRPr="00B87C92" w:rsidRDefault="00594E0C" w:rsidP="00594E0C">
      <w:pPr>
        <w:jc w:val="both"/>
        <w:rPr>
          <w:rFonts w:ascii="Tahoma" w:eastAsia="Arial Unicode MS" w:hAnsi="Tahoma" w:cs="Tahoma"/>
        </w:rPr>
      </w:pPr>
      <w:r w:rsidRPr="00B87C92">
        <w:rPr>
          <w:rFonts w:ascii="Tahoma" w:eastAsia="Arial Unicode MS" w:hAnsi="Tahoma" w:cs="Tahoma"/>
        </w:rPr>
        <w:t>3. Que la sentencia contiene una obligación clara, expresa y actualmente exigible, susceptible de ser cobrada por Jurisdicción Coactiva por parte de la Unidad para la Atención y Reparación Integral a las Victimas, de conformidad con el artículo 177 de la Ley 1448 de 2011 y sus normas reglamentarias.</w:t>
      </w:r>
    </w:p>
    <w:p w:rsidR="00594E0C" w:rsidRPr="00B87C92" w:rsidRDefault="00594E0C" w:rsidP="00594E0C">
      <w:pPr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</w:t>
      </w:r>
      <w:r w:rsidRPr="00B87C92">
        <w:rPr>
          <w:rFonts w:ascii="Tahoma" w:eastAsia="Arial Unicode MS" w:hAnsi="Tahoma" w:cs="Tahoma"/>
        </w:rPr>
        <w:t>. Que la sentencia condenatoria referida contiene el nombre, identificación, domicilio, lugar de notificación y la cuantía de la obligación.</w:t>
      </w:r>
    </w:p>
    <w:p w:rsidR="00594E0C" w:rsidRPr="00B87C92" w:rsidRDefault="00594E0C" w:rsidP="00594E0C">
      <w:pPr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5</w:t>
      </w:r>
      <w:r w:rsidRPr="00B87C92">
        <w:rPr>
          <w:rFonts w:ascii="Tahoma" w:eastAsia="Arial Unicode MS" w:hAnsi="Tahoma" w:cs="Tahoma"/>
        </w:rPr>
        <w:t xml:space="preserve">. Que la obligación contenida en </w:t>
      </w:r>
      <w:r>
        <w:rPr>
          <w:rFonts w:ascii="Tahoma" w:eastAsia="Arial Unicode MS" w:hAnsi="Tahoma" w:cs="Tahoma"/>
        </w:rPr>
        <w:t xml:space="preserve">dicha </w:t>
      </w:r>
      <w:r w:rsidRPr="00B87C92">
        <w:rPr>
          <w:rFonts w:ascii="Tahoma" w:eastAsia="Arial Unicode MS" w:hAnsi="Tahoma" w:cs="Tahoma"/>
        </w:rPr>
        <w:t xml:space="preserve">sentencia no se encuentra prescrita, de conformidad con lo previsto en el artículo 817 del Estatuto Tributario Nacional.  </w:t>
      </w:r>
    </w:p>
    <w:p w:rsidR="00351471" w:rsidRPr="00760673" w:rsidRDefault="00351471" w:rsidP="00351471">
      <w:pPr>
        <w:tabs>
          <w:tab w:val="left" w:pos="4962"/>
        </w:tabs>
        <w:jc w:val="both"/>
        <w:rPr>
          <w:rFonts w:ascii="Tahoma" w:eastAsia="Arial Unicode MS" w:hAnsi="Tahoma" w:cs="Tahoma"/>
        </w:rPr>
      </w:pPr>
      <w:r w:rsidRPr="00760673">
        <w:rPr>
          <w:rFonts w:ascii="Tahoma" w:eastAsia="Arial Unicode MS" w:hAnsi="Tahoma" w:cs="Tahoma"/>
        </w:rPr>
        <w:t>En mérito de lo expuesto y de acuerdo con lo ordenado en l</w:t>
      </w:r>
      <w:r>
        <w:rPr>
          <w:rFonts w:ascii="Tahoma" w:eastAsia="Arial Unicode MS" w:hAnsi="Tahoma" w:cs="Tahoma"/>
        </w:rPr>
        <w:t>os</w:t>
      </w:r>
      <w:r w:rsidRPr="00760673">
        <w:rPr>
          <w:rFonts w:ascii="Tahoma" w:eastAsia="Arial Unicode MS" w:hAnsi="Tahoma" w:cs="Tahoma"/>
        </w:rPr>
        <w:t xml:space="preserve"> artículo</w:t>
      </w:r>
      <w:r>
        <w:rPr>
          <w:rFonts w:ascii="Tahoma" w:eastAsia="Arial Unicode MS" w:hAnsi="Tahoma" w:cs="Tahoma"/>
        </w:rPr>
        <w:t>s 14 al 18 de la Resolución 603 de 2013  “</w:t>
      </w:r>
      <w:r>
        <w:rPr>
          <w:rFonts w:ascii="Tahoma" w:eastAsia="Arial Unicode MS" w:hAnsi="Tahoma" w:cs="Tahoma"/>
          <w:i/>
        </w:rPr>
        <w:t>Por la cual se adopta el Reglamento Interno de Recaudo de Cartera y Procedimiento administrativo de cobro coactivo de la Unidad Administrativa Especial para la Atención y Reparación Integral a las Victimas – Fondo para la Reparación de las Victimas”</w:t>
      </w:r>
      <w:r w:rsidRPr="00760673">
        <w:rPr>
          <w:rFonts w:ascii="Tahoma" w:eastAsia="Arial Unicode MS" w:hAnsi="Tahoma" w:cs="Tahoma"/>
        </w:rPr>
        <w:t>, este Despacho</w:t>
      </w:r>
      <w:r>
        <w:rPr>
          <w:rFonts w:ascii="Tahoma" w:eastAsia="Arial Unicode MS" w:hAnsi="Tahoma" w:cs="Tahoma"/>
        </w:rPr>
        <w:t>,</w:t>
      </w:r>
    </w:p>
    <w:p w:rsidR="00594E0C" w:rsidRPr="00351471" w:rsidRDefault="00594E0C" w:rsidP="00594E0C">
      <w:pPr>
        <w:jc w:val="both"/>
        <w:rPr>
          <w:rFonts w:ascii="Tahoma" w:hAnsi="Tahoma" w:cs="Tahoma"/>
          <w:bCs/>
        </w:rPr>
      </w:pPr>
    </w:p>
    <w:p w:rsidR="00594E0C" w:rsidRPr="00B87C92" w:rsidRDefault="00594E0C" w:rsidP="00594E0C">
      <w:pPr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>RESUELVE</w:t>
      </w:r>
    </w:p>
    <w:p w:rsidR="00594E0C" w:rsidRPr="00B87C92" w:rsidRDefault="00594E0C" w:rsidP="00594E0C">
      <w:pPr>
        <w:jc w:val="center"/>
        <w:rPr>
          <w:rFonts w:ascii="Tahoma" w:hAnsi="Tahoma" w:cs="Tahoma"/>
          <w:b/>
          <w:bCs/>
          <w:lang w:val="es-CO"/>
        </w:rPr>
      </w:pPr>
    </w:p>
    <w:p w:rsidR="00351471" w:rsidRPr="00B87C92" w:rsidRDefault="00351471" w:rsidP="00351471">
      <w:pPr>
        <w:jc w:val="both"/>
        <w:rPr>
          <w:rFonts w:ascii="Tahoma" w:hAnsi="Tahoma" w:cs="Tahoma"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 xml:space="preserve">PRIMERO: INICIAR </w:t>
      </w:r>
      <w:r w:rsidRPr="00B87C92">
        <w:rPr>
          <w:rFonts w:ascii="Tahoma" w:hAnsi="Tahoma" w:cs="Tahoma"/>
          <w:bCs/>
          <w:lang w:val="es-CO"/>
        </w:rPr>
        <w:t>la etapa de cobro persuasivo, toda vez que se encuentran reunidos los requisitos exigidos por la normatividad.</w:t>
      </w:r>
    </w:p>
    <w:p w:rsidR="00351471" w:rsidRPr="00B87C92" w:rsidRDefault="00351471" w:rsidP="00351471">
      <w:pPr>
        <w:jc w:val="both"/>
        <w:rPr>
          <w:rFonts w:ascii="Tahoma" w:hAnsi="Tahoma" w:cs="Tahoma"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 xml:space="preserve">SEGUNDO: </w:t>
      </w:r>
      <w:r>
        <w:rPr>
          <w:rFonts w:ascii="Tahoma" w:hAnsi="Tahoma" w:cs="Tahoma"/>
          <w:b/>
          <w:bCs/>
          <w:lang w:val="es-CO"/>
        </w:rPr>
        <w:t>LOCALIZAR Y REQUERIR</w:t>
      </w:r>
      <w:r w:rsidRPr="00B87C92">
        <w:rPr>
          <w:rFonts w:ascii="Tahoma" w:hAnsi="Tahoma" w:cs="Tahoma"/>
          <w:b/>
          <w:bCs/>
          <w:lang w:val="es-CO"/>
        </w:rPr>
        <w:t xml:space="preserve"> </w:t>
      </w:r>
      <w:r w:rsidRPr="00B87C92">
        <w:rPr>
          <w:rFonts w:ascii="Tahoma" w:hAnsi="Tahoma" w:cs="Tahoma"/>
          <w:bCs/>
          <w:lang w:val="es-CO"/>
        </w:rPr>
        <w:t xml:space="preserve">al deudor </w:t>
      </w:r>
      <w:r>
        <w:rPr>
          <w:rFonts w:ascii="Tahoma" w:hAnsi="Tahoma" w:cs="Tahoma"/>
          <w:bCs/>
          <w:lang w:val="es-CO"/>
        </w:rPr>
        <w:t xml:space="preserve">con el </w:t>
      </w:r>
      <w:r w:rsidRPr="00B87C92">
        <w:rPr>
          <w:rFonts w:ascii="Tahoma" w:hAnsi="Tahoma" w:cs="Tahoma"/>
          <w:bCs/>
          <w:lang w:val="es-CO"/>
        </w:rPr>
        <w:t>fin de que efectúe el pago voluntari</w:t>
      </w:r>
      <w:r>
        <w:rPr>
          <w:rFonts w:ascii="Tahoma" w:hAnsi="Tahoma" w:cs="Tahoma"/>
          <w:bCs/>
          <w:lang w:val="es-CO"/>
        </w:rPr>
        <w:t xml:space="preserve">o de la obligación referenciada,  de conformidad con lo </w:t>
      </w:r>
      <w:r w:rsidRPr="00B87C92">
        <w:rPr>
          <w:rFonts w:ascii="Tahoma" w:hAnsi="Tahoma" w:cs="Tahoma"/>
          <w:bCs/>
          <w:lang w:val="es-CO"/>
        </w:rPr>
        <w:t>previsto en la Resolución 603 del 17 de junio de 2013, artículo 15 numeral 2º.</w:t>
      </w:r>
    </w:p>
    <w:p w:rsidR="00351471" w:rsidRDefault="00351471" w:rsidP="00351471">
      <w:pPr>
        <w:jc w:val="both"/>
        <w:rPr>
          <w:rFonts w:ascii="Tahoma" w:hAnsi="Tahoma" w:cs="Tahoma"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 xml:space="preserve">TERCERO: </w:t>
      </w:r>
      <w:r>
        <w:rPr>
          <w:rFonts w:ascii="Tahoma" w:hAnsi="Tahoma" w:cs="Tahoma"/>
          <w:b/>
          <w:bCs/>
          <w:lang w:val="es-CO"/>
        </w:rPr>
        <w:t>ORDENAR</w:t>
      </w:r>
      <w:r w:rsidRPr="00E61E20">
        <w:rPr>
          <w:rFonts w:ascii="Arial" w:hAnsi="Arial" w:cs="Arial"/>
          <w:sz w:val="20"/>
          <w:szCs w:val="20"/>
        </w:rPr>
        <w:t xml:space="preserve"> </w:t>
      </w:r>
      <w:r w:rsidRPr="00E61E20">
        <w:rPr>
          <w:rFonts w:ascii="Tahoma" w:hAnsi="Tahoma" w:cs="Tahoma"/>
          <w:bCs/>
          <w:lang w:val="es-CO"/>
        </w:rPr>
        <w:t>la</w:t>
      </w:r>
      <w:r>
        <w:rPr>
          <w:rFonts w:ascii="Tahoma" w:hAnsi="Tahoma" w:cs="Tahoma"/>
          <w:bCs/>
          <w:lang w:val="es-CO"/>
        </w:rPr>
        <w:t xml:space="preserve"> investigación</w:t>
      </w:r>
      <w:r w:rsidRPr="00E61E20">
        <w:rPr>
          <w:rFonts w:ascii="Tahoma" w:hAnsi="Tahoma" w:cs="Tahoma"/>
          <w:bCs/>
          <w:lang w:val="es-CO"/>
        </w:rPr>
        <w:t xml:space="preserve"> de </w:t>
      </w:r>
      <w:r>
        <w:rPr>
          <w:rFonts w:ascii="Tahoma" w:hAnsi="Tahoma" w:cs="Tahoma"/>
          <w:bCs/>
          <w:lang w:val="es-CO"/>
        </w:rPr>
        <w:t xml:space="preserve">los </w:t>
      </w:r>
      <w:r w:rsidRPr="00E61E20">
        <w:rPr>
          <w:rFonts w:ascii="Tahoma" w:hAnsi="Tahoma" w:cs="Tahoma"/>
          <w:bCs/>
          <w:lang w:val="es-CO"/>
        </w:rPr>
        <w:t xml:space="preserve">bienes de propiedad </w:t>
      </w:r>
      <w:r>
        <w:rPr>
          <w:rFonts w:ascii="Tahoma" w:hAnsi="Tahoma" w:cs="Tahoma"/>
          <w:bCs/>
          <w:lang w:val="es-CO"/>
        </w:rPr>
        <w:t xml:space="preserve">de </w:t>
      </w:r>
      <w:r>
        <w:rPr>
          <w:rFonts w:ascii="Tahoma" w:hAnsi="Tahoma" w:cs="Tahoma"/>
          <w:b/>
          <w:bCs/>
          <w:lang w:val="es-CO"/>
        </w:rPr>
        <w:t>NOMBRE DEL DEUDOR</w:t>
      </w:r>
      <w:r w:rsidRPr="00BA403D">
        <w:rPr>
          <w:rFonts w:ascii="Tahoma" w:hAnsi="Tahoma" w:cs="Tahoma"/>
          <w:b/>
          <w:bCs/>
          <w:lang w:val="es-CO"/>
        </w:rPr>
        <w:t>,</w:t>
      </w:r>
      <w:r>
        <w:rPr>
          <w:rFonts w:ascii="Tahoma" w:hAnsi="Tahoma" w:cs="Tahoma"/>
          <w:bCs/>
          <w:lang w:val="es-CO"/>
        </w:rPr>
        <w:t xml:space="preserve"> identificado con la cédula de ciudadanía Nº </w:t>
      </w:r>
      <w:r>
        <w:rPr>
          <w:rFonts w:ascii="Tahoma" w:hAnsi="Tahoma" w:cs="Tahoma"/>
          <w:b/>
          <w:bCs/>
          <w:lang w:val="es-CO"/>
        </w:rPr>
        <w:t>XXXXXX</w:t>
      </w:r>
      <w:r w:rsidRPr="00BA403D">
        <w:rPr>
          <w:rFonts w:ascii="Tahoma" w:hAnsi="Tahoma" w:cs="Tahoma"/>
          <w:b/>
          <w:bCs/>
          <w:lang w:val="es-CO"/>
        </w:rPr>
        <w:t>,</w:t>
      </w:r>
      <w:r w:rsidRPr="00E61E20">
        <w:rPr>
          <w:rFonts w:ascii="Tahoma" w:hAnsi="Tahoma" w:cs="Tahoma"/>
          <w:bCs/>
          <w:lang w:val="es-CO"/>
        </w:rPr>
        <w:t xml:space="preserve"> para que una vez identificados, se embarguen y secuestren.</w:t>
      </w:r>
      <w:r>
        <w:rPr>
          <w:rFonts w:ascii="Tahoma" w:hAnsi="Tahoma" w:cs="Tahoma"/>
          <w:bCs/>
          <w:lang w:val="es-CO"/>
        </w:rPr>
        <w:t xml:space="preserve"> Para lo cual, deberá oficiarse y/o consultarse a las entidades encargadas del registro de propiedad, como también a las centrales de información financiera, Registro Único Empresarial  y Social – Cámaras de Comercio, entre otras.</w:t>
      </w:r>
    </w:p>
    <w:p w:rsidR="00351471" w:rsidRPr="00E61E20" w:rsidRDefault="00351471" w:rsidP="00351471">
      <w:pPr>
        <w:jc w:val="both"/>
        <w:rPr>
          <w:rFonts w:ascii="Tahoma" w:hAnsi="Tahoma" w:cs="Tahoma"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 xml:space="preserve">CUARTO: </w:t>
      </w:r>
      <w:r>
        <w:rPr>
          <w:rFonts w:ascii="Tahoma" w:hAnsi="Tahoma" w:cs="Tahoma"/>
          <w:b/>
          <w:bCs/>
          <w:lang w:val="es-CO"/>
        </w:rPr>
        <w:t xml:space="preserve">INICIAR </w:t>
      </w:r>
      <w:r>
        <w:rPr>
          <w:rFonts w:ascii="Tahoma" w:hAnsi="Tahoma" w:cs="Tahoma"/>
          <w:bCs/>
          <w:lang w:val="es-CO"/>
        </w:rPr>
        <w:t xml:space="preserve">la etapa de </w:t>
      </w:r>
      <w:r w:rsidRPr="00B87C92">
        <w:rPr>
          <w:rFonts w:ascii="Tahoma" w:hAnsi="Tahoma" w:cs="Tahoma"/>
          <w:bCs/>
          <w:lang w:val="es-CO"/>
        </w:rPr>
        <w:t>cobro administrativo por jurisdicción coactiva</w:t>
      </w:r>
      <w:r>
        <w:rPr>
          <w:rFonts w:ascii="Tahoma" w:hAnsi="Tahoma" w:cs="Tahoma"/>
          <w:bCs/>
          <w:lang w:val="es-CO"/>
        </w:rPr>
        <w:t>, una vez sea agotada</w:t>
      </w:r>
      <w:r w:rsidRPr="00B87C92">
        <w:rPr>
          <w:rFonts w:ascii="Tahoma" w:hAnsi="Tahoma" w:cs="Tahoma"/>
          <w:b/>
          <w:bCs/>
          <w:lang w:val="es-CO"/>
        </w:rPr>
        <w:t xml:space="preserve"> </w:t>
      </w:r>
      <w:r w:rsidRPr="00B87C92">
        <w:rPr>
          <w:rFonts w:ascii="Tahoma" w:hAnsi="Tahoma" w:cs="Tahoma"/>
          <w:bCs/>
          <w:lang w:val="es-CO"/>
        </w:rPr>
        <w:t xml:space="preserve">la etapa de cobro persuasivo por </w:t>
      </w:r>
      <w:r>
        <w:rPr>
          <w:rFonts w:ascii="Tahoma" w:hAnsi="Tahoma" w:cs="Tahoma"/>
          <w:bCs/>
          <w:lang w:val="es-CO"/>
        </w:rPr>
        <w:t xml:space="preserve">un </w:t>
      </w:r>
      <w:r w:rsidRPr="00B87C92">
        <w:rPr>
          <w:rFonts w:ascii="Tahoma" w:hAnsi="Tahoma" w:cs="Tahoma"/>
          <w:bCs/>
          <w:lang w:val="es-CO"/>
        </w:rPr>
        <w:t>término no mayor a sesenta (60) días</w:t>
      </w:r>
      <w:r>
        <w:rPr>
          <w:rFonts w:ascii="Tahoma" w:hAnsi="Tahoma" w:cs="Tahoma"/>
          <w:bCs/>
          <w:lang w:val="es-CO"/>
        </w:rPr>
        <w:t>.</w:t>
      </w:r>
    </w:p>
    <w:p w:rsidR="00351471" w:rsidRDefault="00351471" w:rsidP="00351471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  <w:r w:rsidRPr="003F1CF9">
        <w:rPr>
          <w:rFonts w:ascii="Tahoma" w:hAnsi="Tahoma" w:cs="Tahoma"/>
          <w:bCs/>
          <w:sz w:val="22"/>
          <w:szCs w:val="22"/>
          <w:lang w:val="es-CO"/>
        </w:rPr>
        <w:t xml:space="preserve">QUINTO: ADVERTIR </w:t>
      </w:r>
      <w:r>
        <w:rPr>
          <w:rFonts w:ascii="Tahoma" w:hAnsi="Tahoma" w:cs="Tahoma"/>
          <w:b w:val="0"/>
          <w:bCs/>
          <w:sz w:val="22"/>
          <w:szCs w:val="22"/>
          <w:lang w:val="es-CO"/>
        </w:rPr>
        <w:t>que c</w:t>
      </w:r>
      <w:r w:rsidRPr="003F1CF9">
        <w:rPr>
          <w:rFonts w:ascii="Tahoma" w:hAnsi="Tahoma" w:cs="Tahoma"/>
          <w:b w:val="0"/>
          <w:bCs/>
          <w:sz w:val="22"/>
          <w:szCs w:val="22"/>
          <w:lang w:val="es-CO"/>
        </w:rPr>
        <w:t>ontra</w:t>
      </w:r>
      <w:r w:rsidRPr="00B87C92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b w:val="0"/>
          <w:bCs/>
          <w:sz w:val="22"/>
          <w:szCs w:val="22"/>
          <w:lang w:val="es-CO"/>
        </w:rPr>
        <w:t>la presente decisión</w:t>
      </w:r>
      <w:r w:rsidRPr="00B87C92">
        <w:rPr>
          <w:rFonts w:ascii="Tahoma" w:hAnsi="Tahoma" w:cs="Tahoma"/>
          <w:b w:val="0"/>
          <w:bCs/>
          <w:sz w:val="22"/>
          <w:szCs w:val="22"/>
          <w:lang w:val="es-CO"/>
        </w:rPr>
        <w:t xml:space="preserve"> no procede recurso alguno.</w:t>
      </w:r>
    </w:p>
    <w:p w:rsidR="00351471" w:rsidRDefault="00351471" w:rsidP="00351471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</w:p>
    <w:p w:rsidR="00351471" w:rsidRPr="00B87C92" w:rsidRDefault="00351471" w:rsidP="00351471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  <w:r>
        <w:rPr>
          <w:rFonts w:ascii="Tahoma" w:hAnsi="Tahoma" w:cs="Tahoma"/>
          <w:b w:val="0"/>
          <w:bCs/>
          <w:sz w:val="22"/>
          <w:szCs w:val="22"/>
          <w:lang w:val="es-CO"/>
        </w:rPr>
        <w:t>Se expide en Bogotá, a los DIAS (XX) días del mes de XXXXX de dos mil XXXX (20XX).</w:t>
      </w:r>
    </w:p>
    <w:p w:rsidR="00594E0C" w:rsidRPr="00351471" w:rsidRDefault="00594E0C" w:rsidP="00594E0C">
      <w:pPr>
        <w:pStyle w:val="Textoindependiente"/>
        <w:ind w:left="1280" w:hanging="1280"/>
        <w:rPr>
          <w:rFonts w:ascii="Tahoma" w:eastAsia="Andale Sans UI" w:hAnsi="Tahoma" w:cs="Tahoma"/>
          <w:b w:val="0"/>
          <w:bCs/>
          <w:sz w:val="22"/>
          <w:szCs w:val="22"/>
          <w:lang w:val="es-CO"/>
        </w:rPr>
      </w:pPr>
    </w:p>
    <w:p w:rsidR="00594E0C" w:rsidRPr="00B87C92" w:rsidRDefault="00594E0C" w:rsidP="00594E0C">
      <w:pPr>
        <w:pStyle w:val="Textoindependiente"/>
        <w:ind w:left="1280" w:hanging="1280"/>
        <w:rPr>
          <w:rFonts w:ascii="Tahoma" w:eastAsia="Andale Sans UI" w:hAnsi="Tahoma" w:cs="Tahoma"/>
          <w:b w:val="0"/>
          <w:bCs/>
          <w:sz w:val="22"/>
          <w:szCs w:val="22"/>
          <w:lang w:val="es-ES_tradnl"/>
        </w:rPr>
      </w:pPr>
    </w:p>
    <w:p w:rsidR="00594E0C" w:rsidRPr="00B87C92" w:rsidRDefault="00594E0C" w:rsidP="00594E0C">
      <w:pPr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>CÚMPLASE</w:t>
      </w:r>
    </w:p>
    <w:p w:rsidR="00594E0C" w:rsidRPr="00B87C92" w:rsidRDefault="00594E0C" w:rsidP="00594E0C">
      <w:pPr>
        <w:jc w:val="center"/>
        <w:rPr>
          <w:rFonts w:ascii="Tahoma" w:eastAsia="Arial Unicode MS" w:hAnsi="Tahoma" w:cs="Tahoma"/>
        </w:rPr>
      </w:pPr>
    </w:p>
    <w:p w:rsidR="00594E0C" w:rsidRPr="00B87C92" w:rsidRDefault="00594E0C" w:rsidP="00594E0C">
      <w:pPr>
        <w:jc w:val="center"/>
        <w:rPr>
          <w:rFonts w:ascii="Tahoma" w:hAnsi="Tahoma" w:cs="Tahoma"/>
        </w:rPr>
      </w:pPr>
    </w:p>
    <w:p w:rsidR="00594E0C" w:rsidRDefault="00594E0C" w:rsidP="00594E0C">
      <w:pPr>
        <w:jc w:val="center"/>
        <w:rPr>
          <w:rFonts w:ascii="Tahoma" w:hAnsi="Tahoma" w:cs="Tahoma"/>
        </w:rPr>
      </w:pPr>
    </w:p>
    <w:p w:rsidR="00594E0C" w:rsidRPr="00B87C92" w:rsidRDefault="00594E0C" w:rsidP="00594E0C">
      <w:pPr>
        <w:pStyle w:val="NormalWeb"/>
        <w:spacing w:before="0" w:beforeAutospacing="0" w:after="0" w:afterAutospacing="0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B87C92">
        <w:rPr>
          <w:rFonts w:ascii="Tahoma" w:eastAsia="Arial Unicode MS" w:hAnsi="Tahoma" w:cs="Tahoma"/>
          <w:b/>
          <w:sz w:val="22"/>
          <w:szCs w:val="22"/>
        </w:rPr>
        <w:t>LUIS ALBERTO DONOSO RINCÓN</w:t>
      </w:r>
    </w:p>
    <w:p w:rsidR="00594E0C" w:rsidRPr="00B87C92" w:rsidRDefault="00594E0C" w:rsidP="00594E0C">
      <w:pPr>
        <w:pStyle w:val="NormalWeb"/>
        <w:spacing w:before="0" w:beforeAutospacing="0" w:after="0" w:afterAutospacing="0"/>
        <w:jc w:val="center"/>
        <w:rPr>
          <w:rFonts w:ascii="Tahoma" w:eastAsia="Arial Unicode MS" w:hAnsi="Tahoma" w:cs="Tahoma"/>
          <w:sz w:val="22"/>
          <w:szCs w:val="22"/>
        </w:rPr>
      </w:pPr>
      <w:r w:rsidRPr="00B87C92">
        <w:rPr>
          <w:rFonts w:ascii="Tahoma" w:hAnsi="Tahoma" w:cs="Tahoma"/>
          <w:sz w:val="22"/>
          <w:szCs w:val="22"/>
        </w:rPr>
        <w:t>Jefe Oficina Asesora Jurídica</w:t>
      </w:r>
    </w:p>
    <w:p w:rsidR="00594E0C" w:rsidRPr="00B87C92" w:rsidRDefault="00594E0C" w:rsidP="00594E0C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22"/>
          <w:szCs w:val="22"/>
        </w:rPr>
      </w:pPr>
    </w:p>
    <w:p w:rsidR="00594E0C" w:rsidRPr="00092242" w:rsidRDefault="00594E0C" w:rsidP="00594E0C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8"/>
          <w:szCs w:val="18"/>
        </w:rPr>
      </w:pPr>
    </w:p>
    <w:p w:rsidR="00594E0C" w:rsidRPr="00092242" w:rsidRDefault="00594E0C" w:rsidP="00594E0C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594E0C" w:rsidRPr="00594E0C" w:rsidRDefault="00594E0C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sectPr w:rsidR="00594E0C" w:rsidRPr="00594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C5" w:rsidRDefault="00D746C5" w:rsidP="00C21F78">
      <w:pPr>
        <w:spacing w:after="0" w:line="240" w:lineRule="auto"/>
      </w:pPr>
      <w:r>
        <w:separator/>
      </w:r>
    </w:p>
  </w:endnote>
  <w:endnote w:type="continuationSeparator" w:id="0">
    <w:p w:rsidR="00D746C5" w:rsidRDefault="00D746C5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6" w:rsidRDefault="00445B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6" w:rsidRDefault="00445B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6" w:rsidRDefault="00445B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C5" w:rsidRDefault="00D746C5" w:rsidP="00C21F78">
      <w:pPr>
        <w:spacing w:after="0" w:line="240" w:lineRule="auto"/>
      </w:pPr>
      <w:r>
        <w:separator/>
      </w:r>
    </w:p>
  </w:footnote>
  <w:footnote w:type="continuationSeparator" w:id="0">
    <w:p w:rsidR="00D746C5" w:rsidRDefault="00D746C5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6" w:rsidRDefault="00445B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C21F78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370DB3" w:rsidP="00C21F78">
          <w:pPr>
            <w:rPr>
              <w:rFonts w:ascii="Calibri" w:hAnsi="Calibri"/>
              <w:color w:val="000000"/>
            </w:rPr>
          </w:pPr>
          <w:r>
            <w:object w:dxaOrig="483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42.75pt" o:ole="">
                <v:imagedata r:id="rId1" o:title=""/>
              </v:shape>
              <o:OLEObject Type="Embed" ProgID="PBrush" ShapeID="_x0000_i1025" DrawAspect="Content" ObjectID="_1504704006" r:id="rId2"/>
            </w:object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F72602" w:rsidRDefault="00370DB3" w:rsidP="00021489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 xml:space="preserve">FORMATO </w:t>
          </w:r>
          <w:r w:rsidR="00BE7078">
            <w:rPr>
              <w:rFonts w:ascii="Calibri" w:hAnsi="Calibri"/>
              <w:b/>
              <w:bCs/>
              <w:color w:val="000000"/>
            </w:rPr>
            <w:t>AUTO DE APERTURA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445BF6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110.16.15-7</w:t>
          </w:r>
        </w:p>
      </w:tc>
    </w:tr>
    <w:tr w:rsidR="00C21F78" w:rsidRPr="00F72602" w:rsidTr="00C21F78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43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</w:t>
          </w:r>
        </w:p>
      </w:tc>
    </w:tr>
    <w:tr w:rsidR="00C21F78" w:rsidRPr="00F72602" w:rsidTr="00C21F78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>PROCESO</w:t>
          </w:r>
          <w:r>
            <w:rPr>
              <w:rFonts w:ascii="Calibri" w:hAnsi="Calibri"/>
              <w:b/>
              <w:bCs/>
              <w:color w:val="000000"/>
            </w:rPr>
            <w:t xml:space="preserve">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43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</w:tr>
    <w:tr w:rsidR="00C21F78" w:rsidRPr="00F72602" w:rsidTr="00594E0C">
      <w:trPr>
        <w:trHeight w:val="555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594E0C">
          <w:pPr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 xml:space="preserve">PROCEDIMIENTO </w:t>
          </w:r>
          <w:r w:rsidR="00594E0C">
            <w:rPr>
              <w:rFonts w:ascii="Calibri" w:hAnsi="Calibri"/>
              <w:b/>
              <w:bCs/>
              <w:color w:val="000000"/>
            </w:rPr>
            <w:t>COBRO 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445BF6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  <w:r>
      <w:rPr>
        <w:noProof/>
        <w:color w:val="17365D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FE5FB0" wp14:editId="08A9A567">
              <wp:simplePos x="0" y="0"/>
              <wp:positionH relativeFrom="column">
                <wp:posOffset>-518160</wp:posOffset>
              </wp:positionH>
              <wp:positionV relativeFrom="paragraph">
                <wp:posOffset>-1176019</wp:posOffset>
              </wp:positionV>
              <wp:extent cx="1943100" cy="1162050"/>
              <wp:effectExtent l="0" t="0" r="19050" b="1905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1980F" id="Rectángulo 1" o:spid="_x0000_s1026" style="position:absolute;margin-left:-40.8pt;margin-top:-92.6pt;width:153pt;height:9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F6" w:rsidRDefault="00445B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1C2B30"/>
    <w:rsid w:val="001F05A4"/>
    <w:rsid w:val="002E47D8"/>
    <w:rsid w:val="002F0E14"/>
    <w:rsid w:val="00351471"/>
    <w:rsid w:val="00370DB3"/>
    <w:rsid w:val="00445BF6"/>
    <w:rsid w:val="005640AC"/>
    <w:rsid w:val="00594E0C"/>
    <w:rsid w:val="008758E7"/>
    <w:rsid w:val="00B91227"/>
    <w:rsid w:val="00BE5F01"/>
    <w:rsid w:val="00BE7078"/>
    <w:rsid w:val="00C13E4E"/>
    <w:rsid w:val="00C21438"/>
    <w:rsid w:val="00C21F78"/>
    <w:rsid w:val="00C6287D"/>
    <w:rsid w:val="00D746C5"/>
    <w:rsid w:val="00D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4</cp:revision>
  <dcterms:created xsi:type="dcterms:W3CDTF">2015-09-15T21:03:00Z</dcterms:created>
  <dcterms:modified xsi:type="dcterms:W3CDTF">2015-09-25T21:34:00Z</dcterms:modified>
</cp:coreProperties>
</file>