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995084" w:rsidRDefault="00995084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E31188" w:rsidRDefault="00E31188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E31188" w:rsidRDefault="00E31188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>
        <w:rPr>
          <w:rFonts w:ascii="Tahoma" w:hAnsi="Tahoma" w:cs="Tahoma"/>
          <w:b/>
          <w:bCs/>
          <w:sz w:val="22"/>
          <w:szCs w:val="22"/>
          <w:lang w:val="es-CO"/>
        </w:rPr>
        <w:t>RESOLUCION</w:t>
      </w:r>
      <w:r w:rsidRPr="00C47327">
        <w:rPr>
          <w:rFonts w:ascii="Tahoma" w:hAnsi="Tahoma" w:cs="Tahoma"/>
          <w:b/>
          <w:bCs/>
          <w:sz w:val="22"/>
          <w:szCs w:val="22"/>
          <w:lang w:val="es-CO"/>
        </w:rPr>
        <w:t xml:space="preserve"> Nº </w:t>
      </w:r>
    </w:p>
    <w:p w:rsidR="00CF31DA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995084" w:rsidRPr="00C47327" w:rsidRDefault="00995084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C47327">
        <w:rPr>
          <w:rFonts w:ascii="Tahoma" w:hAnsi="Tahoma" w:cs="Tahoma"/>
          <w:b/>
          <w:bCs/>
          <w:sz w:val="22"/>
          <w:szCs w:val="22"/>
          <w:lang w:val="es-CO"/>
        </w:rPr>
        <w:t>POR EL CUAL:</w:t>
      </w: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>
        <w:rPr>
          <w:rFonts w:ascii="Tahoma" w:hAnsi="Tahoma" w:cs="Tahoma"/>
          <w:b/>
          <w:bCs/>
          <w:sz w:val="22"/>
          <w:szCs w:val="22"/>
          <w:lang w:val="es-CO"/>
        </w:rPr>
        <w:t xml:space="preserve">SE DEJA SIN VIGENCIA EL PLAZO CONCEDIDO EN EL COMPROMISO DE PAGO OTORGADO DENTRO DEL PROCESO DE COBRO COACTIVO </w:t>
      </w:r>
      <w:r w:rsidR="002D3F48">
        <w:rPr>
          <w:rFonts w:ascii="Tahoma" w:hAnsi="Tahoma" w:cs="Tahoma"/>
          <w:b/>
          <w:bCs/>
          <w:sz w:val="22"/>
          <w:szCs w:val="22"/>
          <w:lang w:val="es-CO"/>
        </w:rPr>
        <w:t xml:space="preserve"> No. XXXXXXXXXX</w:t>
      </w: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C47327">
        <w:rPr>
          <w:rFonts w:ascii="Tahoma" w:hAnsi="Tahoma" w:cs="Tahoma"/>
          <w:b/>
          <w:bCs/>
          <w:sz w:val="22"/>
          <w:szCs w:val="22"/>
          <w:lang w:val="es-CO"/>
        </w:rPr>
        <w:t xml:space="preserve">EL JEFE  DE LA OFICINA  ASESORA  JURÍDICA  DE LA UNIDAD PARA LA ATENCIÒN Y REPARACIÒN  INTEGRAL A LAS VÍCTIMAS </w:t>
      </w: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  <w:r w:rsidRPr="00C47327">
        <w:rPr>
          <w:rFonts w:ascii="Tahoma" w:hAnsi="Tahoma" w:cs="Tahoma"/>
          <w:sz w:val="22"/>
          <w:szCs w:val="22"/>
          <w:lang w:val="es-CO"/>
        </w:rPr>
        <w:t>En uso de las facultades previstas en el artículo 5 de la Ley 1066 de 2006, los artículos 46,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Pr="00C47327">
        <w:rPr>
          <w:rFonts w:ascii="Tahoma" w:hAnsi="Tahoma" w:cs="Tahoma"/>
          <w:sz w:val="22"/>
          <w:szCs w:val="22"/>
          <w:lang w:val="es-CO"/>
        </w:rPr>
        <w:t xml:space="preserve">177 y 198 de la Ley 1448 de 2011 y normas reglamentarias, en especial las conferidas mediante la Resolución Nº 603 del 17 de junio de 2013 y,  </w:t>
      </w: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C47327">
        <w:rPr>
          <w:rFonts w:ascii="Tahoma" w:hAnsi="Tahoma" w:cs="Tahoma"/>
          <w:b/>
          <w:bCs/>
          <w:sz w:val="22"/>
          <w:szCs w:val="22"/>
          <w:lang w:val="es-CO"/>
        </w:rPr>
        <w:t>CONSIDERANDO</w:t>
      </w:r>
    </w:p>
    <w:p w:rsidR="00CF31DA" w:rsidRPr="00C47327" w:rsidRDefault="00CF31DA" w:rsidP="00CF31DA">
      <w:pPr>
        <w:widowControl w:val="0"/>
        <w:suppressAutoHyphens/>
        <w:jc w:val="both"/>
        <w:rPr>
          <w:rFonts w:ascii="Tahoma" w:hAnsi="Tahoma" w:cs="Tahoma"/>
          <w:bCs/>
          <w:sz w:val="22"/>
          <w:szCs w:val="22"/>
          <w:lang w:val="es-CO"/>
        </w:rPr>
      </w:pPr>
    </w:p>
    <w:p w:rsidR="00CF31DA" w:rsidRPr="002B12F2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b/>
          <w:bCs/>
          <w:sz w:val="22"/>
          <w:szCs w:val="22"/>
        </w:rPr>
      </w:pP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Que mediante 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compromiso de pago Nº </w:t>
      </w:r>
      <w:r w:rsidR="002D3F48">
        <w:rPr>
          <w:rFonts w:ascii="Tahoma" w:eastAsia="Arial Unicode MS" w:hAnsi="Tahoma" w:cs="Tahoma"/>
          <w:bCs/>
          <w:sz w:val="22"/>
          <w:szCs w:val="22"/>
        </w:rPr>
        <w:t xml:space="preserve">XXXXXXX 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de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>DIA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 de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 xml:space="preserve">MES 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de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>AÑO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, por medio del 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>se concedió plazo para el pago a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l señor </w:t>
      </w:r>
      <w:r w:rsidR="002D3F48">
        <w:rPr>
          <w:rFonts w:ascii="Tahoma" w:eastAsia="Arial Unicode MS" w:hAnsi="Tahoma" w:cs="Tahoma"/>
          <w:sz w:val="22"/>
          <w:szCs w:val="22"/>
        </w:rPr>
        <w:t>NOMBRE DEL DEUDOR</w:t>
      </w:r>
      <w:r w:rsidRPr="00C233CA">
        <w:rPr>
          <w:rFonts w:ascii="Tahoma" w:eastAsia="Arial Unicode MS" w:hAnsi="Tahoma" w:cs="Tahoma"/>
          <w:sz w:val="22"/>
          <w:szCs w:val="22"/>
        </w:rPr>
        <w:t xml:space="preserve">, identificado con C.C. No. </w:t>
      </w:r>
      <w:r w:rsidR="002D3F48">
        <w:rPr>
          <w:rFonts w:ascii="Tahoma" w:eastAsia="Arial Unicode MS" w:hAnsi="Tahoma" w:cs="Tahoma"/>
          <w:sz w:val="22"/>
          <w:szCs w:val="22"/>
        </w:rPr>
        <w:t>XXXXXXXX</w:t>
      </w:r>
      <w:r>
        <w:rPr>
          <w:rFonts w:ascii="Tahoma" w:eastAsia="Arial Unicode MS" w:hAnsi="Tahoma" w:cs="Tahoma"/>
          <w:sz w:val="22"/>
          <w:szCs w:val="22"/>
          <w:lang w:val="es-CO"/>
        </w:rPr>
        <w:t>,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por concepto de </w:t>
      </w:r>
      <w:r>
        <w:rPr>
          <w:rFonts w:ascii="Tahoma" w:eastAsia="Arial Unicode MS" w:hAnsi="Tahoma" w:cs="Tahoma"/>
          <w:sz w:val="22"/>
          <w:szCs w:val="22"/>
          <w:lang w:val="es-CO"/>
        </w:rPr>
        <w:t>multa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impuesta </w:t>
      </w:r>
      <w:r w:rsidRPr="003D7B6F">
        <w:rPr>
          <w:rFonts w:ascii="Tahoma" w:hAnsi="Tahoma" w:cs="Tahoma"/>
          <w:sz w:val="22"/>
          <w:szCs w:val="22"/>
        </w:rPr>
        <w:t xml:space="preserve">en la sentencia condenatoria en su contra de fecha </w:t>
      </w:r>
      <w:r w:rsidR="002D3F48">
        <w:rPr>
          <w:rFonts w:ascii="Tahoma" w:hAnsi="Tahoma" w:cs="Tahoma"/>
          <w:sz w:val="22"/>
          <w:szCs w:val="22"/>
        </w:rPr>
        <w:t>FEHCA DE LA SENTENCIA</w:t>
      </w:r>
      <w:r w:rsidRPr="003D7B6F">
        <w:rPr>
          <w:rFonts w:ascii="Tahoma" w:hAnsi="Tahoma" w:cs="Tahoma"/>
          <w:sz w:val="22"/>
          <w:szCs w:val="22"/>
        </w:rPr>
        <w:t xml:space="preserve">, proferida por </w:t>
      </w:r>
      <w:r w:rsidRPr="003D7B6F">
        <w:rPr>
          <w:rFonts w:ascii="Tahoma" w:eastAsia="Arial Unicode MS" w:hAnsi="Tahoma" w:cs="Tahoma"/>
          <w:sz w:val="22"/>
          <w:szCs w:val="22"/>
        </w:rPr>
        <w:t xml:space="preserve">el Juzgado </w:t>
      </w:r>
      <w:r w:rsidR="002D3F48">
        <w:rPr>
          <w:rFonts w:ascii="Tahoma" w:eastAsia="Arial Unicode MS" w:hAnsi="Tahoma" w:cs="Tahoma"/>
          <w:sz w:val="22"/>
          <w:szCs w:val="22"/>
        </w:rPr>
        <w:t>NUJMERO, ESPECIALIDAD Y CIUDAD Y CIRCUITO DEL JUZGADO</w:t>
      </w:r>
      <w:r w:rsidRPr="003D7B6F">
        <w:rPr>
          <w:rFonts w:ascii="Tahoma" w:hAnsi="Tahoma" w:cs="Tahoma"/>
          <w:sz w:val="22"/>
          <w:szCs w:val="22"/>
        </w:rPr>
        <w:t xml:space="preserve">, por valor </w:t>
      </w:r>
      <w:r w:rsidR="002D3F48">
        <w:rPr>
          <w:rFonts w:ascii="Tahoma" w:hAnsi="Tahoma" w:cs="Tahoma"/>
          <w:sz w:val="22"/>
          <w:szCs w:val="22"/>
        </w:rPr>
        <w:t xml:space="preserve"> MULTA EN NUMEROS</w:t>
      </w:r>
      <w:r w:rsidRPr="003D7B6F">
        <w:rPr>
          <w:rFonts w:ascii="Tahoma" w:hAnsi="Tahoma" w:cs="Tahoma"/>
          <w:sz w:val="22"/>
          <w:szCs w:val="22"/>
        </w:rPr>
        <w:t xml:space="preserve"> S.M.L.M.V., lo que equivale a </w:t>
      </w:r>
      <w:r w:rsidR="002D3F48">
        <w:rPr>
          <w:rFonts w:ascii="Tahoma" w:eastAsia="Arial Unicode MS" w:hAnsi="Tahoma" w:cs="Tahoma"/>
          <w:sz w:val="22"/>
          <w:szCs w:val="22"/>
        </w:rPr>
        <w:t>VALOR DE LA MULTA EN LETRAS</w:t>
      </w:r>
      <w:r w:rsidRPr="003D7B6F">
        <w:rPr>
          <w:rFonts w:ascii="Tahoma" w:eastAsia="Arial Unicode MS" w:hAnsi="Tahoma" w:cs="Tahoma"/>
          <w:sz w:val="22"/>
          <w:szCs w:val="22"/>
        </w:rPr>
        <w:t xml:space="preserve"> ($</w:t>
      </w:r>
      <w:r w:rsidR="002D3F48">
        <w:rPr>
          <w:rFonts w:ascii="Tahoma" w:eastAsia="Arial Unicode MS" w:hAnsi="Tahoma" w:cs="Tahoma"/>
          <w:sz w:val="22"/>
          <w:szCs w:val="22"/>
        </w:rPr>
        <w:t>VALOR DE LA MULTA EN NUMEROS</w:t>
      </w:r>
      <w:r w:rsidRPr="003D7B6F">
        <w:rPr>
          <w:rFonts w:ascii="Tahoma" w:eastAsia="Arial Unicode MS" w:hAnsi="Tahoma" w:cs="Tahoma"/>
          <w:sz w:val="22"/>
          <w:szCs w:val="22"/>
        </w:rPr>
        <w:t>) Mc/te</w:t>
      </w:r>
      <w:r>
        <w:rPr>
          <w:rFonts w:ascii="Tahoma" w:eastAsia="Arial Unicode MS" w:hAnsi="Tahoma" w:cs="Tahoma"/>
          <w:sz w:val="22"/>
          <w:szCs w:val="22"/>
        </w:rPr>
        <w:t xml:space="preserve">, 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adeudados </w:t>
      </w:r>
      <w:r w:rsidRPr="00026F33">
        <w:rPr>
          <w:rFonts w:ascii="Tahoma" w:eastAsia="Arial Unicode MS" w:hAnsi="Tahoma" w:cs="Tahoma"/>
          <w:sz w:val="22"/>
          <w:szCs w:val="22"/>
        </w:rPr>
        <w:t>a favor de la Unidad para la Atención y Reparación Integral a las Víctimas -  Fondo para la Reparación de las Víctimas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>.</w:t>
      </w:r>
    </w:p>
    <w:p w:rsidR="00CF31DA" w:rsidRPr="004A3AE2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Que el artículo </w:t>
      </w:r>
      <w:r>
        <w:rPr>
          <w:rFonts w:ascii="Tahoma" w:eastAsia="Arial Unicode MS" w:hAnsi="Tahoma" w:cs="Tahoma"/>
          <w:sz w:val="22"/>
          <w:szCs w:val="22"/>
          <w:lang w:val="es-CO"/>
        </w:rPr>
        <w:t>34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de la Resolución No.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 603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de 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17 de junio de </w:t>
      </w:r>
      <w:r w:rsidRPr="00401565">
        <w:rPr>
          <w:rFonts w:ascii="Tahoma" w:eastAsia="Arial Unicode MS" w:hAnsi="Tahoma" w:cs="Tahoma"/>
          <w:i/>
          <w:sz w:val="22"/>
          <w:szCs w:val="22"/>
          <w:lang w:val="es-CO"/>
        </w:rPr>
        <w:t xml:space="preserve">2013 </w:t>
      </w:r>
      <w:r w:rsidR="00A52489" w:rsidRPr="00401565">
        <w:rPr>
          <w:rFonts w:ascii="Tahoma" w:eastAsia="Arial Unicode MS" w:hAnsi="Tahoma" w:cs="Tahoma"/>
          <w:i/>
          <w:sz w:val="22"/>
          <w:szCs w:val="22"/>
          <w:lang w:val="es-CO"/>
        </w:rPr>
        <w:t xml:space="preserve"> “Por la cual se adopta el reglamento interno de cartera y procedimiento administrativo de cobro coactivo de la Unidad Administrativa Especial</w:t>
      </w:r>
      <w:r w:rsidR="00401565" w:rsidRPr="00401565">
        <w:rPr>
          <w:rFonts w:ascii="Tahoma" w:eastAsia="Arial Unicode MS" w:hAnsi="Tahoma" w:cs="Tahoma"/>
          <w:i/>
          <w:sz w:val="22"/>
          <w:szCs w:val="22"/>
          <w:lang w:val="es-CO"/>
        </w:rPr>
        <w:t xml:space="preserve"> para la Atención y Reparación Integral a las Víctimas-Fondo para la reparación de la Victimas”</w:t>
      </w:r>
      <w:r w:rsidR="00401565">
        <w:rPr>
          <w:rFonts w:ascii="Tahoma" w:eastAsia="Arial Unicode MS" w:hAnsi="Tahoma" w:cs="Tahoma"/>
          <w:sz w:val="22"/>
          <w:szCs w:val="22"/>
          <w:lang w:val="es-CO"/>
        </w:rPr>
        <w:t xml:space="preserve"> 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>estipuló: "</w:t>
      </w:r>
      <w:r w:rsidRPr="00A96300">
        <w:rPr>
          <w:rFonts w:ascii="Arial" w:hAnsi="Arial" w:cs="Arial"/>
          <w:sz w:val="22"/>
          <w:szCs w:val="22"/>
        </w:rPr>
        <w:t>En caso de que el deudor no pague alguna de las cuotas de la facilidad o acuerdo de pago, el incumplimiento se declarará mediante resolución que deja sin vigencia el plazo concedido, según lo dispuesto en el artículo 814-3 del Estatuto Tributario Nacional o la norma que lo sustituya, adicione o modifique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>".</w:t>
      </w:r>
    </w:p>
    <w:p w:rsidR="00CF31DA" w:rsidRPr="004A3AE2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  <w:r w:rsidRPr="004A3AE2">
        <w:rPr>
          <w:rFonts w:ascii="Tahoma" w:eastAsia="Arial Unicode MS" w:hAnsi="Tahoma" w:cs="Tahoma"/>
          <w:sz w:val="22"/>
          <w:szCs w:val="22"/>
          <w:lang w:val="es-CO"/>
        </w:rPr>
        <w:t>Que analizados los documentos que conforman el expediente, se observa que el interesado, únicament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>acreditó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 el pago de las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>NUMERO DE CUOTAS PAGADAS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cuotas, cancelada</w:t>
      </w:r>
      <w:r>
        <w:rPr>
          <w:rFonts w:ascii="Tahoma" w:eastAsia="Arial Unicode MS" w:hAnsi="Tahoma" w:cs="Tahoma"/>
          <w:sz w:val="22"/>
          <w:szCs w:val="22"/>
          <w:lang w:val="es-CO"/>
        </w:rPr>
        <w:t>s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en forma extemporánea 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y 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>encontrándose en mora de cancelar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 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las cuotas correspondientes a </w:t>
      </w:r>
      <w:r>
        <w:rPr>
          <w:rFonts w:ascii="Tahoma" w:eastAsia="Arial Unicode MS" w:hAnsi="Tahoma" w:cs="Tahoma"/>
          <w:sz w:val="22"/>
          <w:szCs w:val="22"/>
          <w:lang w:val="es-CO"/>
        </w:rPr>
        <w:t>la obligación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>.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 Así las cosas, </w:t>
      </w:r>
      <w:r w:rsidR="002C3E7E">
        <w:rPr>
          <w:rFonts w:ascii="Tahoma" w:eastAsia="Arial Unicode MS" w:hAnsi="Tahoma" w:cs="Tahoma"/>
          <w:sz w:val="22"/>
          <w:szCs w:val="22"/>
          <w:lang w:val="es-CO"/>
        </w:rPr>
        <w:t xml:space="preserve">y 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quedando plenamente demostrado el incumplimiento del </w:t>
      </w:r>
      <w:r w:rsidR="002C3E7E">
        <w:rPr>
          <w:rFonts w:ascii="Tahoma" w:eastAsia="Arial Unicode MS" w:hAnsi="Tahoma" w:cs="Tahoma"/>
          <w:sz w:val="22"/>
          <w:szCs w:val="22"/>
          <w:lang w:val="es-CO"/>
        </w:rPr>
        <w:t>compromiso de pago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 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Nº </w:t>
      </w:r>
      <w:r w:rsidR="002D3F48">
        <w:rPr>
          <w:rFonts w:ascii="Tahoma" w:eastAsia="Arial Unicode MS" w:hAnsi="Tahoma" w:cs="Tahoma"/>
          <w:bCs/>
          <w:sz w:val="22"/>
          <w:szCs w:val="22"/>
        </w:rPr>
        <w:t>XXXXXXXX</w:t>
      </w:r>
      <w:r>
        <w:rPr>
          <w:rFonts w:ascii="Tahoma" w:eastAsia="Arial Unicode MS" w:hAnsi="Tahoma" w:cs="Tahoma"/>
          <w:sz w:val="22"/>
          <w:szCs w:val="22"/>
          <w:lang w:val="es-CO"/>
        </w:rPr>
        <w:t xml:space="preserve">, otorgado al deudor </w:t>
      </w:r>
      <w:r w:rsidR="002D3F48">
        <w:rPr>
          <w:rFonts w:ascii="Tahoma" w:eastAsia="Arial Unicode MS" w:hAnsi="Tahoma" w:cs="Tahoma"/>
          <w:sz w:val="22"/>
          <w:szCs w:val="22"/>
        </w:rPr>
        <w:t>NOMBRE DEL DEUDOR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, </w:t>
      </w:r>
      <w:r w:rsidR="002C3E7E">
        <w:rPr>
          <w:rFonts w:ascii="Tahoma" w:eastAsia="Arial Unicode MS" w:hAnsi="Tahoma" w:cs="Tahoma"/>
          <w:sz w:val="22"/>
          <w:szCs w:val="22"/>
          <w:lang w:val="es-CO"/>
        </w:rPr>
        <w:t>se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procede</w:t>
      </w:r>
      <w:r w:rsidR="002C3E7E">
        <w:rPr>
          <w:rFonts w:ascii="Tahoma" w:eastAsia="Arial Unicode MS" w:hAnsi="Tahoma" w:cs="Tahoma"/>
          <w:sz w:val="22"/>
          <w:szCs w:val="22"/>
          <w:lang w:val="es-CO"/>
        </w:rPr>
        <w:t xml:space="preserve"> a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revocar el plazo concedido y ordenar </w:t>
      </w:r>
      <w:r>
        <w:rPr>
          <w:rFonts w:ascii="Tahoma" w:eastAsia="Arial Unicode MS" w:hAnsi="Tahoma" w:cs="Tahoma"/>
          <w:sz w:val="22"/>
          <w:szCs w:val="22"/>
          <w:lang w:val="es-CO"/>
        </w:rPr>
        <w:t>seguir adelante con el proceso de cobro coactivo.</w:t>
      </w:r>
    </w:p>
    <w:p w:rsidR="002D3F48" w:rsidRDefault="002D3F48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9A0E4F" w:rsidRDefault="009A0E4F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9A0E4F" w:rsidRDefault="009A0E4F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9A0E4F" w:rsidRDefault="009A0E4F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9A0E4F" w:rsidRPr="002D3F48" w:rsidRDefault="009A0E4F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CF31DA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Por lo expuesto, </w:t>
      </w:r>
      <w:r>
        <w:rPr>
          <w:rFonts w:ascii="Tahoma" w:eastAsia="Arial Unicode MS" w:hAnsi="Tahoma" w:cs="Tahoma"/>
          <w:sz w:val="22"/>
          <w:szCs w:val="22"/>
          <w:lang w:val="es-CO"/>
        </w:rPr>
        <w:t>este Despacho,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                 </w:t>
      </w:r>
    </w:p>
    <w:p w:rsidR="008F3C2D" w:rsidRDefault="008F3C2D" w:rsidP="00CF31DA">
      <w:pPr>
        <w:widowControl w:val="0"/>
        <w:suppressAutoHyphens/>
        <w:spacing w:after="120"/>
        <w:jc w:val="center"/>
        <w:rPr>
          <w:rFonts w:ascii="Tahoma" w:eastAsia="Arial Unicode MS" w:hAnsi="Tahoma" w:cs="Tahoma"/>
          <w:b/>
          <w:sz w:val="22"/>
          <w:szCs w:val="22"/>
          <w:lang w:val="es-CO"/>
        </w:rPr>
      </w:pPr>
    </w:p>
    <w:p w:rsidR="00CF31DA" w:rsidRPr="004A3AE2" w:rsidRDefault="00CF31DA" w:rsidP="00CF31DA">
      <w:pPr>
        <w:widowControl w:val="0"/>
        <w:suppressAutoHyphens/>
        <w:spacing w:after="120"/>
        <w:jc w:val="center"/>
        <w:rPr>
          <w:rFonts w:ascii="Tahoma" w:eastAsia="Arial Unicode MS" w:hAnsi="Tahoma" w:cs="Tahoma"/>
          <w:b/>
          <w:sz w:val="22"/>
          <w:szCs w:val="22"/>
          <w:lang w:val="es-CO"/>
        </w:rPr>
      </w:pPr>
      <w:r>
        <w:rPr>
          <w:rFonts w:ascii="Tahoma" w:eastAsia="Arial Unicode MS" w:hAnsi="Tahoma" w:cs="Tahoma"/>
          <w:b/>
          <w:sz w:val="22"/>
          <w:szCs w:val="22"/>
          <w:lang w:val="es-CO"/>
        </w:rPr>
        <w:t>RESUELVE</w:t>
      </w:r>
    </w:p>
    <w:p w:rsidR="00CF31DA" w:rsidRPr="004A3AE2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</w:p>
    <w:p w:rsidR="00CF31DA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  <w:r w:rsidRPr="004A3AE2">
        <w:rPr>
          <w:rFonts w:ascii="Tahoma" w:eastAsia="Arial Unicode MS" w:hAnsi="Tahoma" w:cs="Tahoma"/>
          <w:b/>
          <w:sz w:val="22"/>
          <w:szCs w:val="22"/>
          <w:lang w:val="es-CO"/>
        </w:rPr>
        <w:t>ARTICULO PRIMERO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: DECLARAR SIN VIGENCIA el plazo para pago concedido 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compromiso de pago Nº </w:t>
      </w:r>
      <w:r w:rsidR="002D3F48">
        <w:rPr>
          <w:rFonts w:ascii="Tahoma" w:eastAsia="Arial Unicode MS" w:hAnsi="Tahoma" w:cs="Tahoma"/>
          <w:bCs/>
          <w:sz w:val="22"/>
          <w:szCs w:val="22"/>
        </w:rPr>
        <w:t>XXXXXXXXXX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 de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>DIA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 de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 xml:space="preserve">MES 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de </w:t>
      </w:r>
      <w:r w:rsidR="002D3F48">
        <w:rPr>
          <w:rFonts w:ascii="Tahoma" w:eastAsia="Arial Unicode MS" w:hAnsi="Tahoma" w:cs="Tahoma"/>
          <w:sz w:val="22"/>
          <w:szCs w:val="22"/>
          <w:lang w:val="es-CO"/>
        </w:rPr>
        <w:t>AÑO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, </w:t>
      </w:r>
      <w:r>
        <w:rPr>
          <w:rFonts w:ascii="Tahoma" w:eastAsia="Arial Unicode MS" w:hAnsi="Tahoma" w:cs="Tahoma"/>
          <w:sz w:val="22"/>
          <w:szCs w:val="22"/>
          <w:lang w:val="es-CO"/>
        </w:rPr>
        <w:t>otorgado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 al señor </w:t>
      </w:r>
      <w:r w:rsidR="002D3F48">
        <w:rPr>
          <w:rFonts w:ascii="Tahoma" w:eastAsia="Arial Unicode MS" w:hAnsi="Tahoma" w:cs="Tahoma"/>
          <w:sz w:val="22"/>
          <w:szCs w:val="22"/>
        </w:rPr>
        <w:t>NOMBRE DEL DEUDOR</w:t>
      </w:r>
      <w:r w:rsidRPr="00912954">
        <w:rPr>
          <w:rFonts w:ascii="Tahoma" w:eastAsia="Arial Unicode MS" w:hAnsi="Tahoma" w:cs="Tahoma"/>
          <w:sz w:val="22"/>
          <w:szCs w:val="22"/>
        </w:rPr>
        <w:t xml:space="preserve">, identificado con C.C. No. </w:t>
      </w:r>
      <w:r w:rsidR="002D3F48">
        <w:rPr>
          <w:rFonts w:ascii="Tahoma" w:eastAsia="Arial Unicode MS" w:hAnsi="Tahoma" w:cs="Tahoma"/>
          <w:sz w:val="22"/>
          <w:szCs w:val="22"/>
        </w:rPr>
        <w:t>XXXXXXXX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, por concepto de multa impuesta </w:t>
      </w:r>
      <w:r w:rsidRPr="00912954">
        <w:rPr>
          <w:rFonts w:ascii="Tahoma" w:eastAsia="Arial Unicode MS" w:hAnsi="Tahoma" w:cs="Tahoma"/>
          <w:sz w:val="22"/>
          <w:szCs w:val="22"/>
        </w:rPr>
        <w:t xml:space="preserve">en la sentencia condenatoria en su contra de fecha </w:t>
      </w:r>
      <w:proofErr w:type="spellStart"/>
      <w:r w:rsidR="002D3F48">
        <w:rPr>
          <w:rFonts w:ascii="Tahoma" w:eastAsia="Arial Unicode MS" w:hAnsi="Tahoma" w:cs="Tahoma"/>
          <w:sz w:val="22"/>
          <w:szCs w:val="22"/>
        </w:rPr>
        <w:t>FECHA</w:t>
      </w:r>
      <w:proofErr w:type="spellEnd"/>
      <w:r w:rsidR="002D3F48">
        <w:rPr>
          <w:rFonts w:ascii="Tahoma" w:eastAsia="Arial Unicode MS" w:hAnsi="Tahoma" w:cs="Tahoma"/>
          <w:sz w:val="22"/>
          <w:szCs w:val="22"/>
        </w:rPr>
        <w:t xml:space="preserve"> DE LA SENTENCIA</w:t>
      </w:r>
      <w:r w:rsidRPr="00912954">
        <w:rPr>
          <w:rFonts w:ascii="Tahoma" w:eastAsia="Arial Unicode MS" w:hAnsi="Tahoma" w:cs="Tahoma"/>
          <w:sz w:val="22"/>
          <w:szCs w:val="22"/>
        </w:rPr>
        <w:t xml:space="preserve">, proferida por el Juzgado </w:t>
      </w:r>
      <w:r w:rsidR="002D3F48">
        <w:rPr>
          <w:rFonts w:ascii="Tahoma" w:eastAsia="Arial Unicode MS" w:hAnsi="Tahoma" w:cs="Tahoma"/>
          <w:sz w:val="22"/>
          <w:szCs w:val="22"/>
        </w:rPr>
        <w:t>NUMERO, ESPECIALIDAD Y CIRCUITO</w:t>
      </w:r>
      <w:r w:rsidRPr="00912954">
        <w:rPr>
          <w:rFonts w:ascii="Tahoma" w:eastAsia="Arial Unicode MS" w:hAnsi="Tahoma" w:cs="Tahoma"/>
          <w:sz w:val="22"/>
          <w:szCs w:val="22"/>
        </w:rPr>
        <w:t xml:space="preserve">, por valor de </w:t>
      </w:r>
      <w:r w:rsidR="002D3F48">
        <w:rPr>
          <w:rFonts w:ascii="Tahoma" w:eastAsia="Arial Unicode MS" w:hAnsi="Tahoma" w:cs="Tahoma"/>
          <w:sz w:val="22"/>
          <w:szCs w:val="22"/>
        </w:rPr>
        <w:t>MULTA EN NUMEROS</w:t>
      </w:r>
      <w:r w:rsidRPr="00912954">
        <w:rPr>
          <w:rFonts w:ascii="Tahoma" w:eastAsia="Arial Unicode MS" w:hAnsi="Tahoma" w:cs="Tahoma"/>
          <w:sz w:val="22"/>
          <w:szCs w:val="22"/>
        </w:rPr>
        <w:t xml:space="preserve"> S.M.L.M.V., lo que equivale a </w:t>
      </w:r>
      <w:r w:rsidR="002D3F48">
        <w:rPr>
          <w:rFonts w:ascii="Tahoma" w:eastAsia="Arial Unicode MS" w:hAnsi="Tahoma" w:cs="Tahoma"/>
          <w:sz w:val="22"/>
          <w:szCs w:val="22"/>
        </w:rPr>
        <w:t xml:space="preserve">VALOR DE LA MULTA EN LETRAS </w:t>
      </w:r>
      <w:r w:rsidRPr="00912954">
        <w:rPr>
          <w:rFonts w:ascii="Tahoma" w:eastAsia="Arial Unicode MS" w:hAnsi="Tahoma" w:cs="Tahoma"/>
          <w:sz w:val="22"/>
          <w:szCs w:val="22"/>
        </w:rPr>
        <w:t>($</w:t>
      </w:r>
      <w:r w:rsidR="002D3F48">
        <w:rPr>
          <w:rFonts w:ascii="Tahoma" w:eastAsia="Arial Unicode MS" w:hAnsi="Tahoma" w:cs="Tahoma"/>
          <w:sz w:val="22"/>
          <w:szCs w:val="22"/>
        </w:rPr>
        <w:t>VALOR DE LA MULTA EN NUMEROS</w:t>
      </w:r>
      <w:r w:rsidRPr="00912954">
        <w:rPr>
          <w:rFonts w:ascii="Tahoma" w:eastAsia="Arial Unicode MS" w:hAnsi="Tahoma" w:cs="Tahoma"/>
          <w:sz w:val="22"/>
          <w:szCs w:val="22"/>
        </w:rPr>
        <w:t xml:space="preserve">) Mc/te, </w:t>
      </w:r>
      <w:r w:rsidRPr="00912954">
        <w:rPr>
          <w:rFonts w:ascii="Tahoma" w:eastAsia="Arial Unicode MS" w:hAnsi="Tahoma" w:cs="Tahoma"/>
          <w:sz w:val="22"/>
          <w:szCs w:val="22"/>
          <w:lang w:val="es-CO"/>
        </w:rPr>
        <w:t xml:space="preserve">adeudados </w:t>
      </w:r>
      <w:r w:rsidRPr="00912954">
        <w:rPr>
          <w:rFonts w:ascii="Tahoma" w:eastAsia="Arial Unicode MS" w:hAnsi="Tahoma" w:cs="Tahoma"/>
          <w:sz w:val="22"/>
          <w:szCs w:val="22"/>
        </w:rPr>
        <w:t>a favor de la Unidad para la Atención y Reparación Integral a las Víctimas - Fondo para la Reparación de las Víctimas</w:t>
      </w:r>
      <w:r>
        <w:rPr>
          <w:rFonts w:ascii="Tahoma" w:eastAsia="Arial Unicode MS" w:hAnsi="Tahoma" w:cs="Tahoma"/>
          <w:sz w:val="22"/>
          <w:szCs w:val="22"/>
        </w:rPr>
        <w:t>,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por incumplimiento del plazo por parte del obligado.</w:t>
      </w:r>
    </w:p>
    <w:p w:rsidR="00CF31DA" w:rsidRPr="004A3AE2" w:rsidRDefault="00CF31DA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</w:p>
    <w:p w:rsidR="002D3F48" w:rsidRPr="002D3F48" w:rsidRDefault="00CF31DA" w:rsidP="002D3F48">
      <w:pPr>
        <w:autoSpaceDE w:val="0"/>
        <w:autoSpaceDN w:val="0"/>
        <w:adjustRightInd w:val="0"/>
        <w:jc w:val="both"/>
        <w:rPr>
          <w:rFonts w:ascii="Tahoma" w:eastAsia="Arial Unicode MS" w:hAnsi="Tahoma" w:cs="Tahoma"/>
          <w:sz w:val="22"/>
          <w:szCs w:val="22"/>
        </w:rPr>
      </w:pPr>
      <w:r w:rsidRPr="004A3AE2">
        <w:rPr>
          <w:rFonts w:ascii="Tahoma" w:eastAsia="Arial Unicode MS" w:hAnsi="Tahoma" w:cs="Tahoma"/>
          <w:b/>
          <w:sz w:val="22"/>
          <w:szCs w:val="22"/>
          <w:lang w:val="es-CO"/>
        </w:rPr>
        <w:t>ARTICULO SEGUNDO</w:t>
      </w:r>
      <w:r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: </w:t>
      </w:r>
      <w:r w:rsidR="002D3F48" w:rsidRPr="002D3F48">
        <w:rPr>
          <w:rFonts w:ascii="Tahoma" w:eastAsia="Arial Unicode MS" w:hAnsi="Tahoma" w:cs="Tahoma"/>
          <w:sz w:val="22"/>
          <w:szCs w:val="22"/>
        </w:rPr>
        <w:t>CONTINUAR con el trámite procesal con base en el titulo ejecutivo que originó la obligación, haciendo exigible el saldo insoluto del capital de la</w:t>
      </w:r>
      <w:r w:rsidR="002D3F48">
        <w:rPr>
          <w:rFonts w:ascii="Tahoma" w:eastAsia="Arial Unicode MS" w:hAnsi="Tahoma" w:cs="Tahoma"/>
          <w:sz w:val="22"/>
          <w:szCs w:val="22"/>
        </w:rPr>
        <w:t xml:space="preserve"> obligación</w:t>
      </w:r>
      <w:r w:rsidR="002D3F48" w:rsidRPr="002D3F48">
        <w:rPr>
          <w:rFonts w:ascii="Tahoma" w:eastAsia="Arial Unicode MS" w:hAnsi="Tahoma" w:cs="Tahoma"/>
          <w:sz w:val="22"/>
          <w:szCs w:val="22"/>
        </w:rPr>
        <w:t xml:space="preserve">, en la suma de </w:t>
      </w:r>
      <w:r w:rsidR="002D3F48">
        <w:rPr>
          <w:rFonts w:ascii="Tahoma" w:eastAsia="Arial Unicode MS" w:hAnsi="Tahoma" w:cs="Tahoma"/>
          <w:sz w:val="22"/>
          <w:szCs w:val="22"/>
        </w:rPr>
        <w:t>VALOR EN LETRAS DEL CAPITAL VIGENTE</w:t>
      </w:r>
      <w:r w:rsidR="002D3F48" w:rsidRPr="002D3F48">
        <w:rPr>
          <w:rFonts w:ascii="Tahoma" w:eastAsia="Arial Unicode MS" w:hAnsi="Tahoma" w:cs="Tahoma"/>
          <w:sz w:val="22"/>
          <w:szCs w:val="22"/>
        </w:rPr>
        <w:t xml:space="preserve"> Pesos M/</w:t>
      </w:r>
      <w:proofErr w:type="spellStart"/>
      <w:r w:rsidR="002D3F48" w:rsidRPr="002D3F48">
        <w:rPr>
          <w:rFonts w:ascii="Tahoma" w:eastAsia="Arial Unicode MS" w:hAnsi="Tahoma" w:cs="Tahoma"/>
          <w:sz w:val="22"/>
          <w:szCs w:val="22"/>
        </w:rPr>
        <w:t>Cte</w:t>
      </w:r>
      <w:proofErr w:type="spellEnd"/>
      <w:r w:rsidR="002D3F48" w:rsidRPr="002D3F48">
        <w:rPr>
          <w:rFonts w:ascii="Tahoma" w:eastAsia="Arial Unicode MS" w:hAnsi="Tahoma" w:cs="Tahoma"/>
          <w:sz w:val="22"/>
          <w:szCs w:val="22"/>
        </w:rPr>
        <w:t xml:space="preserve"> ($</w:t>
      </w:r>
      <w:r w:rsidR="002D3F48">
        <w:rPr>
          <w:rFonts w:ascii="Tahoma" w:eastAsia="Arial Unicode MS" w:hAnsi="Tahoma" w:cs="Tahoma"/>
          <w:sz w:val="22"/>
          <w:szCs w:val="22"/>
        </w:rPr>
        <w:t>VALOR EN NUMEROS DEL CAPITAL VIGENTE</w:t>
      </w:r>
      <w:r w:rsidR="002D3F48" w:rsidRPr="002D3F48">
        <w:rPr>
          <w:rFonts w:ascii="Tahoma" w:eastAsia="Arial Unicode MS" w:hAnsi="Tahoma" w:cs="Tahoma"/>
          <w:sz w:val="22"/>
          <w:szCs w:val="22"/>
        </w:rPr>
        <w:t>) más los intereses y gastos procesales  que se causen hasta la fecha del respectivo pago.</w:t>
      </w:r>
    </w:p>
    <w:p w:rsidR="002D3F48" w:rsidRPr="002D3F48" w:rsidRDefault="002D3F48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A52489" w:rsidRDefault="00A52489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  <w:lang w:val="es-CO"/>
        </w:rPr>
      </w:pPr>
      <w:r w:rsidRPr="004A3AE2">
        <w:rPr>
          <w:rFonts w:ascii="Tahoma" w:eastAsia="Arial Unicode MS" w:hAnsi="Tahoma" w:cs="Tahoma"/>
          <w:b/>
          <w:sz w:val="22"/>
          <w:szCs w:val="22"/>
          <w:lang w:val="es-CO"/>
        </w:rPr>
        <w:t>ARTICULO</w:t>
      </w:r>
      <w:r w:rsidRPr="002D3F48">
        <w:rPr>
          <w:rFonts w:ascii="Tahoma" w:eastAsia="Arial Unicode MS" w:hAnsi="Tahoma" w:cs="Tahoma"/>
          <w:sz w:val="22"/>
          <w:szCs w:val="22"/>
        </w:rPr>
        <w:t xml:space="preserve"> </w:t>
      </w:r>
      <w:r w:rsidR="00CF31DA" w:rsidRPr="002D3F48">
        <w:rPr>
          <w:rFonts w:ascii="Tahoma" w:eastAsia="Arial Unicode MS" w:hAnsi="Tahoma" w:cs="Tahoma"/>
          <w:sz w:val="22"/>
          <w:szCs w:val="22"/>
        </w:rPr>
        <w:t>Notificar la presente providencia al deudor</w:t>
      </w:r>
      <w:r w:rsidR="00CF31DA">
        <w:rPr>
          <w:rFonts w:ascii="Tahoma" w:eastAsia="Arial Unicode MS" w:hAnsi="Tahoma" w:cs="Tahoma"/>
          <w:sz w:val="22"/>
          <w:szCs w:val="22"/>
          <w:lang w:val="es-CO"/>
        </w:rPr>
        <w:t xml:space="preserve"> </w:t>
      </w:r>
      <w:r w:rsidR="00401565">
        <w:rPr>
          <w:rFonts w:ascii="Tahoma" w:eastAsia="Arial Unicode MS" w:hAnsi="Tahoma" w:cs="Tahoma"/>
          <w:sz w:val="22"/>
          <w:szCs w:val="22"/>
        </w:rPr>
        <w:t>NOMBRE DEL DEUDOR</w:t>
      </w:r>
      <w:r w:rsidR="00CF31DA" w:rsidRPr="00912954">
        <w:rPr>
          <w:rFonts w:ascii="Tahoma" w:eastAsia="Arial Unicode MS" w:hAnsi="Tahoma" w:cs="Tahoma"/>
          <w:sz w:val="22"/>
          <w:szCs w:val="22"/>
        </w:rPr>
        <w:t xml:space="preserve">, identificado con C.C. No. </w:t>
      </w:r>
      <w:proofErr w:type="spellStart"/>
      <w:r w:rsidR="00401565">
        <w:rPr>
          <w:rFonts w:ascii="Tahoma" w:eastAsia="Arial Unicode MS" w:hAnsi="Tahoma" w:cs="Tahoma"/>
          <w:sz w:val="22"/>
          <w:szCs w:val="22"/>
        </w:rPr>
        <w:t>Xxxxxxx</w:t>
      </w:r>
      <w:proofErr w:type="spellEnd"/>
      <w:r w:rsidR="00401565">
        <w:rPr>
          <w:rFonts w:ascii="Tahoma" w:eastAsia="Arial Unicode MS" w:hAnsi="Tahoma" w:cs="Tahoma"/>
          <w:sz w:val="22"/>
          <w:szCs w:val="22"/>
        </w:rPr>
        <w:t xml:space="preserve">, </w:t>
      </w:r>
      <w:r w:rsidR="00401565" w:rsidRPr="00401565">
        <w:rPr>
          <w:rFonts w:ascii="Tahoma" w:eastAsia="Arial Unicode MS" w:hAnsi="Tahoma" w:cs="Tahoma"/>
          <w:sz w:val="22"/>
          <w:szCs w:val="22"/>
          <w:lang w:val="es-CO"/>
        </w:rPr>
        <w:t>su apoderado o representante legal,</w:t>
      </w:r>
      <w:r w:rsidRPr="00A52489">
        <w:rPr>
          <w:rFonts w:ascii="Tahoma" w:eastAsia="Arial Unicode MS" w:hAnsi="Tahoma" w:cs="Tahoma"/>
          <w:sz w:val="22"/>
          <w:szCs w:val="22"/>
          <w:lang w:val="es-CO"/>
        </w:rPr>
        <w:t xml:space="preserve"> de conformidad con lo previsto en el artículo 565 Inc. 1° del Estatuto Tributario Nacional</w:t>
      </w:r>
      <w:r w:rsidR="00CF31DA">
        <w:rPr>
          <w:rFonts w:ascii="Tahoma" w:eastAsia="Arial Unicode MS" w:hAnsi="Tahoma" w:cs="Tahoma"/>
          <w:sz w:val="22"/>
          <w:szCs w:val="22"/>
          <w:lang w:val="es-CO"/>
        </w:rPr>
        <w:t xml:space="preserve">, </w:t>
      </w:r>
      <w:r w:rsidR="00CF31DA" w:rsidRPr="004A3AE2">
        <w:rPr>
          <w:rFonts w:ascii="Tahoma" w:eastAsia="Arial Unicode MS" w:hAnsi="Tahoma" w:cs="Tahoma"/>
          <w:sz w:val="22"/>
          <w:szCs w:val="22"/>
          <w:lang w:val="es-CO"/>
        </w:rPr>
        <w:t>advirtiéndo</w:t>
      </w:r>
      <w:r>
        <w:rPr>
          <w:rFonts w:ascii="Tahoma" w:eastAsia="Arial Unicode MS" w:hAnsi="Tahoma" w:cs="Tahoma"/>
          <w:sz w:val="22"/>
          <w:szCs w:val="22"/>
          <w:lang w:val="es-CO"/>
        </w:rPr>
        <w:t>s</w:t>
      </w:r>
      <w:r w:rsidR="00CF31DA"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e que contra la </w:t>
      </w:r>
      <w:r>
        <w:rPr>
          <w:rFonts w:ascii="Tahoma" w:eastAsia="Arial Unicode MS" w:hAnsi="Tahoma" w:cs="Tahoma"/>
          <w:sz w:val="22"/>
          <w:szCs w:val="22"/>
          <w:lang w:val="es-CO"/>
        </w:rPr>
        <w:t>presente decisión</w:t>
      </w:r>
      <w:r w:rsidR="00CF31DA"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 procede </w:t>
      </w:r>
      <w:r w:rsidR="00217678">
        <w:rPr>
          <w:rFonts w:ascii="Tahoma" w:eastAsia="Arial Unicode MS" w:hAnsi="Tahoma" w:cs="Tahoma"/>
          <w:sz w:val="22"/>
          <w:szCs w:val="22"/>
          <w:lang w:val="es-CO"/>
        </w:rPr>
        <w:t>e</w:t>
      </w:r>
      <w:r w:rsidR="00CF31DA"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l recurso de </w:t>
      </w:r>
      <w:r w:rsidR="00CF31DA">
        <w:rPr>
          <w:rFonts w:ascii="Tahoma" w:eastAsia="Arial Unicode MS" w:hAnsi="Tahoma" w:cs="Tahoma"/>
          <w:sz w:val="22"/>
          <w:szCs w:val="22"/>
          <w:lang w:val="es-CO"/>
        </w:rPr>
        <w:t>r</w:t>
      </w:r>
      <w:r w:rsidR="00CF31DA" w:rsidRPr="004A3AE2">
        <w:rPr>
          <w:rFonts w:ascii="Tahoma" w:eastAsia="Arial Unicode MS" w:hAnsi="Tahoma" w:cs="Tahoma"/>
          <w:sz w:val="22"/>
          <w:szCs w:val="22"/>
          <w:lang w:val="es-CO"/>
        </w:rPr>
        <w:t xml:space="preserve">eposición ante este Despacho del que podrá hacer uso por escrito dentro de los </w:t>
      </w:r>
      <w:r w:rsidR="00CF31DA">
        <w:rPr>
          <w:rFonts w:ascii="Tahoma" w:eastAsia="Arial Unicode MS" w:hAnsi="Tahoma" w:cs="Tahoma"/>
          <w:sz w:val="22"/>
          <w:szCs w:val="22"/>
          <w:lang w:val="es-CO"/>
        </w:rPr>
        <w:t>diez (10</w:t>
      </w:r>
      <w:r w:rsidR="00CF31DA" w:rsidRPr="004A3AE2">
        <w:rPr>
          <w:rFonts w:ascii="Tahoma" w:eastAsia="Arial Unicode MS" w:hAnsi="Tahoma" w:cs="Tahoma"/>
          <w:sz w:val="22"/>
          <w:szCs w:val="22"/>
          <w:lang w:val="es-CO"/>
        </w:rPr>
        <w:t>) día</w:t>
      </w:r>
      <w:r>
        <w:rPr>
          <w:rFonts w:ascii="Tahoma" w:eastAsia="Arial Unicode MS" w:hAnsi="Tahoma" w:cs="Tahoma"/>
          <w:sz w:val="22"/>
          <w:szCs w:val="22"/>
          <w:lang w:val="es-CO"/>
        </w:rPr>
        <w:t>s siguientes a la notificación, tal como lo establece  el artículo 34 de la Resolución 603 de 2013</w:t>
      </w:r>
    </w:p>
    <w:p w:rsidR="00A52489" w:rsidRPr="00A52489" w:rsidRDefault="00A52489" w:rsidP="00CF31DA">
      <w:pPr>
        <w:widowControl w:val="0"/>
        <w:suppressAutoHyphens/>
        <w:spacing w:after="120"/>
        <w:jc w:val="both"/>
        <w:rPr>
          <w:rFonts w:ascii="Tahoma" w:eastAsia="Arial Unicode MS" w:hAnsi="Tahoma" w:cs="Tahoma"/>
          <w:sz w:val="22"/>
          <w:szCs w:val="22"/>
        </w:rPr>
      </w:pPr>
    </w:p>
    <w:p w:rsidR="00CF31DA" w:rsidRPr="00C47327" w:rsidRDefault="00CF31DA" w:rsidP="00CF31DA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CF31DA" w:rsidRPr="00C47327" w:rsidRDefault="00CF31DA" w:rsidP="00CF31DA">
      <w:pPr>
        <w:jc w:val="both"/>
        <w:rPr>
          <w:rFonts w:ascii="Tahoma" w:eastAsia="Andale Sans UI" w:hAnsi="Tahoma" w:cs="Tahoma"/>
          <w:b/>
          <w:bCs/>
          <w:sz w:val="22"/>
          <w:szCs w:val="22"/>
          <w:lang w:val="es-ES_tradnl"/>
        </w:rPr>
      </w:pPr>
      <w:r w:rsidRPr="00C47327">
        <w:rPr>
          <w:rFonts w:ascii="Tahoma" w:hAnsi="Tahoma" w:cs="Tahoma"/>
          <w:sz w:val="22"/>
          <w:szCs w:val="22"/>
          <w:lang w:val="es-CO"/>
        </w:rPr>
        <w:t xml:space="preserve">Expedido en Bogotá D.C., a los </w:t>
      </w:r>
      <w:r w:rsidR="00401565">
        <w:rPr>
          <w:rFonts w:ascii="Tahoma" w:hAnsi="Tahoma" w:cs="Tahoma"/>
          <w:sz w:val="22"/>
          <w:szCs w:val="22"/>
          <w:lang w:val="es-CO"/>
        </w:rPr>
        <w:t>DIA</w:t>
      </w:r>
      <w:r w:rsidRPr="00C47327">
        <w:rPr>
          <w:rFonts w:ascii="Tahoma" w:hAnsi="Tahoma" w:cs="Tahoma"/>
          <w:sz w:val="22"/>
          <w:szCs w:val="22"/>
          <w:lang w:val="es-CO"/>
        </w:rPr>
        <w:t xml:space="preserve"> (</w:t>
      </w:r>
      <w:r w:rsidR="00401565">
        <w:rPr>
          <w:rFonts w:ascii="Tahoma" w:hAnsi="Tahoma" w:cs="Tahoma"/>
          <w:sz w:val="22"/>
          <w:szCs w:val="22"/>
          <w:lang w:val="es-CO"/>
        </w:rPr>
        <w:t>XX</w:t>
      </w:r>
      <w:r>
        <w:rPr>
          <w:rFonts w:ascii="Tahoma" w:hAnsi="Tahoma" w:cs="Tahoma"/>
          <w:sz w:val="22"/>
          <w:szCs w:val="22"/>
          <w:lang w:val="es-CO"/>
        </w:rPr>
        <w:t>)</w:t>
      </w:r>
      <w:r w:rsidRPr="00C47327">
        <w:rPr>
          <w:rFonts w:ascii="Tahoma" w:hAnsi="Tahoma" w:cs="Tahoma"/>
          <w:sz w:val="22"/>
          <w:szCs w:val="22"/>
          <w:lang w:val="es-CO"/>
        </w:rPr>
        <w:t xml:space="preserve"> días del mes de </w:t>
      </w:r>
      <w:r w:rsidR="00401565">
        <w:rPr>
          <w:rFonts w:ascii="Tahoma" w:hAnsi="Tahoma" w:cs="Tahoma"/>
          <w:sz w:val="22"/>
          <w:szCs w:val="22"/>
          <w:lang w:val="es-CO"/>
        </w:rPr>
        <w:t>XXXXX</w:t>
      </w:r>
      <w:r w:rsidRPr="00C47327">
        <w:rPr>
          <w:rFonts w:ascii="Tahoma" w:hAnsi="Tahoma" w:cs="Tahoma"/>
          <w:sz w:val="22"/>
          <w:szCs w:val="22"/>
          <w:lang w:val="es-CO"/>
        </w:rPr>
        <w:t xml:space="preserve"> de 2</w:t>
      </w:r>
      <w:r>
        <w:rPr>
          <w:rFonts w:ascii="Tahoma" w:hAnsi="Tahoma" w:cs="Tahoma"/>
          <w:sz w:val="22"/>
          <w:szCs w:val="22"/>
          <w:lang w:val="es-CO"/>
        </w:rPr>
        <w:t>0</w:t>
      </w:r>
      <w:r w:rsidR="00401565">
        <w:rPr>
          <w:rFonts w:ascii="Tahoma" w:hAnsi="Tahoma" w:cs="Tahoma"/>
          <w:sz w:val="22"/>
          <w:szCs w:val="22"/>
          <w:lang w:val="es-CO"/>
        </w:rPr>
        <w:t>XX</w:t>
      </w:r>
      <w:r w:rsidRPr="00C47327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CF31DA" w:rsidRPr="00C47327" w:rsidRDefault="00CF31DA" w:rsidP="00CF31DA">
      <w:pPr>
        <w:jc w:val="both"/>
        <w:rPr>
          <w:rFonts w:ascii="Tahoma" w:eastAsia="Andale Sans UI" w:hAnsi="Tahoma" w:cs="Tahoma"/>
          <w:b/>
          <w:bCs/>
          <w:sz w:val="22"/>
          <w:szCs w:val="22"/>
          <w:lang w:val="es-ES_tradnl"/>
        </w:rPr>
      </w:pPr>
    </w:p>
    <w:p w:rsidR="00CF31DA" w:rsidRPr="00C47327" w:rsidRDefault="00CF31DA" w:rsidP="00CF31DA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</w:p>
    <w:p w:rsidR="00CF31DA" w:rsidRPr="00C47327" w:rsidRDefault="00CF31DA" w:rsidP="00CF31DA">
      <w:pPr>
        <w:jc w:val="center"/>
        <w:rPr>
          <w:rFonts w:ascii="Tahoma" w:hAnsi="Tahoma" w:cs="Tahoma"/>
          <w:b/>
          <w:bCs/>
          <w:sz w:val="22"/>
          <w:szCs w:val="22"/>
          <w:lang w:val="es-CO"/>
        </w:rPr>
      </w:pPr>
      <w:r w:rsidRPr="00C47327">
        <w:rPr>
          <w:rFonts w:ascii="Tahoma" w:hAnsi="Tahoma" w:cs="Tahoma"/>
          <w:b/>
          <w:bCs/>
          <w:sz w:val="22"/>
          <w:szCs w:val="22"/>
          <w:lang w:val="es-CO"/>
        </w:rPr>
        <w:t>NOTIFÍQUESE Y CÚMPLASE</w:t>
      </w:r>
    </w:p>
    <w:p w:rsidR="00CF31DA" w:rsidRPr="00C47327" w:rsidRDefault="00CF31DA" w:rsidP="00CF31DA">
      <w:pPr>
        <w:rPr>
          <w:rFonts w:ascii="Tahoma" w:hAnsi="Tahoma" w:cs="Tahoma"/>
          <w:bCs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both"/>
        <w:rPr>
          <w:rFonts w:ascii="Tahoma" w:hAnsi="Tahoma" w:cs="Tahoma"/>
          <w:sz w:val="22"/>
          <w:szCs w:val="22"/>
          <w:lang w:val="es-CO"/>
        </w:rPr>
      </w:pPr>
    </w:p>
    <w:p w:rsidR="00CF31DA" w:rsidRPr="00C47327" w:rsidRDefault="00CF31DA" w:rsidP="00CF31DA">
      <w:pPr>
        <w:widowControl w:val="0"/>
        <w:suppressAutoHyphens/>
        <w:jc w:val="both"/>
        <w:rPr>
          <w:rFonts w:ascii="Tahoma" w:hAnsi="Tahoma" w:cs="Tahoma"/>
          <w:sz w:val="22"/>
          <w:szCs w:val="22"/>
          <w:lang w:val="es-CO"/>
        </w:rPr>
      </w:pPr>
    </w:p>
    <w:p w:rsidR="00CF31DA" w:rsidRPr="00F01995" w:rsidRDefault="00CF31DA" w:rsidP="00CF31DA">
      <w:pPr>
        <w:widowControl w:val="0"/>
        <w:suppressAutoHyphens/>
        <w:jc w:val="center"/>
        <w:rPr>
          <w:rFonts w:ascii="Tahoma" w:eastAsia="Arial Unicode MS" w:hAnsi="Tahoma" w:cs="Tahoma"/>
          <w:b/>
          <w:sz w:val="22"/>
          <w:szCs w:val="22"/>
          <w:lang w:val="es-CO"/>
        </w:rPr>
      </w:pPr>
      <w:r w:rsidRPr="00F01995">
        <w:rPr>
          <w:rFonts w:ascii="Tahoma" w:eastAsia="Arial Unicode MS" w:hAnsi="Tahoma" w:cs="Tahoma"/>
          <w:b/>
          <w:sz w:val="22"/>
          <w:szCs w:val="22"/>
          <w:lang w:val="es-CO"/>
        </w:rPr>
        <w:t>LUIS ALBERTO DONOSO RINCÓN</w:t>
      </w:r>
    </w:p>
    <w:p w:rsidR="00CF31DA" w:rsidRPr="00C0364B" w:rsidRDefault="00CF31DA" w:rsidP="009A0E4F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  <w:r w:rsidRPr="00F01995">
        <w:rPr>
          <w:rFonts w:ascii="Tahoma" w:eastAsia="Arial Unicode MS" w:hAnsi="Tahoma" w:cs="Tahoma"/>
          <w:sz w:val="22"/>
          <w:szCs w:val="22"/>
          <w:lang w:val="es-CO"/>
        </w:rPr>
        <w:t>Jefe Oficina Asesora Jurídica</w:t>
      </w:r>
    </w:p>
    <w:p w:rsidR="00CF31DA" w:rsidRPr="00FE228E" w:rsidRDefault="00CF31DA" w:rsidP="00CF31D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0"/>
          <w:szCs w:val="10"/>
        </w:rPr>
      </w:pPr>
      <w:r>
        <w:rPr>
          <w:rFonts w:ascii="Tahoma" w:eastAsia="Arial Unicode MS" w:hAnsi="Tahoma" w:cs="Tahoma"/>
          <w:sz w:val="10"/>
          <w:szCs w:val="10"/>
        </w:rPr>
        <w:t>Proyectó</w:t>
      </w:r>
      <w:r w:rsidRPr="00FE228E">
        <w:rPr>
          <w:rFonts w:ascii="Tahoma" w:eastAsia="Arial Unicode MS" w:hAnsi="Tahoma" w:cs="Tahoma"/>
          <w:sz w:val="10"/>
          <w:szCs w:val="10"/>
        </w:rPr>
        <w:t xml:space="preserve">: </w:t>
      </w:r>
      <w:r w:rsidR="00401565">
        <w:rPr>
          <w:rFonts w:ascii="Tahoma" w:eastAsia="Arial Unicode MS" w:hAnsi="Tahoma" w:cs="Tahoma"/>
          <w:sz w:val="10"/>
          <w:szCs w:val="10"/>
        </w:rPr>
        <w:t>Abogado</w:t>
      </w:r>
    </w:p>
    <w:p w:rsidR="004D2EBD" w:rsidRPr="00CF31DA" w:rsidRDefault="00CF31DA" w:rsidP="00CF31DA">
      <w:r w:rsidRPr="00FE228E">
        <w:rPr>
          <w:rFonts w:ascii="Tahoma" w:hAnsi="Tahoma" w:cs="Tahoma"/>
          <w:sz w:val="10"/>
          <w:szCs w:val="10"/>
        </w:rPr>
        <w:t xml:space="preserve">Revisó: Claudia Aristizabal G. </w:t>
      </w:r>
    </w:p>
    <w:sectPr w:rsidR="004D2EBD" w:rsidRPr="00CF31DA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B1" w:rsidRDefault="00BE7FB1">
      <w:r>
        <w:separator/>
      </w:r>
    </w:p>
  </w:endnote>
  <w:endnote w:type="continuationSeparator" w:id="0">
    <w:p w:rsidR="00BE7FB1" w:rsidRDefault="00BE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Default="00C27EDE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Default="00F74797" w:rsidP="00F74797">
    <w:pPr>
      <w:pStyle w:val="Piedepgina"/>
      <w:jc w:val="right"/>
    </w:pPr>
  </w:p>
  <w:p w:rsidR="00F74797" w:rsidRDefault="00F74797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Pr="00BF7DAF" w:rsidRDefault="00F74797" w:rsidP="004C667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51" w:rsidRDefault="00CA0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B1" w:rsidRDefault="00BE7FB1">
      <w:r>
        <w:separator/>
      </w:r>
    </w:p>
  </w:footnote>
  <w:footnote w:type="continuationSeparator" w:id="0">
    <w:p w:rsidR="00BE7FB1" w:rsidRDefault="00BE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BE7FB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CA0A51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4C83F9A" wp14:editId="213CE28B">
              <wp:simplePos x="0" y="0"/>
              <wp:positionH relativeFrom="column">
                <wp:posOffset>-26035</wp:posOffset>
              </wp:positionH>
              <wp:positionV relativeFrom="paragraph">
                <wp:posOffset>102235</wp:posOffset>
              </wp:positionV>
              <wp:extent cx="1943100" cy="1095375"/>
              <wp:effectExtent l="0" t="0" r="19050" b="2857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0809B" id="Rectángulo 3" o:spid="_x0000_s1026" style="position:absolute;margin-left:-2.05pt;margin-top:8.05pt;width:153pt;height:86.2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">
              <v:textbox style="mso-fit-shape-to-text:t"/>
            </v:rect>
          </w:pict>
        </mc:Fallback>
      </mc:AlternateContent>
    </w:r>
  </w:p>
  <w:tbl>
    <w:tblPr>
      <w:tblW w:w="1077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770"/>
      <w:gridCol w:w="744"/>
      <w:gridCol w:w="1373"/>
      <w:gridCol w:w="2117"/>
    </w:tblGrid>
    <w:tr w:rsidR="00BB32EF" w:rsidTr="00714329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BB32EF" w:rsidRDefault="00DB02D5" w:rsidP="00BB32EF">
          <w:pPr>
            <w:rPr>
              <w:rFonts w:ascii="Calibri" w:hAnsi="Calibri"/>
              <w:color w:val="000000"/>
            </w:rPr>
          </w:pPr>
          <w: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object w:dxaOrig="2865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57pt" o:ole="">
                <v:imagedata r:id="rId1" o:title=""/>
              </v:shape>
              <o:OLEObject Type="Embed" ProgID="PBrush" ShapeID="_x0000_i1025" DrawAspect="Content" ObjectID="_1504704815" r:id="rId2"/>
            </w:object>
          </w:r>
        </w:p>
      </w:tc>
      <w:tc>
        <w:tcPr>
          <w:tcW w:w="3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BB32EF" w:rsidRPr="00714329" w:rsidRDefault="00CA0A51" w:rsidP="00EE5905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eastAsia="Arial" w:hAnsi="Calibri" w:cs="Tahoma"/>
              <w:b/>
              <w:bCs/>
              <w:sz w:val="22"/>
              <w:lang w:val="es-ES_tradnl"/>
            </w:rPr>
            <w:t xml:space="preserve">FORMATO </w:t>
          </w:r>
          <w:r w:rsidR="00BB32EF" w:rsidRPr="00714329">
            <w:rPr>
              <w:rFonts w:ascii="Calibri" w:eastAsia="Arial" w:hAnsi="Calibri" w:cs="Tahoma"/>
              <w:b/>
              <w:bCs/>
              <w:sz w:val="22"/>
              <w:lang w:val="es-ES_tradnl"/>
            </w:rPr>
            <w:t>AUTO DECLARA INCUMPLIMIENTO FACILIDAD DE PAGO</w:t>
          </w:r>
        </w:p>
      </w:tc>
      <w:tc>
        <w:tcPr>
          <w:tcW w:w="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BB32EF" w:rsidRDefault="00467F38" w:rsidP="00BB32E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110.16.15-23</w:t>
          </w:r>
        </w:p>
      </w:tc>
    </w:tr>
    <w:tr w:rsidR="00BB32EF" w:rsidTr="00714329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</w:rPr>
          </w:pPr>
        </w:p>
      </w:tc>
      <w:tc>
        <w:tcPr>
          <w:tcW w:w="37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BB32EF" w:rsidRDefault="00BB32EF" w:rsidP="00BB32EF">
          <w:pPr>
            <w:rPr>
              <w:b/>
              <w:bCs/>
              <w:color w:val="000000"/>
            </w:rPr>
          </w:pPr>
        </w:p>
      </w:tc>
      <w:tc>
        <w:tcPr>
          <w:tcW w:w="48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349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BB32EF" w:rsidRDefault="00467F38" w:rsidP="00BB32E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BB32EF" w:rsidTr="00714329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</w:rPr>
          </w:pPr>
        </w:p>
      </w:tc>
      <w:tc>
        <w:tcPr>
          <w:tcW w:w="37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BB32EF" w:rsidRDefault="00BB32EF" w:rsidP="00BB32EF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18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  <w:r w:rsidR="00467F38">
            <w:rPr>
              <w:rFonts w:ascii="Calibri" w:hAnsi="Calibri"/>
              <w:color w:val="000000"/>
              <w:sz w:val="18"/>
              <w:szCs w:val="18"/>
            </w:rPr>
            <w:t xml:space="preserve"> </w:t>
          </w:r>
          <w:r w:rsidR="00467F38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B32EF" w:rsidRDefault="00BB32EF" w:rsidP="00BB32EF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BB32EF" w:rsidTr="00714329">
      <w:trPr>
        <w:trHeight w:val="655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</w:rPr>
          </w:pPr>
        </w:p>
      </w:tc>
      <w:tc>
        <w:tcPr>
          <w:tcW w:w="37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BB32EF" w:rsidRDefault="00BB32EF" w:rsidP="00BB32EF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48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BB32EF" w:rsidRDefault="00BB32EF" w:rsidP="00BB32EF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BB32EF" w:rsidRDefault="00BB32EF" w:rsidP="00BB32EF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21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BB32EF" w:rsidRDefault="00BB32EF" w:rsidP="009A0E4F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1 de </w:t>
          </w:r>
          <w:r w:rsidR="009A0E4F">
            <w:rPr>
              <w:rFonts w:ascii="Calibri" w:hAnsi="Calibri"/>
              <w:color w:val="000000"/>
              <w:sz w:val="18"/>
              <w:szCs w:val="18"/>
            </w:rPr>
            <w:t>2</w:t>
          </w:r>
        </w:p>
      </w:tc>
    </w:tr>
  </w:tbl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F74797" w:rsidP="00F74797">
    <w:pPr>
      <w:tabs>
        <w:tab w:val="left" w:pos="1485"/>
        <w:tab w:val="left" w:pos="9282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BE7FB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81432"/>
    <w:multiLevelType w:val="hybridMultilevel"/>
    <w:tmpl w:val="D310C126"/>
    <w:lvl w:ilvl="0" w:tplc="9FB0CD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B59D3"/>
    <w:rsid w:val="000D085F"/>
    <w:rsid w:val="000D3801"/>
    <w:rsid w:val="000E64C0"/>
    <w:rsid w:val="000F6B09"/>
    <w:rsid w:val="00104086"/>
    <w:rsid w:val="0011107F"/>
    <w:rsid w:val="001124AD"/>
    <w:rsid w:val="0012786E"/>
    <w:rsid w:val="001348C5"/>
    <w:rsid w:val="00160A17"/>
    <w:rsid w:val="001654F0"/>
    <w:rsid w:val="00167802"/>
    <w:rsid w:val="00170DE6"/>
    <w:rsid w:val="00175A98"/>
    <w:rsid w:val="00217678"/>
    <w:rsid w:val="0024559D"/>
    <w:rsid w:val="00257388"/>
    <w:rsid w:val="00296A0A"/>
    <w:rsid w:val="0029791F"/>
    <w:rsid w:val="002A3809"/>
    <w:rsid w:val="002B40C1"/>
    <w:rsid w:val="002C3E7E"/>
    <w:rsid w:val="002D2ECC"/>
    <w:rsid w:val="002D3F48"/>
    <w:rsid w:val="002D59AB"/>
    <w:rsid w:val="00324ABE"/>
    <w:rsid w:val="003359F2"/>
    <w:rsid w:val="0036243D"/>
    <w:rsid w:val="0038271C"/>
    <w:rsid w:val="003A2F8E"/>
    <w:rsid w:val="003A49DC"/>
    <w:rsid w:val="003D5F4A"/>
    <w:rsid w:val="003D68CE"/>
    <w:rsid w:val="003D7CBC"/>
    <w:rsid w:val="003E0C19"/>
    <w:rsid w:val="003F3E7D"/>
    <w:rsid w:val="003F754B"/>
    <w:rsid w:val="00401565"/>
    <w:rsid w:val="00420638"/>
    <w:rsid w:val="00431C2D"/>
    <w:rsid w:val="004660D7"/>
    <w:rsid w:val="00467F38"/>
    <w:rsid w:val="0049686B"/>
    <w:rsid w:val="004979FA"/>
    <w:rsid w:val="004A0D76"/>
    <w:rsid w:val="004A225D"/>
    <w:rsid w:val="004C2D3B"/>
    <w:rsid w:val="004C4F24"/>
    <w:rsid w:val="004C6677"/>
    <w:rsid w:val="004D2EBD"/>
    <w:rsid w:val="004D53E2"/>
    <w:rsid w:val="004D6385"/>
    <w:rsid w:val="004D71BC"/>
    <w:rsid w:val="004E0B57"/>
    <w:rsid w:val="004E49D4"/>
    <w:rsid w:val="004E6AF9"/>
    <w:rsid w:val="00507E46"/>
    <w:rsid w:val="00535E3A"/>
    <w:rsid w:val="00542E14"/>
    <w:rsid w:val="005527B3"/>
    <w:rsid w:val="00552E2B"/>
    <w:rsid w:val="00561910"/>
    <w:rsid w:val="005709FA"/>
    <w:rsid w:val="005B6317"/>
    <w:rsid w:val="00603EFB"/>
    <w:rsid w:val="00623294"/>
    <w:rsid w:val="00661570"/>
    <w:rsid w:val="00692CFA"/>
    <w:rsid w:val="006B1830"/>
    <w:rsid w:val="00700EB3"/>
    <w:rsid w:val="007125B6"/>
    <w:rsid w:val="00714329"/>
    <w:rsid w:val="007354CF"/>
    <w:rsid w:val="00736150"/>
    <w:rsid w:val="007A456F"/>
    <w:rsid w:val="007B4C04"/>
    <w:rsid w:val="007B6725"/>
    <w:rsid w:val="007B74C0"/>
    <w:rsid w:val="007C02E3"/>
    <w:rsid w:val="007F3595"/>
    <w:rsid w:val="007F7E02"/>
    <w:rsid w:val="00804F69"/>
    <w:rsid w:val="0081470C"/>
    <w:rsid w:val="0081779A"/>
    <w:rsid w:val="008301C3"/>
    <w:rsid w:val="008302CA"/>
    <w:rsid w:val="00854D06"/>
    <w:rsid w:val="00862D5B"/>
    <w:rsid w:val="00872EF5"/>
    <w:rsid w:val="008971D9"/>
    <w:rsid w:val="0089784B"/>
    <w:rsid w:val="008F3C2D"/>
    <w:rsid w:val="00975667"/>
    <w:rsid w:val="00991316"/>
    <w:rsid w:val="00995084"/>
    <w:rsid w:val="0099689B"/>
    <w:rsid w:val="009A0E4F"/>
    <w:rsid w:val="009A174B"/>
    <w:rsid w:val="009A3044"/>
    <w:rsid w:val="009D6B96"/>
    <w:rsid w:val="009F002E"/>
    <w:rsid w:val="00A1459B"/>
    <w:rsid w:val="00A23994"/>
    <w:rsid w:val="00A35344"/>
    <w:rsid w:val="00A50E18"/>
    <w:rsid w:val="00A52489"/>
    <w:rsid w:val="00A62019"/>
    <w:rsid w:val="00A764A4"/>
    <w:rsid w:val="00AE3287"/>
    <w:rsid w:val="00AE443D"/>
    <w:rsid w:val="00B13A7C"/>
    <w:rsid w:val="00B37AAD"/>
    <w:rsid w:val="00B6020B"/>
    <w:rsid w:val="00BA2FBD"/>
    <w:rsid w:val="00BB32EF"/>
    <w:rsid w:val="00BB6CDD"/>
    <w:rsid w:val="00BC7C20"/>
    <w:rsid w:val="00BE7FB1"/>
    <w:rsid w:val="00BF7DAF"/>
    <w:rsid w:val="00C15FE3"/>
    <w:rsid w:val="00C27EDE"/>
    <w:rsid w:val="00C52B89"/>
    <w:rsid w:val="00C6786B"/>
    <w:rsid w:val="00C71B1D"/>
    <w:rsid w:val="00C72F97"/>
    <w:rsid w:val="00C92317"/>
    <w:rsid w:val="00CA0A51"/>
    <w:rsid w:val="00CB3382"/>
    <w:rsid w:val="00CB57CC"/>
    <w:rsid w:val="00CB7904"/>
    <w:rsid w:val="00CC7CE2"/>
    <w:rsid w:val="00CD2185"/>
    <w:rsid w:val="00CE2706"/>
    <w:rsid w:val="00CE3D8D"/>
    <w:rsid w:val="00CF31DA"/>
    <w:rsid w:val="00D0213A"/>
    <w:rsid w:val="00D033AC"/>
    <w:rsid w:val="00D73FDB"/>
    <w:rsid w:val="00D77758"/>
    <w:rsid w:val="00DB02D5"/>
    <w:rsid w:val="00DB5B49"/>
    <w:rsid w:val="00DF08BD"/>
    <w:rsid w:val="00E06941"/>
    <w:rsid w:val="00E07974"/>
    <w:rsid w:val="00E1512C"/>
    <w:rsid w:val="00E20E97"/>
    <w:rsid w:val="00E31188"/>
    <w:rsid w:val="00E5366D"/>
    <w:rsid w:val="00E57682"/>
    <w:rsid w:val="00E60365"/>
    <w:rsid w:val="00E722C0"/>
    <w:rsid w:val="00E72782"/>
    <w:rsid w:val="00E75401"/>
    <w:rsid w:val="00E95EC8"/>
    <w:rsid w:val="00ED0200"/>
    <w:rsid w:val="00ED685C"/>
    <w:rsid w:val="00EE5223"/>
    <w:rsid w:val="00EE5905"/>
    <w:rsid w:val="00EF3121"/>
    <w:rsid w:val="00EF4253"/>
    <w:rsid w:val="00F10160"/>
    <w:rsid w:val="00F402C4"/>
    <w:rsid w:val="00F474CE"/>
    <w:rsid w:val="00F645C5"/>
    <w:rsid w:val="00F67232"/>
    <w:rsid w:val="00F74797"/>
    <w:rsid w:val="00F81E0F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E39514A9-D698-4ADD-B860-9E468DC2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9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11</cp:revision>
  <cp:lastPrinted>2015-04-29T16:21:00Z</cp:lastPrinted>
  <dcterms:created xsi:type="dcterms:W3CDTF">2015-09-18T15:08:00Z</dcterms:created>
  <dcterms:modified xsi:type="dcterms:W3CDTF">2015-09-25T21:47:00Z</dcterms:modified>
</cp:coreProperties>
</file>