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B05" w:rsidRDefault="007E6B05" w:rsidP="007E6B05">
      <w:pPr>
        <w:jc w:val="both"/>
        <w:rPr>
          <w:rFonts w:ascii="Arial" w:hAnsi="Arial" w:cs="Arial"/>
          <w:sz w:val="24"/>
          <w:szCs w:val="24"/>
        </w:rPr>
      </w:pPr>
      <w:bookmarkStart w:id="0" w:name="_GoBack"/>
    </w:p>
    <w:bookmarkEnd w:id="0"/>
    <w:p w:rsidR="00516532" w:rsidRDefault="00516532" w:rsidP="005165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Proponemos que la Ley de victimas también abra el dialogo multilateral para que desde los otros países se convoque a las víctimas colombianas para acceder a los beneficios sin riesgo de deportaciones, detenciones o pérdida de status de refugio; esto como medidas de fortalecimiento de la protección de los derechos humanos, consignadas tanto en el Acuerdo de Paz</w:t>
      </w:r>
      <w:r w:rsidR="00490771">
        <w:rPr>
          <w:rFonts w:ascii="Arial" w:hAnsi="Arial" w:cs="Arial"/>
          <w:sz w:val="24"/>
          <w:szCs w:val="24"/>
        </w:rPr>
        <w:t xml:space="preserve">, en la Constitución colombiana. </w:t>
      </w:r>
    </w:p>
    <w:sectPr w:rsidR="00516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05"/>
    <w:rsid w:val="00490771"/>
    <w:rsid w:val="00516532"/>
    <w:rsid w:val="007E6B05"/>
    <w:rsid w:val="00B33449"/>
    <w:rsid w:val="00D877EE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15BEC-B533-4A3B-B0FA-27BD9237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B05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2017-04-19T21:52:00Z</dcterms:created>
  <dcterms:modified xsi:type="dcterms:W3CDTF">2017-04-19T21:52:00Z</dcterms:modified>
</cp:coreProperties>
</file>