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1A1" w:rsidRDefault="00FD21A1" w:rsidP="00FD21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Proponemos  </w:t>
      </w:r>
      <w:r>
        <w:rPr>
          <w:rFonts w:ascii="Arial" w:hAnsi="Arial" w:cs="Arial"/>
          <w:sz w:val="24"/>
          <w:szCs w:val="24"/>
        </w:rPr>
        <w:t>QUE:</w:t>
      </w:r>
    </w:p>
    <w:p w:rsidR="00FD21A1" w:rsidRDefault="00FD21A1" w:rsidP="00FD21A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La reforma de la Ley 1448 de 2011 debe incluir una ampliación del plazo para presentar la declaración, hasta que todas las víctimas puedan inscribirse. </w:t>
      </w:r>
    </w:p>
    <w:p w:rsidR="00FD21A1" w:rsidRDefault="00FD21A1" w:rsidP="00FD21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plazo debe </w:t>
      </w:r>
      <w:r>
        <w:rPr>
          <w:rFonts w:ascii="Arial" w:hAnsi="Arial" w:cs="Arial"/>
          <w:sz w:val="24"/>
          <w:szCs w:val="24"/>
        </w:rPr>
        <w:t>tener una</w:t>
      </w:r>
      <w:r>
        <w:rPr>
          <w:rFonts w:ascii="Arial" w:hAnsi="Arial" w:cs="Arial"/>
          <w:sz w:val="24"/>
          <w:szCs w:val="24"/>
        </w:rPr>
        <w:t xml:space="preserve"> amplia difusión y medios capaces de identificar e inscribir a todas estas personas</w:t>
      </w:r>
      <w:r>
        <w:rPr>
          <w:rFonts w:ascii="Arial" w:hAnsi="Arial" w:cs="Arial"/>
          <w:sz w:val="24"/>
          <w:szCs w:val="24"/>
        </w:rPr>
        <w:t xml:space="preserve"> para que sea efectiva la inclusión en el RUV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D21A1" w:rsidRDefault="00FD21A1" w:rsidP="00FD21A1"/>
    <w:sectPr w:rsidR="00FD2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05"/>
    <w:rsid w:val="00516532"/>
    <w:rsid w:val="007E6B05"/>
    <w:rsid w:val="009F6696"/>
    <w:rsid w:val="00D877EE"/>
    <w:rsid w:val="00FD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15BEC-B533-4A3B-B0FA-27BD9237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B05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2017-04-19T21:27:00Z</dcterms:created>
  <dcterms:modified xsi:type="dcterms:W3CDTF">2017-04-19T21:27:00Z</dcterms:modified>
</cp:coreProperties>
</file>