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938"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709"/>
        <w:gridCol w:w="567"/>
        <w:gridCol w:w="709"/>
        <w:gridCol w:w="708"/>
        <w:gridCol w:w="709"/>
        <w:gridCol w:w="709"/>
      </w:tblGrid>
      <w:tr w:rsidR="00CB1814" w:rsidRPr="00C71EBB" w:rsidTr="00792591">
        <w:trPr>
          <w:trHeight w:val="226"/>
        </w:trPr>
        <w:tc>
          <w:tcPr>
            <w:tcW w:w="3827" w:type="dxa"/>
            <w:shd w:val="clear" w:color="auto" w:fill="D9D9D9" w:themeFill="background1" w:themeFillShade="D9"/>
            <w:vAlign w:val="center"/>
          </w:tcPr>
          <w:p w:rsidR="00752678" w:rsidRPr="00C71EBB" w:rsidRDefault="00752678" w:rsidP="00B42314">
            <w:pPr>
              <w:spacing w:after="0"/>
              <w:ind w:left="34"/>
              <w:jc w:val="center"/>
              <w:rPr>
                <w:rFonts w:ascii="Arial Narrow" w:eastAsia="Times New Roman" w:hAnsi="Arial Narrow" w:cs="Arial"/>
                <w:b/>
                <w:sz w:val="20"/>
                <w:szCs w:val="20"/>
                <w:highlight w:val="lightGray"/>
                <w:lang w:val="es-ES" w:eastAsia="es-ES"/>
              </w:rPr>
            </w:pPr>
            <w:r w:rsidRPr="00C71EBB">
              <w:rPr>
                <w:rFonts w:ascii="Arial Narrow" w:eastAsia="Times New Roman" w:hAnsi="Arial Narrow" w:cs="Arial"/>
                <w:b/>
                <w:sz w:val="20"/>
                <w:szCs w:val="20"/>
                <w:lang w:val="es-ES" w:eastAsia="es-ES"/>
              </w:rPr>
              <w:t>FECHA DE EMISIÓN DEL INFORME</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Día:</w:t>
            </w:r>
          </w:p>
        </w:tc>
        <w:tc>
          <w:tcPr>
            <w:tcW w:w="567" w:type="dxa"/>
            <w:shd w:val="clear" w:color="auto" w:fill="auto"/>
            <w:vAlign w:val="center"/>
          </w:tcPr>
          <w:p w:rsidR="00752678" w:rsidRPr="00C71EBB" w:rsidRDefault="00E04680"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27</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Mes:</w:t>
            </w:r>
          </w:p>
        </w:tc>
        <w:tc>
          <w:tcPr>
            <w:tcW w:w="708" w:type="dxa"/>
            <w:shd w:val="clear" w:color="auto" w:fill="auto"/>
            <w:vAlign w:val="center"/>
          </w:tcPr>
          <w:p w:rsidR="00752678" w:rsidRPr="00C71EBB" w:rsidRDefault="0012440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w:t>
            </w:r>
            <w:r w:rsidR="004E43E3">
              <w:rPr>
                <w:rFonts w:ascii="Arial Narrow" w:eastAsia="Times New Roman" w:hAnsi="Arial Narrow" w:cs="Arial"/>
                <w:sz w:val="20"/>
                <w:szCs w:val="20"/>
                <w:lang w:val="es-ES" w:eastAsia="es-ES"/>
              </w:rPr>
              <w:t>5</w:t>
            </w:r>
          </w:p>
        </w:tc>
        <w:tc>
          <w:tcPr>
            <w:tcW w:w="709" w:type="dxa"/>
            <w:shd w:val="clear" w:color="auto" w:fill="D9D9D9" w:themeFill="background1" w:themeFillShade="D9"/>
            <w:vAlign w:val="center"/>
          </w:tcPr>
          <w:p w:rsidR="00752678" w:rsidRPr="00C71EBB" w:rsidRDefault="00752678" w:rsidP="00752678">
            <w:pPr>
              <w:spacing w:after="0"/>
              <w:jc w:val="center"/>
              <w:rPr>
                <w:rFonts w:ascii="Arial Narrow" w:eastAsia="Times New Roman" w:hAnsi="Arial Narrow" w:cs="Arial"/>
                <w:b/>
                <w:sz w:val="20"/>
                <w:szCs w:val="20"/>
                <w:lang w:val="es-ES" w:eastAsia="es-ES"/>
              </w:rPr>
            </w:pPr>
            <w:r w:rsidRPr="00C71EBB">
              <w:rPr>
                <w:rFonts w:ascii="Arial Narrow" w:eastAsia="Times New Roman" w:hAnsi="Arial Narrow" w:cs="Arial"/>
                <w:b/>
                <w:sz w:val="20"/>
                <w:szCs w:val="20"/>
                <w:lang w:val="es-ES" w:eastAsia="es-ES"/>
              </w:rPr>
              <w:t>Año:</w:t>
            </w:r>
          </w:p>
        </w:tc>
        <w:tc>
          <w:tcPr>
            <w:tcW w:w="709" w:type="dxa"/>
            <w:shd w:val="clear" w:color="auto" w:fill="auto"/>
            <w:vAlign w:val="center"/>
          </w:tcPr>
          <w:p w:rsidR="00752678" w:rsidRPr="00C71EBB" w:rsidRDefault="00124404" w:rsidP="00752678">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w:t>
            </w:r>
            <w:r w:rsidR="00E04680">
              <w:rPr>
                <w:rFonts w:ascii="Arial Narrow" w:eastAsia="Times New Roman" w:hAnsi="Arial Narrow" w:cs="Arial"/>
                <w:sz w:val="20"/>
                <w:szCs w:val="20"/>
                <w:lang w:val="es-ES" w:eastAsia="es-ES"/>
              </w:rPr>
              <w:t>6</w:t>
            </w:r>
          </w:p>
        </w:tc>
      </w:tr>
    </w:tbl>
    <w:p w:rsidR="00DD2063" w:rsidRDefault="00DD2063" w:rsidP="00E619FD">
      <w:pPr>
        <w:spacing w:after="0"/>
        <w:rPr>
          <w:rFonts w:ascii="Arial Narrow" w:hAnsi="Arial Narrow"/>
          <w:b/>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3427"/>
        <w:gridCol w:w="7205"/>
      </w:tblGrid>
      <w:tr w:rsidR="007C14BE" w:rsidRPr="00D17C3A" w:rsidTr="000B3B88">
        <w:trPr>
          <w:trHeight w:val="268"/>
        </w:trPr>
        <w:tc>
          <w:tcPr>
            <w:tcW w:w="3427" w:type="dxa"/>
            <w:shd w:val="clear" w:color="auto" w:fill="E0E0E0"/>
          </w:tcPr>
          <w:p w:rsidR="007C14BE" w:rsidRPr="00D17C3A" w:rsidRDefault="007C14BE" w:rsidP="00E112D4">
            <w:pPr>
              <w:spacing w:after="0"/>
              <w:jc w:val="both"/>
              <w:rPr>
                <w:rFonts w:ascii="Arial" w:eastAsia="SimSun" w:hAnsi="Arial" w:cs="Arial"/>
                <w:b/>
                <w:sz w:val="20"/>
                <w:szCs w:val="20"/>
              </w:rPr>
            </w:pPr>
            <w:r>
              <w:rPr>
                <w:rFonts w:ascii="Arial" w:eastAsia="SimSun" w:hAnsi="Arial" w:cs="Arial"/>
                <w:b/>
                <w:sz w:val="20"/>
                <w:szCs w:val="20"/>
              </w:rPr>
              <w:t>Número de Informe</w:t>
            </w:r>
          </w:p>
        </w:tc>
        <w:tc>
          <w:tcPr>
            <w:tcW w:w="7205" w:type="dxa"/>
            <w:shd w:val="clear" w:color="auto" w:fill="auto"/>
          </w:tcPr>
          <w:p w:rsidR="007C14BE" w:rsidRPr="00D17C3A" w:rsidRDefault="00124404" w:rsidP="004F3EE5">
            <w:pPr>
              <w:spacing w:after="0"/>
              <w:rPr>
                <w:rFonts w:ascii="Arial" w:eastAsia="SimSun" w:hAnsi="Arial" w:cs="Arial"/>
                <w:sz w:val="20"/>
                <w:szCs w:val="20"/>
              </w:rPr>
            </w:pPr>
            <w:r w:rsidRPr="007434EF">
              <w:rPr>
                <w:rFonts w:ascii="Arial" w:eastAsia="SimSun" w:hAnsi="Arial" w:cs="Arial"/>
                <w:sz w:val="20"/>
                <w:szCs w:val="20"/>
              </w:rPr>
              <w:t>S</w:t>
            </w:r>
            <w:r w:rsidR="00984254">
              <w:rPr>
                <w:rFonts w:ascii="Arial" w:eastAsia="SimSun" w:hAnsi="Arial" w:cs="Arial"/>
                <w:sz w:val="20"/>
                <w:szCs w:val="20"/>
              </w:rPr>
              <w:t xml:space="preserve"> 20</w:t>
            </w:r>
          </w:p>
        </w:tc>
      </w:tr>
      <w:tr w:rsidR="00E112D4"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E112D4" w:rsidRDefault="00E112D4" w:rsidP="00E112D4">
            <w:pPr>
              <w:spacing w:after="0"/>
              <w:rPr>
                <w:rFonts w:ascii="Arial" w:eastAsia="PMingLiU" w:hAnsi="Arial" w:cs="Arial"/>
                <w:b/>
                <w:bCs/>
                <w:sz w:val="20"/>
                <w:szCs w:val="20"/>
              </w:rPr>
            </w:pPr>
            <w:r w:rsidRPr="00E112D4">
              <w:rPr>
                <w:rFonts w:ascii="Arial" w:eastAsia="SimSun" w:hAnsi="Arial" w:cs="Arial"/>
                <w:b/>
                <w:sz w:val="20"/>
                <w:szCs w:val="20"/>
              </w:rPr>
              <w:t>Nombre del Seguimiento</w:t>
            </w:r>
          </w:p>
        </w:tc>
        <w:tc>
          <w:tcPr>
            <w:tcW w:w="7205" w:type="dxa"/>
          </w:tcPr>
          <w:p w:rsidR="00E112D4" w:rsidRPr="00FC1D27" w:rsidRDefault="00E04680" w:rsidP="00E04680">
            <w:pPr>
              <w:tabs>
                <w:tab w:val="left" w:pos="5387"/>
              </w:tabs>
              <w:spacing w:after="0"/>
              <w:jc w:val="both"/>
              <w:rPr>
                <w:rFonts w:ascii="Arial" w:eastAsia="PMingLiU" w:hAnsi="Arial" w:cs="Arial"/>
                <w:bCs/>
                <w:color w:val="0000FF"/>
                <w:sz w:val="20"/>
                <w:szCs w:val="20"/>
              </w:rPr>
            </w:pPr>
            <w:r w:rsidRPr="00FC1D27">
              <w:rPr>
                <w:rFonts w:ascii="Arial" w:eastAsia="MS Mincho" w:hAnsi="Arial" w:cs="Arial"/>
                <w:sz w:val="22"/>
                <w:szCs w:val="22"/>
              </w:rPr>
              <w:t xml:space="preserve">Informe </w:t>
            </w:r>
            <w:r w:rsidR="00124404" w:rsidRPr="00FC1D27">
              <w:rPr>
                <w:rFonts w:ascii="Arial" w:eastAsia="MS Mincho" w:hAnsi="Arial" w:cs="Arial"/>
                <w:sz w:val="22"/>
                <w:szCs w:val="22"/>
              </w:rPr>
              <w:t xml:space="preserve">Seguimiento </w:t>
            </w:r>
            <w:r w:rsidR="004E43E3" w:rsidRPr="00FC1D27">
              <w:rPr>
                <w:rFonts w:ascii="Arial" w:eastAsia="MS Mincho" w:hAnsi="Arial" w:cs="Arial"/>
                <w:sz w:val="22"/>
                <w:szCs w:val="22"/>
              </w:rPr>
              <w:t>Ejecución Financiera Proyectos de Inversión</w:t>
            </w:r>
            <w:r w:rsidRPr="00FC1D27">
              <w:rPr>
                <w:rFonts w:ascii="Arial" w:eastAsia="MS Mincho" w:hAnsi="Arial" w:cs="Arial"/>
                <w:sz w:val="22"/>
                <w:szCs w:val="22"/>
              </w:rPr>
              <w:t xml:space="preserve"> 2016</w:t>
            </w:r>
            <w:r w:rsidR="00FC1D27">
              <w:rPr>
                <w:rFonts w:ascii="Arial" w:eastAsia="MS Mincho" w:hAnsi="Arial" w:cs="Arial"/>
                <w:sz w:val="22"/>
                <w:szCs w:val="22"/>
              </w:rPr>
              <w:t>.</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Pr="00BC309A" w:rsidRDefault="00DD2063" w:rsidP="00DD2063">
            <w:pPr>
              <w:spacing w:after="0"/>
              <w:rPr>
                <w:rFonts w:ascii="Arial" w:eastAsia="PMingLiU" w:hAnsi="Arial" w:cs="Arial"/>
                <w:b/>
                <w:bCs/>
                <w:sz w:val="20"/>
                <w:szCs w:val="20"/>
              </w:rPr>
            </w:pPr>
            <w:r>
              <w:rPr>
                <w:rFonts w:ascii="Arial" w:eastAsia="PMingLiU" w:hAnsi="Arial" w:cs="Arial"/>
                <w:b/>
                <w:bCs/>
                <w:sz w:val="20"/>
                <w:szCs w:val="20"/>
              </w:rPr>
              <w:t>Objetivo del Seguimiento</w:t>
            </w:r>
          </w:p>
        </w:tc>
        <w:tc>
          <w:tcPr>
            <w:tcW w:w="7205" w:type="dxa"/>
          </w:tcPr>
          <w:p w:rsidR="00DD2063" w:rsidRPr="00124404" w:rsidRDefault="00F758E0" w:rsidP="00752272">
            <w:pPr>
              <w:spacing w:after="0"/>
              <w:jc w:val="both"/>
              <w:rPr>
                <w:rFonts w:ascii="Arial" w:hAnsi="Arial" w:cs="Arial"/>
                <w:sz w:val="22"/>
                <w:szCs w:val="22"/>
              </w:rPr>
            </w:pPr>
            <w:r w:rsidRPr="00F758E0">
              <w:rPr>
                <w:rFonts w:ascii="Arial" w:hAnsi="Arial" w:cs="Arial"/>
                <w:sz w:val="22"/>
                <w:szCs w:val="22"/>
              </w:rPr>
              <w:t>Realizar seguimiento a la ejecución financiera de los Proyectos de Inversión vigencia 2016, identificando las oportunidades de mejora a través de recomendaciones emitidas por la Oficina de Control Interno</w:t>
            </w:r>
          </w:p>
        </w:tc>
      </w:tr>
      <w:tr w:rsidR="00DD2063" w:rsidRPr="00BC309A" w:rsidTr="00430BB9">
        <w:tblPrEx>
          <w:tblCellMar>
            <w:left w:w="70" w:type="dxa"/>
            <w:right w:w="70" w:type="dxa"/>
          </w:tblCellMar>
          <w:tblLook w:val="0000" w:firstRow="0" w:lastRow="0" w:firstColumn="0" w:lastColumn="0" w:noHBand="0" w:noVBand="0"/>
        </w:tblPrEx>
        <w:trPr>
          <w:trHeight w:val="70"/>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Alcance del Seguimiento</w:t>
            </w:r>
          </w:p>
        </w:tc>
        <w:tc>
          <w:tcPr>
            <w:tcW w:w="7205" w:type="dxa"/>
          </w:tcPr>
          <w:p w:rsidR="00DD2063" w:rsidRPr="004E43E3" w:rsidRDefault="00F758E0" w:rsidP="00752272">
            <w:pPr>
              <w:spacing w:after="0"/>
              <w:contextualSpacing/>
              <w:jc w:val="both"/>
              <w:rPr>
                <w:rFonts w:ascii="Arial" w:eastAsia="MS Mincho" w:hAnsi="Arial" w:cs="Arial"/>
                <w:sz w:val="22"/>
                <w:szCs w:val="22"/>
              </w:rPr>
            </w:pPr>
            <w:r w:rsidRPr="00F758E0">
              <w:rPr>
                <w:rFonts w:ascii="Arial" w:eastAsia="MS Mincho" w:hAnsi="Arial" w:cs="Arial"/>
                <w:sz w:val="22"/>
                <w:szCs w:val="22"/>
              </w:rPr>
              <w:t>La Oficina de Control Interno, efectúa seguimiento al avance financiero de los Proyectos de Inversión ejecutados por cada una de las dependencias de la Unidad. El presente informe presenta evaluación con corte a 30 de abril de 2016.</w:t>
            </w:r>
          </w:p>
        </w:tc>
      </w:tr>
      <w:tr w:rsidR="00DD2063" w:rsidRPr="00BC309A" w:rsidTr="00430BB9">
        <w:tblPrEx>
          <w:tblCellMar>
            <w:left w:w="70" w:type="dxa"/>
            <w:right w:w="70" w:type="dxa"/>
          </w:tblCellMar>
          <w:tblLook w:val="0000" w:firstRow="0" w:lastRow="0" w:firstColumn="0" w:lastColumn="0" w:noHBand="0" w:noVBand="0"/>
        </w:tblPrEx>
        <w:trPr>
          <w:trHeight w:val="74"/>
        </w:trPr>
        <w:tc>
          <w:tcPr>
            <w:tcW w:w="3427" w:type="dxa"/>
            <w:shd w:val="clear" w:color="auto" w:fill="E0E0E0"/>
          </w:tcPr>
          <w:p w:rsidR="00DD2063" w:rsidRDefault="00DD2063" w:rsidP="00DD2063">
            <w:pPr>
              <w:spacing w:after="0"/>
              <w:rPr>
                <w:rFonts w:ascii="Arial" w:hAnsi="Arial" w:cs="Arial"/>
                <w:b/>
                <w:sz w:val="20"/>
              </w:rPr>
            </w:pPr>
            <w:r>
              <w:rPr>
                <w:rFonts w:ascii="Arial" w:hAnsi="Arial" w:cs="Arial"/>
                <w:b/>
                <w:sz w:val="20"/>
              </w:rPr>
              <w:t xml:space="preserve">Normatividad </w:t>
            </w:r>
          </w:p>
        </w:tc>
        <w:tc>
          <w:tcPr>
            <w:tcW w:w="7205" w:type="dxa"/>
          </w:tcPr>
          <w:p w:rsidR="004E43E3" w:rsidRPr="007434EF"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152 de 1994: </w:t>
            </w:r>
            <w:r w:rsidR="00FC1D27" w:rsidRPr="00FC1D27">
              <w:rPr>
                <w:rFonts w:ascii="Arial" w:hAnsi="Arial" w:cs="Arial"/>
                <w:sz w:val="22"/>
                <w:szCs w:val="22"/>
              </w:rPr>
              <w:t>“Por la cual se establece la Ley Orgánica del Plan de Desarrollo</w:t>
            </w:r>
            <w:r w:rsidR="001C73A9">
              <w:rPr>
                <w:rFonts w:ascii="Arial" w:hAnsi="Arial" w:cs="Arial"/>
                <w:sz w:val="22"/>
                <w:szCs w:val="22"/>
              </w:rPr>
              <w:t>”. T</w:t>
            </w:r>
            <w:r w:rsidRPr="001C73A9">
              <w:rPr>
                <w:rFonts w:ascii="Arial" w:eastAsia="MS Mincho" w:hAnsi="Arial" w:cs="Arial"/>
                <w:sz w:val="22"/>
                <w:szCs w:val="22"/>
              </w:rPr>
              <w:t>iene como propósito establecer los procedimientos y mecanismos para la elaboración, aprobación, ejecución, seguimiento, evaluación y control de los planes de desarrollo.</w:t>
            </w:r>
          </w:p>
          <w:p w:rsidR="004E43E3" w:rsidRPr="007434EF" w:rsidRDefault="004E43E3" w:rsidP="004E43E3">
            <w:pPr>
              <w:spacing w:after="240"/>
              <w:contextualSpacing/>
              <w:jc w:val="both"/>
              <w:rPr>
                <w:rFonts w:ascii="Arial" w:hAnsi="Arial" w:cs="Arial"/>
                <w:color w:val="FF0000"/>
                <w:sz w:val="22"/>
                <w:szCs w:val="22"/>
              </w:rPr>
            </w:pPr>
          </w:p>
          <w:p w:rsidR="004E43E3" w:rsidRPr="001C73A9" w:rsidRDefault="004E43E3" w:rsidP="004E43E3">
            <w:pPr>
              <w:spacing w:after="240"/>
              <w:contextualSpacing/>
              <w:jc w:val="both"/>
              <w:rPr>
                <w:rFonts w:ascii="Arial" w:eastAsia="MS Mincho" w:hAnsi="Arial" w:cs="Arial"/>
                <w:sz w:val="22"/>
                <w:szCs w:val="22"/>
              </w:rPr>
            </w:pPr>
            <w:r w:rsidRPr="007434EF">
              <w:rPr>
                <w:rFonts w:ascii="Arial" w:hAnsi="Arial" w:cs="Arial"/>
                <w:b/>
                <w:sz w:val="22"/>
                <w:szCs w:val="22"/>
              </w:rPr>
              <w:t xml:space="preserve">Ley 489 de 1998: </w:t>
            </w:r>
            <w:r w:rsidR="00FC1D27" w:rsidRPr="00FC1D27">
              <w:rPr>
                <w:rFonts w:ascii="Arial" w:hAnsi="Arial" w:cs="Arial"/>
                <w:sz w:val="22"/>
                <w:szCs w:val="22"/>
              </w:rPr>
              <w:t>“Por la cual se dictan normas sobre la organización y funcionamiento de las entidades del orden nacional, se expiden las disposiciones, principios y reglas generales para el ejercicio de las atribuciones previstas en los numerales 15 y 16 del artículo 189 de la Constitución Política y se dictan otras disposiciones”.</w:t>
            </w:r>
            <w:r w:rsidR="00FC1D27">
              <w:rPr>
                <w:rFonts w:ascii="Arial" w:hAnsi="Arial" w:cs="Arial"/>
                <w:b/>
                <w:sz w:val="22"/>
                <w:szCs w:val="22"/>
              </w:rPr>
              <w:t xml:space="preserve"> </w:t>
            </w:r>
            <w:r w:rsidRPr="001C73A9">
              <w:rPr>
                <w:rFonts w:ascii="Arial" w:eastAsia="MS Mincho" w:hAnsi="Arial" w:cs="Arial"/>
                <w:sz w:val="22"/>
                <w:szCs w:val="22"/>
              </w:rPr>
              <w:t>Regula el ejercicio de la función administrativa, determina la estructura y define los principios y reglas básicas de la organización y funcionamiento de la Administración Pública.</w:t>
            </w:r>
          </w:p>
          <w:p w:rsidR="004E43E3" w:rsidRPr="007434EF" w:rsidRDefault="004E43E3" w:rsidP="004E43E3">
            <w:pPr>
              <w:spacing w:after="240"/>
              <w:contextualSpacing/>
              <w:jc w:val="both"/>
              <w:rPr>
                <w:rFonts w:ascii="Arial" w:hAnsi="Arial" w:cs="Arial"/>
                <w:color w:val="FF0000"/>
                <w:sz w:val="22"/>
                <w:szCs w:val="22"/>
              </w:rPr>
            </w:pPr>
          </w:p>
          <w:p w:rsidR="004E43E3" w:rsidRPr="007434EF" w:rsidRDefault="004E43E3" w:rsidP="004E43E3">
            <w:pPr>
              <w:spacing w:after="240"/>
              <w:contextualSpacing/>
              <w:jc w:val="both"/>
              <w:rPr>
                <w:rFonts w:ascii="Arial" w:hAnsi="Arial" w:cs="Arial"/>
                <w:sz w:val="22"/>
                <w:szCs w:val="22"/>
              </w:rPr>
            </w:pPr>
            <w:r w:rsidRPr="007434EF">
              <w:rPr>
                <w:rFonts w:ascii="Arial" w:hAnsi="Arial" w:cs="Arial"/>
                <w:b/>
                <w:sz w:val="22"/>
                <w:szCs w:val="22"/>
              </w:rPr>
              <w:t>Ley 1474 de 2011:</w:t>
            </w:r>
            <w:r w:rsidRPr="007434EF">
              <w:rPr>
                <w:rFonts w:ascii="Arial" w:hAnsi="Arial" w:cs="Arial"/>
                <w:sz w:val="22"/>
                <w:szCs w:val="22"/>
              </w:rPr>
              <w:t xml:space="preserve"> </w:t>
            </w:r>
            <w:r w:rsidR="004E3DE3">
              <w:rPr>
                <w:rFonts w:ascii="Arial" w:hAnsi="Arial" w:cs="Arial"/>
                <w:sz w:val="22"/>
                <w:szCs w:val="22"/>
              </w:rPr>
              <w:t>“</w:t>
            </w:r>
            <w:r w:rsidR="004E3DE3" w:rsidRPr="004E3DE3">
              <w:rPr>
                <w:rFonts w:ascii="Arial" w:hAnsi="Arial" w:cs="Arial"/>
                <w:sz w:val="22"/>
                <w:szCs w:val="22"/>
              </w:rPr>
              <w:t>Por la cual se dictan normas orientadas a fortalecer los mecanismos de prevención, investigación y sanción de actos de corrupción y la efectividad del control de la gestión pública</w:t>
            </w:r>
            <w:r w:rsidR="004E3DE3">
              <w:rPr>
                <w:rFonts w:ascii="Arial" w:hAnsi="Arial" w:cs="Arial"/>
                <w:sz w:val="22"/>
                <w:szCs w:val="22"/>
              </w:rPr>
              <w:t>”</w:t>
            </w:r>
            <w:r w:rsidR="004E3DE3" w:rsidRPr="004E3DE3">
              <w:rPr>
                <w:rFonts w:ascii="Arial" w:hAnsi="Arial" w:cs="Arial"/>
                <w:sz w:val="22"/>
                <w:szCs w:val="22"/>
              </w:rPr>
              <w:t>.</w:t>
            </w:r>
            <w:r w:rsidR="004E3DE3">
              <w:rPr>
                <w:rFonts w:ascii="Arial" w:hAnsi="Arial" w:cs="Arial"/>
                <w:sz w:val="22"/>
                <w:szCs w:val="22"/>
              </w:rPr>
              <w:t xml:space="preserve"> </w:t>
            </w:r>
          </w:p>
          <w:p w:rsidR="004E43E3" w:rsidRPr="007434EF" w:rsidRDefault="004E43E3" w:rsidP="004E43E3">
            <w:pPr>
              <w:spacing w:after="240"/>
              <w:contextualSpacing/>
              <w:jc w:val="both"/>
              <w:rPr>
                <w:rFonts w:ascii="Arial" w:hAnsi="Arial" w:cs="Arial"/>
                <w:color w:val="FF0000"/>
                <w:sz w:val="22"/>
                <w:szCs w:val="22"/>
              </w:rPr>
            </w:pPr>
          </w:p>
          <w:p w:rsidR="004E43E3" w:rsidRPr="007434EF" w:rsidRDefault="004E43E3" w:rsidP="004E43E3">
            <w:pPr>
              <w:shd w:val="clear" w:color="auto" w:fill="FFFFFF"/>
              <w:spacing w:before="100" w:beforeAutospacing="1" w:after="240"/>
              <w:jc w:val="both"/>
              <w:rPr>
                <w:rFonts w:ascii="Arial" w:eastAsia="MS Mincho" w:hAnsi="Arial" w:cs="Arial"/>
                <w:sz w:val="22"/>
                <w:szCs w:val="22"/>
              </w:rPr>
            </w:pPr>
            <w:r w:rsidRPr="007434EF">
              <w:rPr>
                <w:rFonts w:ascii="Arial" w:hAnsi="Arial" w:cs="Arial"/>
                <w:b/>
                <w:sz w:val="22"/>
                <w:szCs w:val="22"/>
              </w:rPr>
              <w:t>Resolución 1450 de 2013</w:t>
            </w:r>
            <w:r w:rsidR="004E3DE3">
              <w:rPr>
                <w:rFonts w:ascii="Arial" w:hAnsi="Arial" w:cs="Arial"/>
                <w:b/>
                <w:sz w:val="22"/>
                <w:szCs w:val="22"/>
              </w:rPr>
              <w:t xml:space="preserve"> - DNP</w:t>
            </w:r>
            <w:r w:rsidRPr="007434EF">
              <w:rPr>
                <w:rFonts w:ascii="Arial" w:hAnsi="Arial" w:cs="Arial"/>
                <w:b/>
                <w:sz w:val="22"/>
                <w:szCs w:val="22"/>
              </w:rPr>
              <w:t>:</w:t>
            </w:r>
            <w:r w:rsidRPr="007434EF">
              <w:rPr>
                <w:rFonts w:ascii="Arial" w:hAnsi="Arial" w:cs="Arial"/>
                <w:color w:val="333333"/>
                <w:sz w:val="22"/>
                <w:szCs w:val="22"/>
              </w:rPr>
              <w:t xml:space="preserve"> </w:t>
            </w:r>
            <w:r w:rsidRPr="007434EF">
              <w:rPr>
                <w:rFonts w:ascii="Arial" w:eastAsia="MS Mincho" w:hAnsi="Arial" w:cs="Arial"/>
                <w:sz w:val="22"/>
                <w:szCs w:val="22"/>
              </w:rPr>
              <w:t>"Por la cual se adopta la metodología para la formulación y evaluación previa de proyectos de inversión susceptibles de ser financiados con recursos del Presupuesto General de la Nación y de los Presupuestos Territoriales".</w:t>
            </w:r>
          </w:p>
          <w:p w:rsidR="004E43E3" w:rsidRPr="007434EF" w:rsidRDefault="00E33FC3" w:rsidP="004E43E3">
            <w:pPr>
              <w:shd w:val="clear" w:color="auto" w:fill="FFFFFF"/>
              <w:spacing w:before="100" w:beforeAutospacing="1" w:after="240"/>
              <w:jc w:val="both"/>
              <w:rPr>
                <w:rFonts w:ascii="Arial" w:eastAsia="MS Mincho" w:hAnsi="Arial" w:cs="Arial"/>
                <w:sz w:val="22"/>
                <w:szCs w:val="22"/>
              </w:rPr>
            </w:pPr>
            <w:hyperlink r:id="rId8" w:tgtFrame="_blank" w:tooltip="Decreto 2844 de 2010" w:history="1">
              <w:r w:rsidR="004E43E3" w:rsidRPr="007434EF">
                <w:rPr>
                  <w:rFonts w:ascii="Arial" w:hAnsi="Arial" w:cs="Arial"/>
                  <w:b/>
                  <w:sz w:val="22"/>
                  <w:szCs w:val="22"/>
                </w:rPr>
                <w:t>Decreto No. 2844 de 2010</w:t>
              </w:r>
            </w:hyperlink>
            <w:r w:rsidR="004E43E3" w:rsidRPr="007434EF">
              <w:rPr>
                <w:rFonts w:ascii="Arial" w:hAnsi="Arial" w:cs="Arial"/>
                <w:b/>
                <w:sz w:val="22"/>
                <w:szCs w:val="22"/>
              </w:rPr>
              <w:t xml:space="preserve">: </w:t>
            </w:r>
            <w:r w:rsidR="004E3DE3">
              <w:rPr>
                <w:rFonts w:ascii="Arial" w:hAnsi="Arial" w:cs="Arial"/>
                <w:b/>
                <w:sz w:val="22"/>
                <w:szCs w:val="22"/>
              </w:rPr>
              <w:t>“</w:t>
            </w:r>
            <w:r w:rsidR="004E43E3" w:rsidRPr="007434EF">
              <w:rPr>
                <w:rFonts w:ascii="Arial" w:eastAsia="MS Mincho" w:hAnsi="Arial" w:cs="Arial"/>
                <w:sz w:val="22"/>
                <w:szCs w:val="22"/>
              </w:rPr>
              <w:t>Por el cual se reglamentan normas orgánicas de Presupuesto y del Plan Nacional de Desarrollo</w:t>
            </w:r>
            <w:r w:rsidR="004E3DE3">
              <w:rPr>
                <w:rFonts w:ascii="Arial" w:eastAsia="MS Mincho" w:hAnsi="Arial" w:cs="Arial"/>
                <w:sz w:val="22"/>
                <w:szCs w:val="22"/>
              </w:rPr>
              <w:t xml:space="preserve">”. </w:t>
            </w:r>
          </w:p>
          <w:p w:rsidR="004E43E3" w:rsidRPr="007434EF" w:rsidRDefault="004E43E3" w:rsidP="004E43E3">
            <w:pPr>
              <w:shd w:val="clear" w:color="auto" w:fill="FFFFFF"/>
              <w:spacing w:before="100" w:beforeAutospacing="1" w:after="240"/>
              <w:jc w:val="both"/>
              <w:rPr>
                <w:rFonts w:ascii="Arial" w:eastAsia="MS Mincho" w:hAnsi="Arial" w:cs="Arial"/>
                <w:sz w:val="22"/>
                <w:szCs w:val="22"/>
              </w:rPr>
            </w:pPr>
            <w:r w:rsidRPr="007434EF">
              <w:rPr>
                <w:rFonts w:ascii="Arial" w:hAnsi="Arial" w:cs="Arial"/>
                <w:b/>
                <w:sz w:val="22"/>
                <w:szCs w:val="22"/>
              </w:rPr>
              <w:t>Decreto No. 4730 de 2005:</w:t>
            </w:r>
            <w:r w:rsidRPr="007434EF">
              <w:rPr>
                <w:rFonts w:ascii="Arial" w:hAnsi="Arial" w:cs="Arial"/>
                <w:color w:val="333333"/>
                <w:sz w:val="22"/>
                <w:szCs w:val="22"/>
                <w:shd w:val="clear" w:color="auto" w:fill="FFFFFF"/>
              </w:rPr>
              <w:t xml:space="preserve"> </w:t>
            </w:r>
            <w:r w:rsidR="004E3DE3">
              <w:rPr>
                <w:rFonts w:ascii="Arial" w:hAnsi="Arial" w:cs="Arial"/>
                <w:color w:val="333333"/>
                <w:sz w:val="22"/>
                <w:szCs w:val="22"/>
                <w:shd w:val="clear" w:color="auto" w:fill="FFFFFF"/>
              </w:rPr>
              <w:t>“</w:t>
            </w:r>
            <w:r w:rsidRPr="007434EF">
              <w:rPr>
                <w:rFonts w:ascii="Arial" w:eastAsia="MS Mincho" w:hAnsi="Arial" w:cs="Arial"/>
                <w:sz w:val="22"/>
                <w:szCs w:val="22"/>
              </w:rPr>
              <w:t>Por el cual se reglamentan normas orgánicas del presupuesto</w:t>
            </w:r>
            <w:r w:rsidR="004E3DE3">
              <w:rPr>
                <w:rFonts w:ascii="Arial" w:eastAsia="MS Mincho" w:hAnsi="Arial" w:cs="Arial"/>
                <w:sz w:val="22"/>
                <w:szCs w:val="22"/>
              </w:rPr>
              <w:t>”</w:t>
            </w:r>
            <w:r w:rsidRPr="007434EF">
              <w:rPr>
                <w:rFonts w:ascii="Arial" w:eastAsia="MS Mincho" w:hAnsi="Arial" w:cs="Arial"/>
                <w:sz w:val="22"/>
                <w:szCs w:val="22"/>
              </w:rPr>
              <w:t xml:space="preserve">. </w:t>
            </w:r>
          </w:p>
          <w:p w:rsidR="00DD2063" w:rsidRDefault="00FB7A26" w:rsidP="00FB7A26">
            <w:pPr>
              <w:jc w:val="both"/>
              <w:rPr>
                <w:rFonts w:ascii="Arial" w:eastAsia="MS Mincho" w:hAnsi="Arial" w:cs="Arial"/>
                <w:sz w:val="22"/>
                <w:szCs w:val="22"/>
              </w:rPr>
            </w:pPr>
            <w:r>
              <w:rPr>
                <w:rFonts w:ascii="Arial" w:hAnsi="Arial" w:cs="Arial"/>
                <w:b/>
                <w:sz w:val="22"/>
                <w:szCs w:val="22"/>
              </w:rPr>
              <w:t xml:space="preserve">Decreto No. 2550 </w:t>
            </w:r>
            <w:r w:rsidR="004E43E3" w:rsidRPr="007434EF">
              <w:rPr>
                <w:rFonts w:ascii="Arial" w:hAnsi="Arial" w:cs="Arial"/>
                <w:b/>
                <w:sz w:val="22"/>
                <w:szCs w:val="22"/>
              </w:rPr>
              <w:t xml:space="preserve">de diciembre </w:t>
            </w:r>
            <w:r>
              <w:rPr>
                <w:rFonts w:ascii="Arial" w:hAnsi="Arial" w:cs="Arial"/>
                <w:b/>
                <w:sz w:val="22"/>
                <w:szCs w:val="22"/>
              </w:rPr>
              <w:t xml:space="preserve">30 </w:t>
            </w:r>
            <w:r w:rsidR="00C47397">
              <w:rPr>
                <w:rFonts w:ascii="Arial" w:hAnsi="Arial" w:cs="Arial"/>
                <w:b/>
                <w:sz w:val="22"/>
                <w:szCs w:val="22"/>
              </w:rPr>
              <w:t>de 2015:</w:t>
            </w:r>
            <w:r w:rsidR="004E43E3" w:rsidRPr="007434EF">
              <w:rPr>
                <w:rFonts w:ascii="Arial" w:hAnsi="Arial" w:cs="Arial"/>
                <w:b/>
                <w:sz w:val="22"/>
                <w:szCs w:val="22"/>
              </w:rPr>
              <w:t xml:space="preserve"> </w:t>
            </w:r>
            <w:r>
              <w:rPr>
                <w:rFonts w:ascii="Arial" w:eastAsia="MS Mincho" w:hAnsi="Arial" w:cs="Arial"/>
                <w:sz w:val="22"/>
                <w:szCs w:val="22"/>
              </w:rPr>
              <w:t xml:space="preserve">Por el cual se liquida el Presupuesto General de la Nación para la vigencia fiscal de 2016, se detallan las apropiaciones y se clasifican y definen los gastos. </w:t>
            </w:r>
          </w:p>
          <w:p w:rsidR="00FB7A26" w:rsidRPr="004E43E3" w:rsidRDefault="00C47397" w:rsidP="00C47397">
            <w:pPr>
              <w:jc w:val="both"/>
              <w:rPr>
                <w:rFonts w:ascii="Arial" w:eastAsia="MS Mincho" w:hAnsi="Arial" w:cs="Arial"/>
                <w:sz w:val="22"/>
                <w:szCs w:val="22"/>
              </w:rPr>
            </w:pPr>
            <w:r>
              <w:rPr>
                <w:rFonts w:ascii="Arial" w:hAnsi="Arial" w:cs="Arial"/>
                <w:b/>
                <w:sz w:val="22"/>
                <w:szCs w:val="22"/>
              </w:rPr>
              <w:t xml:space="preserve">Decreto No. </w:t>
            </w:r>
            <w:r w:rsidR="00FB7A26">
              <w:rPr>
                <w:rFonts w:ascii="Arial" w:hAnsi="Arial" w:cs="Arial"/>
                <w:b/>
                <w:sz w:val="22"/>
                <w:szCs w:val="22"/>
              </w:rPr>
              <w:t>0</w:t>
            </w:r>
            <w:r>
              <w:rPr>
                <w:rFonts w:ascii="Arial" w:hAnsi="Arial" w:cs="Arial"/>
                <w:b/>
                <w:sz w:val="22"/>
                <w:szCs w:val="22"/>
              </w:rPr>
              <w:t>91</w:t>
            </w:r>
            <w:r w:rsidR="00FB7A26">
              <w:rPr>
                <w:rFonts w:ascii="Arial" w:hAnsi="Arial" w:cs="Arial"/>
                <w:b/>
                <w:sz w:val="22"/>
                <w:szCs w:val="22"/>
              </w:rPr>
              <w:t xml:space="preserve"> </w:t>
            </w:r>
            <w:r>
              <w:rPr>
                <w:rFonts w:ascii="Arial" w:hAnsi="Arial" w:cs="Arial"/>
                <w:b/>
                <w:sz w:val="22"/>
                <w:szCs w:val="22"/>
              </w:rPr>
              <w:t>de enero</w:t>
            </w:r>
            <w:r w:rsidR="00FB7A26" w:rsidRPr="007434EF">
              <w:rPr>
                <w:rFonts w:ascii="Arial" w:hAnsi="Arial" w:cs="Arial"/>
                <w:b/>
                <w:sz w:val="22"/>
                <w:szCs w:val="22"/>
              </w:rPr>
              <w:t xml:space="preserve"> </w:t>
            </w:r>
            <w:r>
              <w:rPr>
                <w:rFonts w:ascii="Arial" w:hAnsi="Arial" w:cs="Arial"/>
                <w:b/>
                <w:sz w:val="22"/>
                <w:szCs w:val="22"/>
              </w:rPr>
              <w:t>21 de 2016</w:t>
            </w:r>
            <w:r w:rsidR="00FB7A26" w:rsidRPr="007434EF">
              <w:rPr>
                <w:rFonts w:ascii="Arial" w:hAnsi="Arial" w:cs="Arial"/>
                <w:b/>
                <w:sz w:val="22"/>
                <w:szCs w:val="22"/>
              </w:rPr>
              <w:t xml:space="preserve">: </w:t>
            </w:r>
            <w:r w:rsidR="00FB7A26">
              <w:rPr>
                <w:rFonts w:ascii="Arial" w:eastAsia="MS Mincho" w:hAnsi="Arial" w:cs="Arial"/>
                <w:sz w:val="22"/>
                <w:szCs w:val="22"/>
              </w:rPr>
              <w:t xml:space="preserve">Por el cual se </w:t>
            </w:r>
            <w:r>
              <w:rPr>
                <w:rFonts w:ascii="Arial" w:eastAsia="MS Mincho" w:hAnsi="Arial" w:cs="Arial"/>
                <w:sz w:val="22"/>
                <w:szCs w:val="22"/>
              </w:rPr>
              <w:t xml:space="preserve">efectúa un ajuste en el Presupuesto General de la </w:t>
            </w:r>
            <w:r w:rsidR="001D5C12">
              <w:rPr>
                <w:rFonts w:ascii="Arial" w:eastAsia="MS Mincho" w:hAnsi="Arial" w:cs="Arial"/>
                <w:sz w:val="22"/>
                <w:szCs w:val="22"/>
              </w:rPr>
              <w:t>Nación</w:t>
            </w:r>
            <w:r>
              <w:rPr>
                <w:rFonts w:ascii="Arial" w:eastAsia="MS Mincho" w:hAnsi="Arial" w:cs="Arial"/>
                <w:sz w:val="22"/>
                <w:szCs w:val="22"/>
              </w:rPr>
              <w:t xml:space="preserve"> para la vigencia fiscal </w:t>
            </w:r>
            <w:r w:rsidR="001D5C12">
              <w:rPr>
                <w:rFonts w:ascii="Arial" w:eastAsia="MS Mincho" w:hAnsi="Arial" w:cs="Arial"/>
                <w:sz w:val="22"/>
                <w:szCs w:val="22"/>
              </w:rPr>
              <w:t>de 2016.</w:t>
            </w:r>
            <w:r>
              <w:rPr>
                <w:rFonts w:ascii="Arial" w:eastAsia="MS Mincho" w:hAnsi="Arial" w:cs="Arial"/>
                <w:sz w:val="22"/>
                <w:szCs w:val="22"/>
              </w:rPr>
              <w:t xml:space="preserve"> </w:t>
            </w:r>
            <w:r w:rsidR="00FB7A26">
              <w:rPr>
                <w:rFonts w:ascii="Arial" w:eastAsia="MS Mincho" w:hAnsi="Arial" w:cs="Arial"/>
                <w:sz w:val="22"/>
                <w:szCs w:val="22"/>
              </w:rPr>
              <w:t xml:space="preserve"> </w:t>
            </w:r>
          </w:p>
        </w:tc>
      </w:tr>
    </w:tbl>
    <w:p w:rsidR="00DD2063" w:rsidRDefault="00DD2063" w:rsidP="00DD2063">
      <w:pPr>
        <w:spacing w:after="0"/>
        <w:rPr>
          <w:rFonts w:ascii="Arial Narrow" w:hAnsi="Arial Narrow"/>
          <w:b/>
        </w:rPr>
      </w:pPr>
    </w:p>
    <w:p w:rsidR="00EC51F8" w:rsidRDefault="00EC51F8" w:rsidP="00DD2063">
      <w:pPr>
        <w:spacing w:after="0"/>
        <w:rPr>
          <w:rFonts w:ascii="Arial" w:hAnsi="Arial" w:cs="Arial"/>
          <w:b/>
          <w:sz w:val="20"/>
          <w:szCs w:val="20"/>
        </w:rPr>
      </w:pPr>
    </w:p>
    <w:p w:rsidR="004E43E3" w:rsidRDefault="004E43E3" w:rsidP="00DD2063">
      <w:pPr>
        <w:spacing w:after="0"/>
        <w:rPr>
          <w:rFonts w:ascii="Arial" w:hAnsi="Arial" w:cs="Arial"/>
          <w:b/>
          <w:sz w:val="20"/>
          <w:szCs w:val="20"/>
        </w:rPr>
      </w:pP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4C0B87" w:rsidRPr="00D17C3A" w:rsidTr="000B3B88">
        <w:trPr>
          <w:trHeight w:val="268"/>
        </w:trPr>
        <w:tc>
          <w:tcPr>
            <w:tcW w:w="10632" w:type="dxa"/>
            <w:shd w:val="clear" w:color="auto" w:fill="E0E0E0"/>
          </w:tcPr>
          <w:p w:rsidR="004C0B87" w:rsidRPr="001C73A9" w:rsidRDefault="004C0B87" w:rsidP="00810C3F">
            <w:pPr>
              <w:pStyle w:val="Prrafodelista"/>
              <w:numPr>
                <w:ilvl w:val="0"/>
                <w:numId w:val="48"/>
              </w:numPr>
              <w:spacing w:after="0"/>
              <w:rPr>
                <w:rFonts w:ascii="Arial" w:hAnsi="Arial" w:cs="Arial"/>
                <w:b/>
              </w:rPr>
            </w:pPr>
            <w:r w:rsidRPr="001C73A9">
              <w:rPr>
                <w:rFonts w:ascii="Arial" w:hAnsi="Arial" w:cs="Arial"/>
                <w:b/>
              </w:rPr>
              <w:lastRenderedPageBreak/>
              <w:t>Análisis y Observaciones</w:t>
            </w:r>
          </w:p>
          <w:p w:rsidR="001C73A9" w:rsidRPr="00810C3F" w:rsidRDefault="001C73A9" w:rsidP="00810C3F">
            <w:pPr>
              <w:pStyle w:val="Prrafodelista"/>
              <w:spacing w:after="0"/>
              <w:rPr>
                <w:rFonts w:ascii="Arial" w:hAnsi="Arial" w:cs="Arial"/>
                <w:b/>
                <w:sz w:val="20"/>
                <w:szCs w:val="20"/>
              </w:rPr>
            </w:pPr>
          </w:p>
        </w:tc>
      </w:tr>
    </w:tbl>
    <w:p w:rsidR="00EC51F8" w:rsidRDefault="00EC51F8" w:rsidP="00DD2063">
      <w:pPr>
        <w:spacing w:after="0"/>
        <w:rPr>
          <w:rFonts w:ascii="Arial" w:hAnsi="Arial" w:cs="Arial"/>
          <w:b/>
          <w:sz w:val="20"/>
          <w:szCs w:val="20"/>
        </w:rPr>
      </w:pPr>
    </w:p>
    <w:p w:rsidR="00F758E0" w:rsidRDefault="00F758E0" w:rsidP="00DD2063">
      <w:pPr>
        <w:spacing w:after="0"/>
        <w:rPr>
          <w:rFonts w:ascii="Arial" w:hAnsi="Arial" w:cs="Arial"/>
          <w:b/>
          <w:sz w:val="20"/>
          <w:szCs w:val="20"/>
        </w:rPr>
      </w:pPr>
    </w:p>
    <w:p w:rsidR="004C0B87" w:rsidRPr="00F758E0" w:rsidRDefault="004C0B87" w:rsidP="004C0B87">
      <w:pPr>
        <w:pStyle w:val="Prrafodelista"/>
        <w:numPr>
          <w:ilvl w:val="0"/>
          <w:numId w:val="22"/>
        </w:numPr>
        <w:spacing w:after="0"/>
        <w:jc w:val="both"/>
        <w:rPr>
          <w:rFonts w:ascii="Arial" w:eastAsia="MS Mincho" w:hAnsi="Arial" w:cs="Arial"/>
          <w:b/>
        </w:rPr>
      </w:pPr>
      <w:r w:rsidRPr="00F758E0">
        <w:rPr>
          <w:rFonts w:ascii="Arial" w:eastAsia="MS Mincho" w:hAnsi="Arial" w:cs="Arial"/>
          <w:b/>
        </w:rPr>
        <w:t>Metodología</w:t>
      </w:r>
    </w:p>
    <w:p w:rsidR="004C0B87" w:rsidRPr="00F758E0" w:rsidRDefault="004C0B87" w:rsidP="004C0B87">
      <w:pPr>
        <w:spacing w:after="0"/>
        <w:ind w:left="360"/>
        <w:contextualSpacing/>
        <w:jc w:val="both"/>
        <w:rPr>
          <w:rFonts w:ascii="Arial" w:eastAsia="MS Mincho" w:hAnsi="Arial" w:cs="Arial"/>
          <w:b/>
          <w:color w:val="FF0000"/>
        </w:rPr>
      </w:pPr>
    </w:p>
    <w:p w:rsidR="00F758E0" w:rsidRPr="00F758E0" w:rsidRDefault="00F758E0" w:rsidP="00F758E0">
      <w:pPr>
        <w:spacing w:after="0"/>
        <w:jc w:val="both"/>
        <w:rPr>
          <w:rFonts w:ascii="Arial" w:eastAsia="PMingLiU" w:hAnsi="Arial" w:cs="Arial"/>
          <w:bCs/>
          <w:lang w:val="es-ES" w:eastAsia="es-ES"/>
        </w:rPr>
      </w:pPr>
      <w:r w:rsidRPr="00F758E0">
        <w:rPr>
          <w:rFonts w:ascii="Arial" w:eastAsia="PMingLiU" w:hAnsi="Arial" w:cs="Arial"/>
          <w:bCs/>
          <w:lang w:val="es-ES" w:eastAsia="es-ES"/>
        </w:rPr>
        <w:t xml:space="preserve">La Oficina de Control Interno en cumplimiento al Programa Anual de Auditorías 2016, programó el seguimiento a la ejecución de los Proyectos de Inversión vigencia 2016. </w:t>
      </w:r>
    </w:p>
    <w:p w:rsidR="00F758E0" w:rsidRPr="00F758E0" w:rsidRDefault="00F758E0" w:rsidP="00F758E0">
      <w:pPr>
        <w:spacing w:after="0"/>
        <w:jc w:val="both"/>
        <w:rPr>
          <w:rFonts w:ascii="Arial" w:eastAsia="PMingLiU" w:hAnsi="Arial" w:cs="Arial"/>
          <w:bCs/>
          <w:lang w:val="es-ES" w:eastAsia="es-ES"/>
        </w:rPr>
      </w:pPr>
    </w:p>
    <w:p w:rsidR="00F758E0" w:rsidRPr="00F758E0" w:rsidRDefault="00F758E0" w:rsidP="00F758E0">
      <w:pPr>
        <w:spacing w:after="0"/>
        <w:jc w:val="both"/>
        <w:rPr>
          <w:rFonts w:ascii="Arial" w:eastAsia="PMingLiU" w:hAnsi="Arial" w:cs="Arial"/>
          <w:bCs/>
          <w:lang w:val="es-ES" w:eastAsia="es-ES"/>
        </w:rPr>
      </w:pPr>
      <w:r w:rsidRPr="00F758E0">
        <w:rPr>
          <w:rFonts w:ascii="Arial" w:eastAsia="PMingLiU" w:hAnsi="Arial" w:cs="Arial"/>
          <w:bCs/>
          <w:lang w:val="es-ES" w:eastAsia="es-ES"/>
        </w:rPr>
        <w:t>Para la realización de</w:t>
      </w:r>
      <w:r w:rsidR="00984254">
        <w:rPr>
          <w:rFonts w:ascii="Arial" w:eastAsia="PMingLiU" w:hAnsi="Arial" w:cs="Arial"/>
          <w:bCs/>
          <w:lang w:val="es-ES" w:eastAsia="es-ES"/>
        </w:rPr>
        <w:t>l seguimiento se tuvo en cuenta</w:t>
      </w:r>
      <w:r w:rsidRPr="00F758E0">
        <w:rPr>
          <w:rFonts w:ascii="Arial" w:eastAsia="PMingLiU" w:hAnsi="Arial" w:cs="Arial"/>
          <w:bCs/>
          <w:lang w:val="es-ES" w:eastAsia="es-ES"/>
        </w:rPr>
        <w:t xml:space="preserve"> lo siguiente:</w:t>
      </w:r>
    </w:p>
    <w:p w:rsidR="00F758E0" w:rsidRPr="00F758E0" w:rsidRDefault="00F758E0" w:rsidP="00F758E0">
      <w:pPr>
        <w:tabs>
          <w:tab w:val="left" w:pos="1530"/>
        </w:tabs>
        <w:spacing w:after="0"/>
        <w:jc w:val="both"/>
        <w:rPr>
          <w:rFonts w:ascii="Arial" w:eastAsia="PMingLiU" w:hAnsi="Arial" w:cs="Arial"/>
          <w:bCs/>
          <w:color w:val="FF0000"/>
          <w:lang w:val="es-ES" w:eastAsia="es-ES"/>
        </w:rPr>
      </w:pPr>
      <w:r w:rsidRPr="00F758E0">
        <w:rPr>
          <w:rFonts w:ascii="Arial" w:eastAsia="PMingLiU" w:hAnsi="Arial" w:cs="Arial"/>
          <w:bCs/>
          <w:lang w:val="es-ES" w:eastAsia="es-ES"/>
        </w:rPr>
        <w:tab/>
      </w:r>
    </w:p>
    <w:p w:rsidR="00F758E0" w:rsidRPr="00F758E0" w:rsidRDefault="00F758E0" w:rsidP="00F758E0">
      <w:pPr>
        <w:numPr>
          <w:ilvl w:val="0"/>
          <w:numId w:val="49"/>
        </w:numPr>
        <w:spacing w:after="0"/>
        <w:contextualSpacing/>
        <w:jc w:val="both"/>
        <w:rPr>
          <w:rFonts w:ascii="Arial" w:eastAsia="PMingLiU" w:hAnsi="Arial" w:cs="Arial"/>
          <w:bCs/>
          <w:lang w:val="es-ES" w:eastAsia="es-ES"/>
        </w:rPr>
      </w:pPr>
      <w:r w:rsidRPr="00F758E0">
        <w:rPr>
          <w:rFonts w:ascii="Arial" w:eastAsia="PMingLiU" w:hAnsi="Arial" w:cs="Arial"/>
          <w:b/>
          <w:bCs/>
          <w:lang w:val="es-ES" w:eastAsia="es-ES"/>
        </w:rPr>
        <w:t>Planeación y comunicación del seguimiento:</w:t>
      </w:r>
      <w:r w:rsidRPr="00F758E0">
        <w:rPr>
          <w:rFonts w:ascii="Arial" w:eastAsia="PMingLiU" w:hAnsi="Arial" w:cs="Arial"/>
          <w:bCs/>
          <w:lang w:val="es-ES" w:eastAsia="es-ES"/>
        </w:rPr>
        <w:t xml:space="preserve"> Mediante memorando No. 20161500033783 del 10 de mayo de 2016, dirigido al Jefe Oficina Asesora de Planeación, Mario Alfonso Pardo </w:t>
      </w:r>
      <w:proofErr w:type="spellStart"/>
      <w:r w:rsidRPr="00F758E0">
        <w:rPr>
          <w:rFonts w:ascii="Arial" w:eastAsia="PMingLiU" w:hAnsi="Arial" w:cs="Arial"/>
          <w:bCs/>
          <w:lang w:val="es-ES" w:eastAsia="es-ES"/>
        </w:rPr>
        <w:t>Pardo</w:t>
      </w:r>
      <w:proofErr w:type="spellEnd"/>
      <w:r w:rsidRPr="00F758E0">
        <w:rPr>
          <w:rFonts w:ascii="Arial" w:eastAsia="PMingLiU" w:hAnsi="Arial" w:cs="Arial"/>
          <w:bCs/>
          <w:lang w:val="es-ES" w:eastAsia="es-ES"/>
        </w:rPr>
        <w:t xml:space="preserve">.  </w:t>
      </w:r>
    </w:p>
    <w:p w:rsidR="00F758E0" w:rsidRPr="00F758E0" w:rsidRDefault="00F758E0" w:rsidP="00F758E0">
      <w:pPr>
        <w:spacing w:after="0"/>
        <w:ind w:left="720"/>
        <w:contextualSpacing/>
        <w:jc w:val="both"/>
        <w:rPr>
          <w:rFonts w:ascii="Arial" w:eastAsia="PMingLiU" w:hAnsi="Arial" w:cs="Arial"/>
          <w:bCs/>
          <w:lang w:val="es-ES" w:eastAsia="es-ES"/>
        </w:rPr>
      </w:pPr>
    </w:p>
    <w:p w:rsidR="00F758E0" w:rsidRPr="00F758E0" w:rsidRDefault="00F758E0" w:rsidP="00F758E0">
      <w:pPr>
        <w:numPr>
          <w:ilvl w:val="0"/>
          <w:numId w:val="49"/>
        </w:numPr>
        <w:spacing w:after="0"/>
        <w:contextualSpacing/>
        <w:jc w:val="both"/>
        <w:rPr>
          <w:rFonts w:ascii="Arial" w:eastAsia="PMingLiU" w:hAnsi="Arial" w:cs="Arial"/>
          <w:bCs/>
          <w:lang w:val="es-ES" w:eastAsia="es-ES"/>
        </w:rPr>
      </w:pPr>
      <w:r w:rsidRPr="00F758E0">
        <w:rPr>
          <w:rFonts w:ascii="Arial" w:eastAsia="PMingLiU" w:hAnsi="Arial" w:cs="Arial"/>
          <w:b/>
          <w:bCs/>
          <w:lang w:val="es-ES" w:eastAsia="es-ES"/>
        </w:rPr>
        <w:t>Recopilación de información:</w:t>
      </w:r>
      <w:r w:rsidRPr="00F758E0">
        <w:rPr>
          <w:rFonts w:ascii="Arial" w:eastAsia="PMingLiU" w:hAnsi="Arial" w:cs="Arial"/>
          <w:bCs/>
          <w:lang w:val="es-ES" w:eastAsia="es-ES"/>
        </w:rPr>
        <w:t xml:space="preserve"> Se solicitó a través del citado memorando la información referente a los Proyectos de Inversión con corte a  30 de abril de 2016. Así mismo, se requirieron las bases de CDP, RP, obligaciones y pagos, discriminados por dependencia; Plan de Acción discriminado por rubro presupuestal y aprobación vigente con corte abril; fichas BPIN de todos los proyectos actualizadas; y proyecciones de apropiaciones, compromisos, obligaciones y pagos. </w:t>
      </w:r>
    </w:p>
    <w:p w:rsidR="00F758E0" w:rsidRPr="00F758E0" w:rsidRDefault="00F758E0" w:rsidP="00F758E0">
      <w:pPr>
        <w:ind w:left="720"/>
        <w:contextualSpacing/>
        <w:jc w:val="both"/>
        <w:rPr>
          <w:rFonts w:ascii="Arial" w:eastAsia="PMingLiU" w:hAnsi="Arial" w:cs="Arial"/>
          <w:b/>
          <w:bCs/>
          <w:lang w:val="es-ES" w:eastAsia="es-ES"/>
        </w:rPr>
      </w:pPr>
    </w:p>
    <w:p w:rsidR="00F758E0" w:rsidRPr="00F758E0" w:rsidRDefault="00F758E0" w:rsidP="00F758E0">
      <w:pPr>
        <w:ind w:left="720"/>
        <w:contextualSpacing/>
        <w:jc w:val="both"/>
        <w:rPr>
          <w:rFonts w:ascii="Arial" w:eastAsia="PMingLiU" w:hAnsi="Arial" w:cs="Arial"/>
          <w:bCs/>
          <w:lang w:val="es-ES" w:eastAsia="es-ES"/>
        </w:rPr>
      </w:pPr>
      <w:r w:rsidRPr="00F758E0">
        <w:rPr>
          <w:rFonts w:ascii="Arial" w:eastAsia="PMingLiU" w:hAnsi="Arial" w:cs="Arial"/>
          <w:bCs/>
          <w:lang w:val="es-ES" w:eastAsia="es-ES"/>
        </w:rPr>
        <w:t xml:space="preserve">Mediante memorando No. 20161200035793 del 17 de mayo de 2016, el Jefe de la Oficina Asesora de Planeación, envió respuesta en la cual anexó un CD con la información solicitada por la OCI. </w:t>
      </w:r>
    </w:p>
    <w:p w:rsidR="00F758E0" w:rsidRPr="00F758E0" w:rsidRDefault="00F758E0" w:rsidP="00F758E0">
      <w:pPr>
        <w:ind w:left="720"/>
        <w:contextualSpacing/>
        <w:jc w:val="both"/>
        <w:rPr>
          <w:rFonts w:ascii="Arial" w:eastAsia="PMingLiU" w:hAnsi="Arial" w:cs="Arial"/>
          <w:bCs/>
          <w:lang w:val="es-ES" w:eastAsia="es-ES"/>
        </w:rPr>
      </w:pPr>
    </w:p>
    <w:p w:rsidR="004C0B87" w:rsidRPr="00F758E0" w:rsidRDefault="004C0B87" w:rsidP="004C0B87">
      <w:pPr>
        <w:spacing w:after="0"/>
        <w:jc w:val="both"/>
        <w:rPr>
          <w:rFonts w:ascii="Arial" w:eastAsia="MS Mincho" w:hAnsi="Arial" w:cs="Arial"/>
          <w:b/>
          <w:color w:val="FF0000"/>
          <w:lang w:val="es-ES"/>
        </w:rPr>
      </w:pPr>
    </w:p>
    <w:p w:rsidR="00F758E0" w:rsidRPr="00F758E0" w:rsidRDefault="00F758E0" w:rsidP="00F758E0">
      <w:pPr>
        <w:spacing w:after="0"/>
        <w:contextualSpacing/>
        <w:jc w:val="both"/>
        <w:rPr>
          <w:rFonts w:ascii="Arial" w:eastAsia="Times New Roman" w:hAnsi="Arial" w:cs="Arial"/>
          <w:b/>
          <w:lang w:val="es-ES" w:eastAsia="es-ES"/>
        </w:rPr>
      </w:pPr>
      <w:r w:rsidRPr="00F758E0">
        <w:rPr>
          <w:rFonts w:ascii="Arial" w:eastAsia="Times New Roman" w:hAnsi="Arial" w:cs="Arial"/>
          <w:b/>
          <w:lang w:val="es-ES" w:eastAsia="es-ES"/>
        </w:rPr>
        <w:t>Observaciones:</w:t>
      </w:r>
    </w:p>
    <w:p w:rsidR="00F758E0" w:rsidRDefault="00F758E0" w:rsidP="00F758E0">
      <w:pPr>
        <w:spacing w:after="0"/>
        <w:jc w:val="both"/>
        <w:rPr>
          <w:rFonts w:ascii="Arial" w:eastAsia="MS Mincho" w:hAnsi="Arial" w:cs="Arial"/>
          <w:b/>
          <w:lang w:val="es-ES" w:eastAsia="es-ES"/>
        </w:rPr>
      </w:pPr>
    </w:p>
    <w:p w:rsidR="00F758E0" w:rsidRPr="00F758E0" w:rsidRDefault="00F758E0" w:rsidP="00F758E0">
      <w:pPr>
        <w:spacing w:after="0"/>
        <w:jc w:val="both"/>
        <w:rPr>
          <w:rFonts w:ascii="Arial" w:eastAsia="MS Mincho" w:hAnsi="Arial" w:cs="Arial"/>
          <w:b/>
          <w:lang w:val="es-ES" w:eastAsia="es-ES"/>
        </w:rPr>
      </w:pPr>
    </w:p>
    <w:p w:rsidR="00F758E0" w:rsidRPr="00F758E0" w:rsidRDefault="00F758E0" w:rsidP="00F758E0">
      <w:pPr>
        <w:spacing w:after="0"/>
        <w:jc w:val="both"/>
        <w:rPr>
          <w:rFonts w:ascii="Arial" w:eastAsia="Times New Roman" w:hAnsi="Arial" w:cs="Arial"/>
          <w:color w:val="FF0000"/>
          <w:lang w:val="es-ES" w:eastAsia="es-ES"/>
        </w:rPr>
      </w:pPr>
      <w:r w:rsidRPr="00F758E0">
        <w:rPr>
          <w:rFonts w:ascii="Arial" w:eastAsia="MS Mincho" w:hAnsi="Arial" w:cs="Arial"/>
          <w:b/>
          <w:lang w:val="es-ES" w:eastAsia="es-ES"/>
        </w:rPr>
        <w:t>Ejecución Presupuestal</w:t>
      </w:r>
    </w:p>
    <w:p w:rsidR="00F758E0" w:rsidRPr="00F758E0" w:rsidRDefault="00F758E0" w:rsidP="00F758E0">
      <w:pPr>
        <w:spacing w:after="0"/>
        <w:jc w:val="both"/>
        <w:rPr>
          <w:rFonts w:ascii="Arial" w:eastAsia="Times New Roman" w:hAnsi="Arial" w:cs="Arial"/>
          <w:b/>
          <w:color w:val="FF0000"/>
          <w:lang w:val="es-ES"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Times New Roman" w:hAnsi="Arial" w:cs="Arial"/>
          <w:lang w:val="es-ES" w:eastAsia="es-ES"/>
        </w:rPr>
        <w:t xml:space="preserve">El presupuesto total asignado en la vigencia 2016 para adelantar la política de atención, asistencia y reparación integral a las víctimas del conflicto armado interno alcanza los $1.8 billones, de los cuales $1.1 billones se asignaron para Proyectos de Inversión. </w:t>
      </w:r>
    </w:p>
    <w:p w:rsidR="00F758E0" w:rsidRPr="00F758E0" w:rsidRDefault="00F758E0" w:rsidP="00F758E0">
      <w:pPr>
        <w:tabs>
          <w:tab w:val="left" w:pos="910"/>
        </w:tabs>
        <w:spacing w:after="0"/>
        <w:jc w:val="both"/>
        <w:rPr>
          <w:rFonts w:ascii="Arial" w:eastAsia="Times New Roman" w:hAnsi="Arial" w:cs="Arial"/>
          <w:lang w:val="es-ES" w:eastAsia="es-ES"/>
        </w:rPr>
      </w:pPr>
    </w:p>
    <w:p w:rsidR="00F758E0" w:rsidRPr="00F758E0" w:rsidRDefault="00F758E0" w:rsidP="00F758E0">
      <w:pPr>
        <w:tabs>
          <w:tab w:val="left" w:pos="910"/>
        </w:tabs>
        <w:spacing w:after="0"/>
        <w:jc w:val="both"/>
        <w:rPr>
          <w:rFonts w:ascii="Arial" w:eastAsia="Calibri" w:hAnsi="Arial" w:cs="Arial"/>
          <w:b/>
          <w:lang w:val="es-CO" w:eastAsia="es-CO"/>
        </w:rPr>
      </w:pPr>
      <w:r w:rsidRPr="00F758E0">
        <w:rPr>
          <w:rFonts w:ascii="Arial" w:eastAsia="Times New Roman" w:hAnsi="Arial" w:cs="Arial"/>
          <w:lang w:val="es-ES" w:eastAsia="es-ES"/>
        </w:rPr>
        <w:t xml:space="preserve">La UARIV </w:t>
      </w:r>
      <w:r w:rsidRPr="00F758E0">
        <w:rPr>
          <w:rFonts w:ascii="Arial" w:eastAsia="Calibri" w:hAnsi="Arial" w:cs="Arial"/>
          <w:lang w:val="es-CO" w:eastAsia="es-CO"/>
        </w:rPr>
        <w:t xml:space="preserve">refleja un avance acumulado en inversión al mes de abril de </w:t>
      </w:r>
      <w:r w:rsidRPr="00F758E0">
        <w:rPr>
          <w:rFonts w:ascii="Arial" w:eastAsia="Calibri" w:hAnsi="Arial" w:cs="Arial"/>
          <w:b/>
          <w:lang w:val="es-CO" w:eastAsia="es-CO"/>
        </w:rPr>
        <w:t>29% en compromisos y 9% en obligaciones y pagos respecto a las apropiaciones vigentes, tal como se muestra en el siguiente cuadro:</w:t>
      </w:r>
    </w:p>
    <w:p w:rsidR="00F758E0" w:rsidRDefault="00F758E0" w:rsidP="00F758E0">
      <w:pPr>
        <w:tabs>
          <w:tab w:val="left" w:pos="910"/>
        </w:tabs>
        <w:spacing w:after="0"/>
        <w:jc w:val="both"/>
        <w:rPr>
          <w:rFonts w:ascii="Arial" w:eastAsia="Calibri" w:hAnsi="Arial" w:cs="Arial"/>
          <w:b/>
          <w:lang w:val="es-CO" w:eastAsia="es-CO"/>
        </w:rPr>
      </w:pPr>
    </w:p>
    <w:p w:rsidR="00F758E0" w:rsidRDefault="00F758E0" w:rsidP="00F758E0">
      <w:pPr>
        <w:tabs>
          <w:tab w:val="left" w:pos="910"/>
        </w:tabs>
        <w:spacing w:after="0"/>
        <w:jc w:val="both"/>
        <w:rPr>
          <w:rFonts w:ascii="Arial" w:eastAsia="Calibri" w:hAnsi="Arial" w:cs="Arial"/>
          <w:b/>
          <w:lang w:val="es-CO" w:eastAsia="es-CO"/>
        </w:rPr>
      </w:pPr>
    </w:p>
    <w:p w:rsidR="00F758E0" w:rsidRDefault="00F758E0" w:rsidP="00F758E0">
      <w:pPr>
        <w:tabs>
          <w:tab w:val="left" w:pos="910"/>
        </w:tabs>
        <w:spacing w:after="0"/>
        <w:jc w:val="both"/>
        <w:rPr>
          <w:rFonts w:ascii="Arial" w:eastAsia="Calibri" w:hAnsi="Arial" w:cs="Arial"/>
          <w:b/>
          <w:lang w:val="es-CO" w:eastAsia="es-CO"/>
        </w:rPr>
      </w:pPr>
    </w:p>
    <w:p w:rsidR="00F758E0" w:rsidRDefault="00F758E0" w:rsidP="00F758E0">
      <w:pPr>
        <w:tabs>
          <w:tab w:val="left" w:pos="910"/>
        </w:tabs>
        <w:spacing w:after="0"/>
        <w:jc w:val="both"/>
        <w:rPr>
          <w:rFonts w:ascii="Arial" w:eastAsia="Calibri" w:hAnsi="Arial" w:cs="Arial"/>
          <w:b/>
          <w:lang w:val="es-CO" w:eastAsia="es-CO"/>
        </w:rPr>
      </w:pPr>
    </w:p>
    <w:p w:rsidR="00F758E0" w:rsidRDefault="00F758E0" w:rsidP="00F758E0">
      <w:pPr>
        <w:tabs>
          <w:tab w:val="left" w:pos="910"/>
        </w:tabs>
        <w:spacing w:after="0"/>
        <w:jc w:val="both"/>
        <w:rPr>
          <w:rFonts w:ascii="Arial" w:eastAsia="Calibri" w:hAnsi="Arial" w:cs="Arial"/>
          <w:b/>
          <w:lang w:val="es-CO" w:eastAsia="es-CO"/>
        </w:rPr>
      </w:pPr>
    </w:p>
    <w:p w:rsidR="00F758E0" w:rsidRDefault="00F758E0" w:rsidP="00F758E0">
      <w:pPr>
        <w:tabs>
          <w:tab w:val="left" w:pos="910"/>
        </w:tabs>
        <w:spacing w:after="0"/>
        <w:jc w:val="both"/>
        <w:rPr>
          <w:rFonts w:ascii="Arial" w:eastAsia="Calibri" w:hAnsi="Arial" w:cs="Arial"/>
          <w:b/>
          <w:lang w:val="es-CO" w:eastAsia="es-CO"/>
        </w:rPr>
      </w:pPr>
    </w:p>
    <w:p w:rsidR="00F758E0" w:rsidRDefault="00F758E0" w:rsidP="00F758E0">
      <w:pPr>
        <w:tabs>
          <w:tab w:val="left" w:pos="910"/>
        </w:tabs>
        <w:spacing w:after="0"/>
        <w:jc w:val="both"/>
        <w:rPr>
          <w:rFonts w:ascii="Arial" w:eastAsia="Calibri" w:hAnsi="Arial" w:cs="Arial"/>
          <w:b/>
          <w:lang w:val="es-CO" w:eastAsia="es-CO"/>
        </w:rPr>
      </w:pPr>
    </w:p>
    <w:p w:rsidR="00F758E0" w:rsidRPr="00F758E0" w:rsidRDefault="00F758E0" w:rsidP="00F758E0">
      <w:pPr>
        <w:spacing w:after="0"/>
        <w:jc w:val="both"/>
        <w:rPr>
          <w:rFonts w:ascii="Arial" w:eastAsia="Times New Roman" w:hAnsi="Arial" w:cs="Arial"/>
          <w:b/>
          <w:color w:val="FF0000"/>
          <w:sz w:val="22"/>
          <w:szCs w:val="22"/>
          <w:lang w:val="es-ES" w:eastAsia="es-ES"/>
        </w:rPr>
      </w:pPr>
      <w:r w:rsidRPr="00F758E0">
        <w:rPr>
          <w:rFonts w:ascii="Times New Roman" w:eastAsia="Times New Roman" w:hAnsi="Times New Roman"/>
          <w:noProof/>
          <w:lang w:val="es-ES" w:eastAsia="es-ES"/>
        </w:rPr>
        <w:drawing>
          <wp:inline distT="0" distB="0" distL="0" distR="0" wp14:anchorId="473A6BD5" wp14:editId="27479310">
            <wp:extent cx="6115050" cy="5905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4097" cy="5914237"/>
                    </a:xfrm>
                    <a:prstGeom prst="rect">
                      <a:avLst/>
                    </a:prstGeom>
                    <a:noFill/>
                    <a:ln>
                      <a:noFill/>
                    </a:ln>
                  </pic:spPr>
                </pic:pic>
              </a:graphicData>
            </a:graphic>
          </wp:inline>
        </w:drawing>
      </w:r>
    </w:p>
    <w:p w:rsidR="00F758E0" w:rsidRPr="00F758E0" w:rsidRDefault="00F758E0" w:rsidP="00F758E0">
      <w:pPr>
        <w:spacing w:after="0"/>
        <w:jc w:val="both"/>
        <w:rPr>
          <w:rFonts w:ascii="Arial" w:eastAsia="Times New Roman" w:hAnsi="Arial" w:cs="Arial"/>
          <w:b/>
          <w:color w:val="FF0000"/>
          <w:sz w:val="22"/>
          <w:szCs w:val="22"/>
          <w:lang w:val="es-ES" w:eastAsia="es-ES"/>
        </w:rPr>
      </w:pPr>
    </w:p>
    <w:p w:rsidR="00F758E0" w:rsidRPr="00F758E0" w:rsidRDefault="00F758E0" w:rsidP="00F758E0">
      <w:pPr>
        <w:tabs>
          <w:tab w:val="left" w:pos="910"/>
        </w:tabs>
        <w:spacing w:after="0"/>
        <w:jc w:val="both"/>
        <w:rPr>
          <w:rFonts w:ascii="Arial" w:eastAsia="Calibri" w:hAnsi="Arial" w:cs="Arial"/>
          <w:lang w:val="es-CO" w:eastAsia="es-CO"/>
        </w:rPr>
      </w:pPr>
      <w:r w:rsidRPr="00F758E0">
        <w:rPr>
          <w:rFonts w:ascii="Arial" w:eastAsia="Times New Roman" w:hAnsi="Arial" w:cs="Arial"/>
          <w:lang w:val="es-ES" w:eastAsia="es-ES"/>
        </w:rPr>
        <w:t xml:space="preserve">De acuerdo con lo reflejado en el cuadro, cumplido el primer cuatrimestre de 2016, la Oficina de Control </w:t>
      </w:r>
      <w:r w:rsidR="00984254">
        <w:rPr>
          <w:rFonts w:ascii="Arial" w:eastAsia="Times New Roman" w:hAnsi="Arial" w:cs="Arial"/>
          <w:lang w:val="es-ES" w:eastAsia="es-ES"/>
        </w:rPr>
        <w:t xml:space="preserve">Interno </w:t>
      </w:r>
      <w:r w:rsidRPr="00F758E0">
        <w:rPr>
          <w:rFonts w:ascii="Arial" w:eastAsia="Times New Roman" w:hAnsi="Arial" w:cs="Arial"/>
          <w:lang w:val="es-ES" w:eastAsia="es-ES"/>
        </w:rPr>
        <w:t xml:space="preserve">evidencia que están pendiente por comprometer </w:t>
      </w:r>
      <w:r w:rsidRPr="00F758E0">
        <w:rPr>
          <w:rFonts w:ascii="Arial" w:eastAsia="Times New Roman" w:hAnsi="Arial" w:cs="Arial"/>
          <w:b/>
          <w:lang w:val="es-ES" w:eastAsia="es-ES"/>
        </w:rPr>
        <w:t>$784.769.026.204.40 millones equivalentes al</w:t>
      </w:r>
      <w:r w:rsidRPr="00F758E0">
        <w:rPr>
          <w:rFonts w:ascii="Arial" w:eastAsia="Calibri" w:hAnsi="Arial" w:cs="Arial"/>
          <w:b/>
          <w:lang w:val="es-CO" w:eastAsia="es-CO"/>
        </w:rPr>
        <w:t xml:space="preserve"> 71%,</w:t>
      </w:r>
      <w:r w:rsidRPr="00F758E0">
        <w:rPr>
          <w:rFonts w:ascii="Arial" w:eastAsia="Calibri" w:hAnsi="Arial" w:cs="Arial"/>
          <w:b/>
          <w:color w:val="FF0000"/>
          <w:lang w:val="es-CO" w:eastAsia="es-CO"/>
        </w:rPr>
        <w:t xml:space="preserve"> </w:t>
      </w:r>
      <w:r w:rsidRPr="00F758E0">
        <w:rPr>
          <w:rFonts w:ascii="Arial" w:eastAsia="Calibri" w:hAnsi="Arial" w:cs="Arial"/>
          <w:b/>
          <w:lang w:val="es-CO" w:eastAsia="es-CO"/>
        </w:rPr>
        <w:t>situación que genera una alerta a las dependencias de la Unidad, con el fin de que se realicen acciones oportunas para comprometer y ejecutar estos recursos dentro de los tiempos establecidos.</w:t>
      </w:r>
    </w:p>
    <w:p w:rsidR="00F758E0" w:rsidRPr="00F758E0" w:rsidRDefault="00F758E0" w:rsidP="00F758E0">
      <w:pPr>
        <w:tabs>
          <w:tab w:val="left" w:pos="910"/>
        </w:tabs>
        <w:spacing w:after="0"/>
        <w:jc w:val="both"/>
        <w:rPr>
          <w:rFonts w:ascii="Arial" w:eastAsia="Calibri" w:hAnsi="Arial" w:cs="Arial"/>
          <w:b/>
          <w:color w:val="FF0000"/>
          <w:sz w:val="22"/>
          <w:szCs w:val="22"/>
          <w:lang w:val="es-CO" w:eastAsia="es-CO"/>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Times New Roman" w:hAnsi="Arial" w:cs="Arial"/>
          <w:lang w:val="es-ES" w:eastAsia="es-ES"/>
        </w:rPr>
        <w:t xml:space="preserve">Se evidencia, que </w:t>
      </w:r>
      <w:r w:rsidRPr="00F758E0">
        <w:rPr>
          <w:rFonts w:ascii="Arial" w:eastAsia="Times New Roman" w:hAnsi="Arial" w:cs="Arial"/>
          <w:b/>
          <w:lang w:val="es-ES" w:eastAsia="es-ES"/>
        </w:rPr>
        <w:t>$224.202.340.056,64 millones es la diferencia que presenta lo comprometido con lo obligado.</w:t>
      </w:r>
      <w:r w:rsidRPr="00F758E0">
        <w:rPr>
          <w:rFonts w:ascii="Arial" w:eastAsia="Times New Roman" w:hAnsi="Arial" w:cs="Arial"/>
          <w:lang w:val="es-ES" w:eastAsia="es-ES"/>
        </w:rPr>
        <w:t xml:space="preserve"> Por otro lado, los pagos con respecto a las obligaciones, a pesar que ambos tienen un porcentaje homogéneo (9%) con relación a las apropiaciones vigentes, entre ellos se  presenta un rezago de $2.117.012.777 millones.</w:t>
      </w:r>
    </w:p>
    <w:p w:rsidR="00F758E0" w:rsidRPr="00F758E0" w:rsidRDefault="00F758E0" w:rsidP="00F758E0">
      <w:pPr>
        <w:tabs>
          <w:tab w:val="left" w:pos="910"/>
        </w:tabs>
        <w:spacing w:after="0"/>
        <w:jc w:val="both"/>
        <w:rPr>
          <w:rFonts w:ascii="Arial" w:eastAsia="Times New Roman" w:hAnsi="Arial" w:cs="Arial"/>
          <w:b/>
          <w:lang w:val="es-ES" w:eastAsia="es-ES"/>
        </w:rPr>
      </w:pPr>
      <w:r w:rsidRPr="00F758E0">
        <w:rPr>
          <w:rFonts w:ascii="Arial" w:eastAsia="Times New Roman" w:hAnsi="Arial" w:cs="Arial"/>
          <w:lang w:val="es-ES" w:eastAsia="es-ES"/>
        </w:rPr>
        <w:lastRenderedPageBreak/>
        <w:t xml:space="preserve">En el </w:t>
      </w:r>
      <w:r w:rsidRPr="00F758E0">
        <w:rPr>
          <w:rFonts w:ascii="Arial" w:eastAsia="Times New Roman" w:hAnsi="Arial" w:cs="Arial"/>
          <w:b/>
          <w:lang w:val="es-ES" w:eastAsia="es-ES"/>
        </w:rPr>
        <w:t xml:space="preserve">Gráfico 1 </w:t>
      </w:r>
      <w:r w:rsidRPr="00F758E0">
        <w:rPr>
          <w:rFonts w:ascii="Arial" w:eastAsia="Times New Roman" w:hAnsi="Arial" w:cs="Arial"/>
          <w:lang w:val="es-ES" w:eastAsia="es-ES"/>
        </w:rPr>
        <w:t>que se muestra a continuación</w:t>
      </w:r>
      <w:r w:rsidRPr="00F758E0">
        <w:rPr>
          <w:rFonts w:ascii="Arial" w:eastAsia="Times New Roman" w:hAnsi="Arial" w:cs="Arial"/>
          <w:b/>
          <w:lang w:val="es-ES" w:eastAsia="es-ES"/>
        </w:rPr>
        <w:t>,</w:t>
      </w:r>
      <w:r w:rsidRPr="00F758E0">
        <w:rPr>
          <w:rFonts w:ascii="Arial" w:eastAsia="Times New Roman" w:hAnsi="Arial" w:cs="Arial"/>
          <w:b/>
          <w:color w:val="FF0000"/>
          <w:lang w:val="es-ES" w:eastAsia="es-ES"/>
        </w:rPr>
        <w:t xml:space="preserve"> </w:t>
      </w:r>
      <w:r w:rsidRPr="00F758E0">
        <w:rPr>
          <w:rFonts w:ascii="Arial" w:eastAsia="Times New Roman" w:hAnsi="Arial" w:cs="Arial"/>
          <w:lang w:val="es-ES" w:eastAsia="es-ES"/>
        </w:rPr>
        <w:t xml:space="preserve">se puede observar un comparativo de ejecuciones entre las vigencias 2015 y 2016, donde se evidencia que la Unidad presenta retrasos en sus ejecuciones pasando en </w:t>
      </w:r>
      <w:r w:rsidRPr="00F758E0">
        <w:rPr>
          <w:rFonts w:ascii="Arial" w:eastAsia="Times New Roman" w:hAnsi="Arial" w:cs="Arial"/>
          <w:b/>
          <w:lang w:val="es-ES" w:eastAsia="es-ES"/>
        </w:rPr>
        <w:t>compromisos del 57% del año 2015 al 29% en la vigencia actual</w:t>
      </w:r>
      <w:r w:rsidRPr="00F758E0">
        <w:rPr>
          <w:rFonts w:ascii="Arial" w:eastAsia="Times New Roman" w:hAnsi="Arial" w:cs="Arial"/>
          <w:lang w:val="es-ES" w:eastAsia="es-ES"/>
        </w:rPr>
        <w:t xml:space="preserve">. De igual manera ocurre con los pagos donde se observa un decrecimiento porcentual representativo </w:t>
      </w:r>
      <w:r w:rsidRPr="00F758E0">
        <w:rPr>
          <w:rFonts w:ascii="Arial" w:eastAsia="Times New Roman" w:hAnsi="Arial" w:cs="Arial"/>
          <w:b/>
          <w:lang w:val="es-ES" w:eastAsia="es-ES"/>
        </w:rPr>
        <w:t>al bajar del 33% del año anterior al 9% en la vigencia 2016.</w:t>
      </w:r>
    </w:p>
    <w:p w:rsidR="00F758E0" w:rsidRPr="00F758E0" w:rsidRDefault="00F758E0" w:rsidP="00F758E0">
      <w:pPr>
        <w:tabs>
          <w:tab w:val="left" w:pos="910"/>
        </w:tabs>
        <w:spacing w:after="0"/>
        <w:jc w:val="both"/>
        <w:rPr>
          <w:rFonts w:ascii="Arial" w:eastAsia="Times New Roman" w:hAnsi="Arial" w:cs="Arial"/>
          <w:color w:val="FF0000"/>
          <w:lang w:val="es-ES" w:eastAsia="es-ES"/>
        </w:rPr>
      </w:pPr>
    </w:p>
    <w:p w:rsidR="00F758E0" w:rsidRPr="00F758E0" w:rsidRDefault="00F758E0" w:rsidP="00F758E0">
      <w:pPr>
        <w:tabs>
          <w:tab w:val="left" w:pos="910"/>
        </w:tabs>
        <w:spacing w:after="0"/>
        <w:jc w:val="both"/>
        <w:rPr>
          <w:rFonts w:ascii="Arial" w:eastAsia="Calibri" w:hAnsi="Arial" w:cs="Arial"/>
          <w:b/>
          <w:color w:val="FF0000"/>
          <w:sz w:val="22"/>
          <w:szCs w:val="22"/>
          <w:lang w:val="es-ES" w:eastAsia="es-CO"/>
        </w:rPr>
      </w:pPr>
    </w:p>
    <w:p w:rsidR="00F758E0" w:rsidRPr="00F758E0" w:rsidRDefault="00F758E0" w:rsidP="00F758E0">
      <w:pPr>
        <w:tabs>
          <w:tab w:val="left" w:pos="910"/>
        </w:tabs>
        <w:spacing w:after="0"/>
        <w:ind w:left="1560" w:firstLine="142"/>
        <w:jc w:val="both"/>
        <w:rPr>
          <w:rFonts w:ascii="Arial" w:eastAsia="Calibri" w:hAnsi="Arial" w:cs="Arial"/>
          <w:b/>
          <w:color w:val="FF0000"/>
          <w:sz w:val="22"/>
          <w:szCs w:val="22"/>
          <w:lang w:val="es-CO" w:eastAsia="es-CO"/>
        </w:rPr>
      </w:pPr>
      <w:r w:rsidRPr="00F758E0">
        <w:rPr>
          <w:rFonts w:ascii="Arial" w:eastAsia="Calibri" w:hAnsi="Arial" w:cs="Arial"/>
          <w:b/>
          <w:noProof/>
          <w:color w:val="FF0000"/>
          <w:sz w:val="22"/>
          <w:szCs w:val="22"/>
          <w:lang w:val="es-ES" w:eastAsia="es-ES"/>
        </w:rPr>
        <w:drawing>
          <wp:inline distT="0" distB="0" distL="0" distR="0" wp14:anchorId="7FE187A1" wp14:editId="0A1D1BE2">
            <wp:extent cx="4343400" cy="2800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2800350"/>
                    </a:xfrm>
                    <a:prstGeom prst="rect">
                      <a:avLst/>
                    </a:prstGeom>
                    <a:noFill/>
                  </pic:spPr>
                </pic:pic>
              </a:graphicData>
            </a:graphic>
          </wp:inline>
        </w:drawing>
      </w:r>
    </w:p>
    <w:p w:rsidR="00F758E0" w:rsidRPr="00F758E0" w:rsidRDefault="00F758E0" w:rsidP="00F758E0">
      <w:pPr>
        <w:tabs>
          <w:tab w:val="left" w:pos="910"/>
        </w:tabs>
        <w:spacing w:after="0"/>
        <w:ind w:left="1560" w:firstLine="142"/>
        <w:jc w:val="both"/>
        <w:rPr>
          <w:rFonts w:ascii="Arial" w:eastAsia="Calibri" w:hAnsi="Arial" w:cs="Arial"/>
          <w:b/>
          <w:color w:val="FF0000"/>
          <w:sz w:val="22"/>
          <w:szCs w:val="22"/>
          <w:lang w:val="es-CO" w:eastAsia="es-CO"/>
        </w:rPr>
      </w:pPr>
    </w:p>
    <w:p w:rsidR="00F758E0" w:rsidRPr="00F758E0" w:rsidRDefault="00F758E0" w:rsidP="00F758E0">
      <w:pPr>
        <w:tabs>
          <w:tab w:val="left" w:pos="910"/>
        </w:tabs>
        <w:spacing w:after="0"/>
        <w:ind w:left="1560" w:firstLine="142"/>
        <w:jc w:val="both"/>
        <w:rPr>
          <w:rFonts w:ascii="Arial" w:eastAsia="Calibri" w:hAnsi="Arial" w:cs="Arial"/>
          <w:b/>
          <w:color w:val="FF0000"/>
          <w:sz w:val="22"/>
          <w:szCs w:val="22"/>
          <w:lang w:val="es-CO" w:eastAsia="es-CO"/>
        </w:rPr>
      </w:pPr>
    </w:p>
    <w:p w:rsidR="00F758E0" w:rsidRPr="00F758E0" w:rsidRDefault="00F758E0" w:rsidP="00F758E0">
      <w:pPr>
        <w:tabs>
          <w:tab w:val="left" w:pos="910"/>
        </w:tabs>
        <w:spacing w:after="0"/>
        <w:jc w:val="both"/>
        <w:rPr>
          <w:rFonts w:ascii="Arial" w:eastAsia="Calibri" w:hAnsi="Arial" w:cs="Arial"/>
          <w:b/>
          <w:lang w:val="es-CO" w:eastAsia="es-CO"/>
        </w:rPr>
      </w:pPr>
      <w:r w:rsidRPr="00F758E0">
        <w:rPr>
          <w:rFonts w:ascii="Arial" w:eastAsia="Calibri" w:hAnsi="Arial" w:cs="Arial"/>
          <w:b/>
          <w:lang w:val="es-CO" w:eastAsia="es-CO"/>
        </w:rPr>
        <w:t>Compromisos vs Pagos</w:t>
      </w:r>
    </w:p>
    <w:p w:rsidR="00F758E0" w:rsidRPr="00F758E0" w:rsidRDefault="00F758E0" w:rsidP="00F758E0">
      <w:pPr>
        <w:tabs>
          <w:tab w:val="left" w:pos="910"/>
        </w:tabs>
        <w:spacing w:after="0"/>
        <w:jc w:val="both"/>
        <w:rPr>
          <w:rFonts w:ascii="Arial" w:eastAsia="Calibri" w:hAnsi="Arial" w:cs="Arial"/>
          <w:b/>
          <w:lang w:val="es-CO" w:eastAsia="es-CO"/>
        </w:rPr>
      </w:pPr>
    </w:p>
    <w:p w:rsidR="00F758E0" w:rsidRPr="00F758E0" w:rsidRDefault="00F758E0" w:rsidP="00F758E0">
      <w:pPr>
        <w:tabs>
          <w:tab w:val="left" w:pos="910"/>
        </w:tabs>
        <w:spacing w:after="0"/>
        <w:jc w:val="both"/>
        <w:rPr>
          <w:rFonts w:ascii="Arial" w:eastAsia="Calibri" w:hAnsi="Arial" w:cs="Arial"/>
          <w:b/>
          <w:lang w:val="es-CO" w:eastAsia="es-CO"/>
        </w:rPr>
      </w:pPr>
      <w:r w:rsidRPr="00F758E0">
        <w:rPr>
          <w:rFonts w:ascii="Arial" w:eastAsia="Calibri" w:hAnsi="Arial" w:cs="Arial"/>
          <w:lang w:val="es-CO" w:eastAsia="es-CO"/>
        </w:rPr>
        <w:t xml:space="preserve">En lo que respecta al análisis de la información referente a la verificación de los compromisos vs  pagos, </w:t>
      </w:r>
      <w:r w:rsidR="00984254">
        <w:rPr>
          <w:rFonts w:ascii="Arial" w:eastAsia="Calibri" w:hAnsi="Arial" w:cs="Arial"/>
          <w:b/>
          <w:lang w:val="es-CO" w:eastAsia="es-CO"/>
        </w:rPr>
        <w:t>se evidencia un porcentaje de pagos del</w:t>
      </w:r>
      <w:r w:rsidRPr="00F758E0">
        <w:rPr>
          <w:rFonts w:ascii="Arial" w:eastAsia="Calibri" w:hAnsi="Arial" w:cs="Arial"/>
          <w:b/>
          <w:lang w:val="es-CO" w:eastAsia="es-CO"/>
        </w:rPr>
        <w:t xml:space="preserve"> 31% </w:t>
      </w:r>
      <w:r w:rsidR="00984254">
        <w:rPr>
          <w:rFonts w:ascii="Arial" w:eastAsia="Calibri" w:hAnsi="Arial" w:cs="Arial"/>
          <w:b/>
          <w:lang w:val="es-CO" w:eastAsia="es-CO"/>
        </w:rPr>
        <w:t xml:space="preserve">frente a </w:t>
      </w:r>
      <w:r w:rsidRPr="00F758E0">
        <w:rPr>
          <w:rFonts w:ascii="Arial" w:eastAsia="Calibri" w:hAnsi="Arial" w:cs="Arial"/>
          <w:b/>
          <w:lang w:val="es-CO" w:eastAsia="es-CO"/>
        </w:rPr>
        <w:t>los compromisos establecidos en el primer cuatrimestre</w:t>
      </w:r>
      <w:r w:rsidRPr="00F758E0">
        <w:rPr>
          <w:rFonts w:ascii="Arial" w:eastAsia="Calibri" w:hAnsi="Arial" w:cs="Arial"/>
          <w:lang w:val="es-CO" w:eastAsia="es-CO"/>
        </w:rPr>
        <w:t xml:space="preserve">, adicional a esto, resulta preocupante para la OCI, que de los veinte (20) proyectos de inversión aprobados </w:t>
      </w:r>
      <w:r w:rsidRPr="00F758E0">
        <w:rPr>
          <w:rFonts w:ascii="Arial" w:eastAsia="Calibri" w:hAnsi="Arial" w:cs="Arial"/>
          <w:b/>
          <w:lang w:val="es-CO" w:eastAsia="es-CO"/>
        </w:rPr>
        <w:t>solo en uno (1) “Prevención Atención a la Población Desplazada Nivel Nacional” se haya efectuado el pago del 53%</w:t>
      </w:r>
      <w:r w:rsidRPr="00F758E0">
        <w:rPr>
          <w:rFonts w:ascii="Arial" w:eastAsia="Calibri" w:hAnsi="Arial" w:cs="Arial"/>
          <w:lang w:val="es-CO" w:eastAsia="es-CO"/>
        </w:rPr>
        <w:t xml:space="preserve"> </w:t>
      </w:r>
      <w:r w:rsidRPr="00F758E0">
        <w:rPr>
          <w:rFonts w:ascii="Arial" w:eastAsia="Calibri" w:hAnsi="Arial" w:cs="Arial"/>
          <w:b/>
          <w:lang w:val="es-CO" w:eastAsia="es-CO"/>
        </w:rPr>
        <w:t>del total comprometido para el mes de abril</w:t>
      </w:r>
      <w:r w:rsidRPr="00F758E0">
        <w:rPr>
          <w:rFonts w:ascii="Arial" w:eastAsia="Calibri" w:hAnsi="Arial" w:cs="Arial"/>
          <w:lang w:val="es-CO" w:eastAsia="es-CO"/>
        </w:rPr>
        <w:t xml:space="preserve"> </w:t>
      </w:r>
      <w:r w:rsidRPr="00F758E0">
        <w:rPr>
          <w:rFonts w:ascii="Arial" w:eastAsia="Calibri" w:hAnsi="Arial" w:cs="Arial"/>
          <w:b/>
          <w:lang w:val="es-CO" w:eastAsia="es-CO"/>
        </w:rPr>
        <w:t xml:space="preserve">y los restantes estén por debajo del 37%. </w:t>
      </w:r>
    </w:p>
    <w:p w:rsidR="00F758E0" w:rsidRPr="00F758E0" w:rsidRDefault="00F758E0" w:rsidP="00F758E0">
      <w:pPr>
        <w:tabs>
          <w:tab w:val="left" w:pos="910"/>
        </w:tabs>
        <w:spacing w:after="0"/>
        <w:jc w:val="both"/>
        <w:rPr>
          <w:rFonts w:ascii="Arial" w:eastAsia="Calibri" w:hAnsi="Arial" w:cs="Arial"/>
          <w:b/>
          <w:lang w:val="es-CO" w:eastAsia="es-CO"/>
        </w:rPr>
      </w:pPr>
    </w:p>
    <w:p w:rsidR="00F758E0" w:rsidRPr="00F758E0" w:rsidRDefault="00F758E0" w:rsidP="00F758E0">
      <w:pPr>
        <w:tabs>
          <w:tab w:val="left" w:pos="910"/>
        </w:tabs>
        <w:spacing w:after="0"/>
        <w:jc w:val="both"/>
        <w:rPr>
          <w:rFonts w:ascii="Arial" w:eastAsia="Calibri" w:hAnsi="Arial" w:cs="Arial"/>
          <w:lang w:val="es-CO" w:eastAsia="es-CO"/>
        </w:rPr>
      </w:pPr>
      <w:r w:rsidRPr="00F758E0">
        <w:rPr>
          <w:rFonts w:ascii="Arial" w:eastAsia="Calibri" w:hAnsi="Arial" w:cs="Arial"/>
          <w:lang w:val="es-CO" w:eastAsia="es-CO"/>
        </w:rPr>
        <w:t>La OCI recomienda establecer los controles necesarios tanto en la supervisión, como en las demás áreas involucradas, a fin de que se desarrolle la ejecución programada dentro de la vigencia y no se acumulen pagos o cuentas por pagar para el cierre de la misma.</w:t>
      </w:r>
    </w:p>
    <w:p w:rsidR="00F758E0" w:rsidRPr="00F758E0" w:rsidRDefault="00F758E0" w:rsidP="00F758E0">
      <w:pPr>
        <w:tabs>
          <w:tab w:val="left" w:pos="910"/>
        </w:tabs>
        <w:spacing w:after="0"/>
        <w:jc w:val="both"/>
        <w:rPr>
          <w:rFonts w:ascii="Arial" w:eastAsia="Calibri" w:hAnsi="Arial" w:cs="Arial"/>
          <w:lang w:val="es-CO" w:eastAsia="es-CO"/>
        </w:rPr>
      </w:pPr>
    </w:p>
    <w:p w:rsidR="00F758E0" w:rsidRPr="00F758E0" w:rsidRDefault="00F758E0" w:rsidP="00F758E0">
      <w:pPr>
        <w:tabs>
          <w:tab w:val="left" w:pos="910"/>
        </w:tabs>
        <w:spacing w:after="0"/>
        <w:jc w:val="both"/>
        <w:rPr>
          <w:rFonts w:ascii="Arial" w:eastAsia="Calibri" w:hAnsi="Arial" w:cs="Arial"/>
          <w:b/>
          <w:color w:val="FF0000"/>
          <w:sz w:val="22"/>
          <w:szCs w:val="22"/>
          <w:lang w:val="es-CO" w:eastAsia="es-CO"/>
        </w:rPr>
      </w:pPr>
      <w:r w:rsidRPr="00F758E0">
        <w:rPr>
          <w:rFonts w:ascii="Times New Roman" w:eastAsia="Calibri" w:hAnsi="Times New Roman"/>
          <w:noProof/>
          <w:lang w:val="es-ES" w:eastAsia="es-ES"/>
        </w:rPr>
        <w:lastRenderedPageBreak/>
        <w:drawing>
          <wp:inline distT="0" distB="0" distL="0" distR="0" wp14:anchorId="19C37243" wp14:editId="7A0340EA">
            <wp:extent cx="6057900" cy="4676281"/>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399" cy="4686701"/>
                    </a:xfrm>
                    <a:prstGeom prst="rect">
                      <a:avLst/>
                    </a:prstGeom>
                    <a:noFill/>
                    <a:ln>
                      <a:noFill/>
                    </a:ln>
                  </pic:spPr>
                </pic:pic>
              </a:graphicData>
            </a:graphic>
          </wp:inline>
        </w:drawing>
      </w:r>
    </w:p>
    <w:p w:rsidR="00F758E0" w:rsidRPr="00F758E0" w:rsidRDefault="00F758E0" w:rsidP="00F758E0">
      <w:pPr>
        <w:tabs>
          <w:tab w:val="left" w:pos="910"/>
        </w:tabs>
        <w:spacing w:after="0"/>
        <w:jc w:val="both"/>
        <w:rPr>
          <w:rFonts w:ascii="Arial" w:eastAsia="Calibri" w:hAnsi="Arial" w:cs="Arial"/>
          <w:b/>
          <w:color w:val="FF0000"/>
          <w:sz w:val="22"/>
          <w:szCs w:val="22"/>
          <w:lang w:val="es-CO" w:eastAsia="es-CO"/>
        </w:rPr>
      </w:pPr>
    </w:p>
    <w:p w:rsidR="00F758E0" w:rsidRPr="00F758E0" w:rsidRDefault="00F758E0" w:rsidP="00F758E0">
      <w:pPr>
        <w:tabs>
          <w:tab w:val="left" w:pos="910"/>
        </w:tabs>
        <w:spacing w:after="0"/>
        <w:jc w:val="both"/>
        <w:rPr>
          <w:rFonts w:ascii="Arial" w:eastAsia="Calibri" w:hAnsi="Arial" w:cs="Arial"/>
          <w:b/>
          <w:color w:val="FF0000"/>
          <w:sz w:val="22"/>
          <w:szCs w:val="22"/>
          <w:lang w:val="es-CO" w:eastAsia="es-CO"/>
        </w:rPr>
      </w:pPr>
    </w:p>
    <w:p w:rsidR="00F758E0" w:rsidRPr="00F758E0" w:rsidRDefault="00F758E0" w:rsidP="00F758E0">
      <w:pPr>
        <w:spacing w:after="0"/>
        <w:jc w:val="both"/>
        <w:rPr>
          <w:rFonts w:ascii="Arial" w:eastAsia="Times New Roman" w:hAnsi="Arial" w:cs="Arial"/>
          <w:b/>
          <w:color w:val="FF0000"/>
          <w:lang w:val="es-ES" w:eastAsia="es-ES"/>
        </w:rPr>
      </w:pPr>
      <w:r w:rsidRPr="00F758E0">
        <w:rPr>
          <w:rFonts w:ascii="Arial" w:eastAsia="MS Mincho" w:hAnsi="Arial" w:cs="Arial"/>
          <w:b/>
          <w:lang w:val="es-ES" w:eastAsia="es-ES"/>
        </w:rPr>
        <w:t>Ejecución Presupuestal vs Proyección Presupuestal.</w:t>
      </w:r>
    </w:p>
    <w:p w:rsidR="00F758E0" w:rsidRPr="00F758E0" w:rsidRDefault="00F758E0" w:rsidP="00F758E0">
      <w:pPr>
        <w:spacing w:after="0"/>
        <w:jc w:val="both"/>
        <w:rPr>
          <w:rFonts w:ascii="Arial" w:eastAsia="Times New Roman" w:hAnsi="Arial" w:cs="Arial"/>
          <w:b/>
          <w:color w:val="FF0000"/>
          <w:lang w:val="es-ES" w:eastAsia="es-ES"/>
        </w:rPr>
      </w:pPr>
    </w:p>
    <w:p w:rsidR="00F758E0" w:rsidRPr="00F758E0" w:rsidRDefault="00F758E0" w:rsidP="00F758E0">
      <w:pPr>
        <w:tabs>
          <w:tab w:val="left" w:pos="910"/>
        </w:tabs>
        <w:spacing w:after="0"/>
        <w:jc w:val="both"/>
        <w:rPr>
          <w:rFonts w:ascii="Arial" w:eastAsia="Calibri" w:hAnsi="Arial" w:cs="Arial"/>
          <w:lang w:val="es-CO" w:eastAsia="es-CO"/>
        </w:rPr>
      </w:pPr>
      <w:r w:rsidRPr="00F758E0">
        <w:rPr>
          <w:rFonts w:ascii="Arial" w:eastAsia="Calibri" w:hAnsi="Arial" w:cs="Arial"/>
          <w:lang w:val="es-ES" w:eastAsia="es-CO"/>
        </w:rPr>
        <w:t>Según lo reflejado en la gráfica</w:t>
      </w:r>
      <w:r w:rsidR="001A6DA7">
        <w:rPr>
          <w:rFonts w:ascii="Arial" w:eastAsia="Calibri" w:hAnsi="Arial" w:cs="Arial"/>
          <w:lang w:val="es-ES" w:eastAsia="es-CO"/>
        </w:rPr>
        <w:t xml:space="preserve"> que a continuación se presenta</w:t>
      </w:r>
      <w:r w:rsidRPr="00F758E0">
        <w:rPr>
          <w:rFonts w:ascii="Arial" w:eastAsia="Calibri" w:hAnsi="Arial" w:cs="Arial"/>
          <w:lang w:val="es-ES" w:eastAsia="es-CO"/>
        </w:rPr>
        <w:t xml:space="preserve">, en el primer cuatrimestre de 2016, </w:t>
      </w:r>
      <w:r w:rsidRPr="00F758E0">
        <w:rPr>
          <w:rFonts w:ascii="Arial" w:eastAsia="Calibri" w:hAnsi="Arial" w:cs="Arial"/>
          <w:lang w:val="es-CO" w:eastAsia="es-CO"/>
        </w:rPr>
        <w:t>las proyecciones porcentuales establecidas tanto para los compromisos (24%) como para las obligaciones (9.3%) estuvieron por encima de lo e</w:t>
      </w:r>
      <w:r w:rsidR="001A6DA7">
        <w:rPr>
          <w:rFonts w:ascii="Arial" w:eastAsia="Calibri" w:hAnsi="Arial" w:cs="Arial"/>
          <w:lang w:val="es-CO" w:eastAsia="es-CO"/>
        </w:rPr>
        <w:t>jecutado, evidenciando diferencias</w:t>
      </w:r>
      <w:r w:rsidRPr="00F758E0">
        <w:rPr>
          <w:rFonts w:ascii="Arial" w:eastAsia="Calibri" w:hAnsi="Arial" w:cs="Arial"/>
          <w:lang w:val="es-CO" w:eastAsia="es-CO"/>
        </w:rPr>
        <w:t xml:space="preserve"> en el modelo utilizado para realizar las proyecciones. Es importante tener en cuenta, que para lograr un mayor porcentaje de efectividad en el cumplimiento de lo ejecutado con lo proyectado, se realice un análisis minucioso del  comportamiento histórico de las variaciones estadísticas presentadas en las vigencias anteriores. </w:t>
      </w:r>
    </w:p>
    <w:p w:rsidR="00F758E0" w:rsidRPr="00F758E0" w:rsidRDefault="00F758E0" w:rsidP="00F758E0">
      <w:pPr>
        <w:tabs>
          <w:tab w:val="left" w:pos="910"/>
        </w:tabs>
        <w:spacing w:after="0"/>
        <w:jc w:val="both"/>
        <w:rPr>
          <w:rFonts w:ascii="Arial" w:eastAsia="Calibri" w:hAnsi="Arial" w:cs="Arial"/>
          <w:color w:val="FF0000"/>
          <w:sz w:val="22"/>
          <w:szCs w:val="22"/>
          <w:lang w:val="es-ES" w:eastAsia="es-CO"/>
        </w:rPr>
      </w:pPr>
    </w:p>
    <w:p w:rsidR="00F758E0" w:rsidRPr="00F758E0" w:rsidRDefault="00F758E0" w:rsidP="00F758E0">
      <w:pPr>
        <w:tabs>
          <w:tab w:val="left" w:pos="910"/>
        </w:tabs>
        <w:spacing w:after="0"/>
        <w:jc w:val="both"/>
        <w:rPr>
          <w:rFonts w:ascii="Arial" w:eastAsia="Calibri" w:hAnsi="Arial" w:cs="Arial"/>
          <w:color w:val="FF0000"/>
          <w:sz w:val="22"/>
          <w:szCs w:val="22"/>
          <w:lang w:val="es-ES" w:eastAsia="es-CO"/>
        </w:rPr>
      </w:pPr>
    </w:p>
    <w:p w:rsidR="00F758E0" w:rsidRPr="00F758E0" w:rsidRDefault="00F758E0" w:rsidP="00F758E0">
      <w:pPr>
        <w:tabs>
          <w:tab w:val="left" w:pos="910"/>
        </w:tabs>
        <w:spacing w:after="0"/>
        <w:jc w:val="both"/>
        <w:rPr>
          <w:rFonts w:ascii="Arial" w:eastAsia="MS Mincho" w:hAnsi="Arial" w:cs="Arial"/>
          <w:b/>
          <w:color w:val="C00000"/>
          <w:lang w:val="es-ES" w:eastAsia="es-ES"/>
        </w:rPr>
      </w:pPr>
      <w:r w:rsidRPr="00F758E0">
        <w:rPr>
          <w:rFonts w:ascii="Times New Roman" w:eastAsia="MS Mincho" w:hAnsi="Times New Roman"/>
          <w:noProof/>
          <w:lang w:val="es-ES" w:eastAsia="es-ES"/>
        </w:rPr>
        <w:drawing>
          <wp:inline distT="0" distB="0" distL="0" distR="0" wp14:anchorId="69DE4345" wp14:editId="0EC7AE6C">
            <wp:extent cx="6029325" cy="1028606"/>
            <wp:effectExtent l="0" t="0" r="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0271" cy="1039003"/>
                    </a:xfrm>
                    <a:prstGeom prst="rect">
                      <a:avLst/>
                    </a:prstGeom>
                    <a:noFill/>
                    <a:ln>
                      <a:noFill/>
                    </a:ln>
                  </pic:spPr>
                </pic:pic>
              </a:graphicData>
            </a:graphic>
          </wp:inline>
        </w:drawing>
      </w:r>
    </w:p>
    <w:p w:rsidR="00F758E0" w:rsidRPr="00F758E0" w:rsidRDefault="00F758E0" w:rsidP="00F758E0">
      <w:pPr>
        <w:tabs>
          <w:tab w:val="left" w:pos="910"/>
        </w:tabs>
        <w:spacing w:after="0"/>
        <w:jc w:val="both"/>
        <w:rPr>
          <w:rFonts w:ascii="Arial" w:eastAsia="MS Mincho" w:hAnsi="Arial" w:cs="Arial"/>
          <w:b/>
          <w:color w:val="C00000"/>
          <w:lang w:val="es-ES" w:eastAsia="es-ES"/>
        </w:rPr>
      </w:pPr>
    </w:p>
    <w:p w:rsidR="00F758E0" w:rsidRPr="00F758E0" w:rsidRDefault="00F758E0" w:rsidP="00F758E0">
      <w:pPr>
        <w:tabs>
          <w:tab w:val="left" w:pos="910"/>
        </w:tabs>
        <w:spacing w:after="0"/>
        <w:jc w:val="both"/>
        <w:rPr>
          <w:rFonts w:ascii="Arial" w:eastAsia="MS Mincho" w:hAnsi="Arial" w:cs="Arial"/>
          <w:b/>
          <w:color w:val="C00000"/>
          <w:lang w:val="es-ES" w:eastAsia="es-ES"/>
        </w:rPr>
      </w:pPr>
      <w:r w:rsidRPr="00F758E0">
        <w:rPr>
          <w:rFonts w:ascii="Times New Roman" w:eastAsia="Times New Roman" w:hAnsi="Times New Roman"/>
          <w:noProof/>
          <w:lang w:val="es-ES" w:eastAsia="es-ES"/>
        </w:rPr>
        <w:lastRenderedPageBreak/>
        <w:drawing>
          <wp:inline distT="0" distB="0" distL="0" distR="0" wp14:anchorId="1D7B1E7B" wp14:editId="174D25D5">
            <wp:extent cx="5981700" cy="2962275"/>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758E0" w:rsidRPr="00F758E0" w:rsidRDefault="00F758E0" w:rsidP="00F758E0">
      <w:pPr>
        <w:tabs>
          <w:tab w:val="left" w:pos="910"/>
        </w:tabs>
        <w:spacing w:after="0"/>
        <w:jc w:val="both"/>
        <w:rPr>
          <w:rFonts w:ascii="Arial" w:eastAsia="MS Mincho" w:hAnsi="Arial" w:cs="Arial"/>
          <w:b/>
          <w:color w:val="C00000"/>
          <w:lang w:val="es-ES" w:eastAsia="es-ES"/>
        </w:rPr>
      </w:pPr>
    </w:p>
    <w:p w:rsidR="00F758E0" w:rsidRPr="00F758E0" w:rsidRDefault="00F758E0" w:rsidP="00F758E0">
      <w:pPr>
        <w:tabs>
          <w:tab w:val="left" w:pos="910"/>
        </w:tabs>
        <w:spacing w:after="0"/>
        <w:jc w:val="both"/>
        <w:rPr>
          <w:rFonts w:ascii="Arial" w:eastAsia="Calibri" w:hAnsi="Arial" w:cs="Arial"/>
          <w:lang w:val="es-CO" w:eastAsia="es-CO"/>
        </w:rPr>
      </w:pPr>
      <w:r w:rsidRPr="00F758E0">
        <w:rPr>
          <w:rFonts w:ascii="Arial" w:eastAsia="MS Mincho" w:hAnsi="Arial" w:cs="Arial"/>
          <w:b/>
          <w:lang w:val="es-ES" w:eastAsia="es-ES"/>
        </w:rPr>
        <w:t>Ejecución Presupuestal por Proyecto de Inversión.</w:t>
      </w:r>
    </w:p>
    <w:p w:rsidR="00F758E0" w:rsidRPr="00F758E0" w:rsidRDefault="00F758E0" w:rsidP="00F758E0">
      <w:pPr>
        <w:tabs>
          <w:tab w:val="left" w:pos="910"/>
        </w:tabs>
        <w:spacing w:after="0"/>
        <w:jc w:val="both"/>
        <w:rPr>
          <w:rFonts w:ascii="Arial" w:eastAsia="Calibri" w:hAnsi="Arial" w:cs="Arial"/>
          <w:lang w:val="es-CO" w:eastAsia="es-CO"/>
        </w:rPr>
      </w:pPr>
    </w:p>
    <w:p w:rsidR="00F758E0" w:rsidRPr="00F758E0" w:rsidRDefault="00F758E0" w:rsidP="00F758E0">
      <w:pPr>
        <w:tabs>
          <w:tab w:val="left" w:pos="910"/>
        </w:tabs>
        <w:spacing w:after="0"/>
        <w:jc w:val="both"/>
        <w:rPr>
          <w:rFonts w:ascii="Arial" w:eastAsia="Calibri" w:hAnsi="Arial" w:cs="Arial"/>
          <w:lang w:val="es-CO" w:eastAsia="es-CO"/>
        </w:rPr>
      </w:pPr>
      <w:r w:rsidRPr="00F758E0">
        <w:rPr>
          <w:rFonts w:ascii="Arial" w:eastAsia="Calibri" w:hAnsi="Arial" w:cs="Arial"/>
          <w:lang w:val="es-CO" w:eastAsia="es-CO"/>
        </w:rPr>
        <w:t>Se entiende que la Inversión Pública es la instrumentación por parte del Estado, de diversos recursos económicos, con el objetivo fundamental de mejorar la calidad de vida de la población. En este orden de ideas, un proyecto de inversión involucra componentes y actividades en el cumplimiento del objetivo general en el cual enmarca las principales metas y actividades a realizar por el mismo. Por lo anterior, a continuación se muestra la ejecución presupuesta</w:t>
      </w:r>
      <w:r w:rsidR="00802E49">
        <w:rPr>
          <w:rFonts w:ascii="Arial" w:eastAsia="Calibri" w:hAnsi="Arial" w:cs="Arial"/>
          <w:lang w:val="es-CO" w:eastAsia="es-CO"/>
        </w:rPr>
        <w:t>l con corte a 30</w:t>
      </w:r>
      <w:r w:rsidRPr="00F758E0">
        <w:rPr>
          <w:rFonts w:ascii="Arial" w:eastAsia="Calibri" w:hAnsi="Arial" w:cs="Arial"/>
          <w:lang w:val="es-CO" w:eastAsia="es-CO"/>
        </w:rPr>
        <w:t xml:space="preserve"> de abril de 2016, de los trece (13) proyectos de inversión que competen a la UARIV:</w:t>
      </w:r>
    </w:p>
    <w:p w:rsidR="00F758E0" w:rsidRDefault="00F758E0" w:rsidP="00F758E0">
      <w:pPr>
        <w:tabs>
          <w:tab w:val="left" w:pos="2385"/>
        </w:tabs>
        <w:spacing w:after="0"/>
        <w:jc w:val="both"/>
        <w:rPr>
          <w:rFonts w:ascii="Arial" w:eastAsia="Times New Roman" w:hAnsi="Arial" w:cs="Arial"/>
          <w:b/>
          <w:color w:val="FF0000"/>
          <w:sz w:val="22"/>
          <w:szCs w:val="22"/>
          <w:lang w:val="es-CO" w:eastAsia="es-ES"/>
        </w:rPr>
      </w:pPr>
    </w:p>
    <w:p w:rsidR="00F758E0" w:rsidRPr="00F758E0" w:rsidRDefault="00F758E0" w:rsidP="00F758E0">
      <w:pPr>
        <w:tabs>
          <w:tab w:val="left" w:pos="2385"/>
        </w:tabs>
        <w:spacing w:after="0"/>
        <w:jc w:val="both"/>
        <w:rPr>
          <w:rFonts w:ascii="Arial" w:eastAsia="Times New Roman" w:hAnsi="Arial" w:cs="Arial"/>
          <w:b/>
          <w:lang w:val="es-ES" w:eastAsia="es-ES"/>
        </w:rPr>
      </w:pPr>
      <w:r w:rsidRPr="00F758E0">
        <w:rPr>
          <w:rFonts w:ascii="Arial" w:eastAsia="Times New Roman" w:hAnsi="Arial" w:cs="Arial"/>
          <w:b/>
          <w:color w:val="FF0000"/>
          <w:sz w:val="22"/>
          <w:szCs w:val="22"/>
          <w:lang w:val="es-CO" w:eastAsia="es-ES"/>
        </w:rPr>
        <w:tab/>
      </w: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ES" w:eastAsia="es-ES"/>
        </w:rPr>
        <w:t xml:space="preserve">1. Mejoramiento de los canales de atención y comunicación para las víctimas para facilitar su acceso a la oferta institucional. </w:t>
      </w:r>
    </w:p>
    <w:p w:rsidR="00F758E0" w:rsidRPr="00F758E0" w:rsidRDefault="00F758E0" w:rsidP="00F758E0">
      <w:pPr>
        <w:tabs>
          <w:tab w:val="left" w:pos="1140"/>
        </w:tabs>
        <w:spacing w:after="0"/>
        <w:jc w:val="both"/>
        <w:rPr>
          <w:rFonts w:ascii="Arial" w:eastAsia="Times New Roman" w:hAnsi="Arial" w:cs="Arial"/>
          <w:lang w:val="es-CO" w:eastAsia="es-ES"/>
        </w:rPr>
      </w:pPr>
      <w:r w:rsidRPr="00F758E0">
        <w:rPr>
          <w:rFonts w:ascii="Arial" w:eastAsia="Times New Roman" w:hAnsi="Arial" w:cs="Arial"/>
          <w:lang w:val="es-CO" w:eastAsia="es-ES"/>
        </w:rPr>
        <w:tab/>
      </w:r>
    </w:p>
    <w:p w:rsidR="00F758E0" w:rsidRPr="00F758E0" w:rsidRDefault="00F758E0" w:rsidP="00984254">
      <w:pPr>
        <w:spacing w:after="0"/>
        <w:jc w:val="both"/>
        <w:rPr>
          <w:rFonts w:ascii="Arial" w:eastAsia="Times New Roman" w:hAnsi="Arial" w:cs="Arial"/>
          <w:lang w:val="es-CO" w:eastAsia="es-ES"/>
        </w:rPr>
      </w:pPr>
      <w:r w:rsidRPr="00F758E0">
        <w:rPr>
          <w:rFonts w:ascii="Times New Roman" w:eastAsia="Times New Roman" w:hAnsi="Times New Roman"/>
          <w:noProof/>
          <w:lang w:val="es-ES" w:eastAsia="es-ES"/>
        </w:rPr>
        <w:drawing>
          <wp:inline distT="0" distB="0" distL="0" distR="0" wp14:anchorId="05B12B5B" wp14:editId="78D906C4">
            <wp:extent cx="6019800" cy="12954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19800" cy="1295400"/>
                    </a:xfrm>
                    <a:prstGeom prst="rect">
                      <a:avLst/>
                    </a:prstGeom>
                    <a:noFill/>
                    <a:ln>
                      <a:noFill/>
                    </a:ln>
                  </pic:spPr>
                </pic:pic>
              </a:graphicData>
            </a:graphic>
          </wp:inline>
        </w:drawing>
      </w:r>
    </w:p>
    <w:p w:rsidR="00F758E0" w:rsidRPr="00F758E0" w:rsidRDefault="00F758E0" w:rsidP="00F758E0">
      <w:pPr>
        <w:tabs>
          <w:tab w:val="left" w:pos="1140"/>
        </w:tabs>
        <w:spacing w:after="0"/>
        <w:jc w:val="both"/>
        <w:rPr>
          <w:rFonts w:ascii="Arial" w:eastAsia="Times New Roman" w:hAnsi="Arial" w:cs="Arial"/>
          <w:lang w:val="es-CO" w:eastAsia="es-ES"/>
        </w:rPr>
      </w:pPr>
    </w:p>
    <w:p w:rsidR="00F758E0" w:rsidRPr="00F758E0" w:rsidRDefault="00F758E0" w:rsidP="00F758E0">
      <w:pPr>
        <w:tabs>
          <w:tab w:val="left" w:pos="910"/>
        </w:tabs>
        <w:spacing w:after="0"/>
        <w:jc w:val="both"/>
        <w:rPr>
          <w:rFonts w:ascii="Arial" w:eastAsia="Times New Roman" w:hAnsi="Arial" w:cs="Arial"/>
          <w:b/>
          <w:lang w:val="es-ES" w:eastAsia="es-ES"/>
        </w:rPr>
      </w:pPr>
      <w:r w:rsidRPr="00F758E0">
        <w:rPr>
          <w:rFonts w:ascii="Arial" w:eastAsia="Times New Roman" w:hAnsi="Arial" w:cs="Arial"/>
          <w:lang w:val="es-ES" w:eastAsia="es-ES"/>
        </w:rPr>
        <w:t xml:space="preserve">Este Proyecto de Inversión </w:t>
      </w:r>
      <w:r w:rsidRPr="00F758E0">
        <w:rPr>
          <w:rFonts w:ascii="Arial" w:eastAsia="Calibri" w:hAnsi="Arial" w:cs="Arial"/>
          <w:lang w:val="es-CO" w:eastAsia="es-CO"/>
        </w:rPr>
        <w:t xml:space="preserve">presenta un avance acumulado al mes de abril de </w:t>
      </w:r>
      <w:r w:rsidRPr="00F758E0">
        <w:rPr>
          <w:rFonts w:ascii="Arial" w:eastAsia="Calibri" w:hAnsi="Arial" w:cs="Arial"/>
          <w:b/>
          <w:lang w:val="es-CO" w:eastAsia="es-CO"/>
        </w:rPr>
        <w:t xml:space="preserve">66% en compromisos, 14% en obligaciones y pagos respecto a las apropiaciones vigentes, </w:t>
      </w:r>
      <w:r w:rsidRPr="00F758E0">
        <w:rPr>
          <w:rFonts w:ascii="Arial" w:eastAsia="Calibri" w:hAnsi="Arial" w:cs="Arial"/>
          <w:lang w:val="es-CO" w:eastAsia="es-CO"/>
        </w:rPr>
        <w:t xml:space="preserve">tiene pendiente </w:t>
      </w:r>
      <w:r w:rsidRPr="00F758E0">
        <w:rPr>
          <w:rFonts w:ascii="Arial" w:eastAsia="Calibri" w:hAnsi="Arial" w:cs="Arial"/>
          <w:b/>
          <w:lang w:val="es-CO" w:eastAsia="es-CO"/>
        </w:rPr>
        <w:t>por comprometer $28.668.603.369,50</w:t>
      </w:r>
    </w:p>
    <w:p w:rsidR="00F758E0" w:rsidRPr="00F758E0" w:rsidRDefault="00F758E0" w:rsidP="00F758E0">
      <w:pPr>
        <w:spacing w:after="0"/>
        <w:jc w:val="both"/>
        <w:rPr>
          <w:rFonts w:ascii="Arial" w:eastAsia="Times New Roman" w:hAnsi="Arial" w:cs="Arial"/>
          <w:b/>
          <w:lang w:val="es-ES"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Avance financiero: </w:t>
      </w:r>
      <w:r w:rsidRPr="00F758E0">
        <w:rPr>
          <w:rFonts w:ascii="Arial" w:eastAsia="Times New Roman" w:hAnsi="Arial" w:cs="Arial"/>
          <w:lang w:val="es-CO" w:eastAsia="es-ES"/>
        </w:rPr>
        <w:t>13.16%</w:t>
      </w:r>
      <w:r w:rsidR="001A6DA7">
        <w:rPr>
          <w:rFonts w:ascii="Arial" w:eastAsia="Times New Roman" w:hAnsi="Arial" w:cs="Arial"/>
          <w:lang w:val="es-CO" w:eastAsia="es-ES"/>
        </w:rPr>
        <w:t>, según lo registrado en el Sistema de Seguimiento a Proyectos de Inversión (SPI)</w:t>
      </w: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lastRenderedPageBreak/>
        <w:t>2. Implementación del Plan Estratégico de Tecnología de Información para Asistencia. Atención y Reparación Integral a las Víctimas a Nivel Nacional.</w:t>
      </w:r>
    </w:p>
    <w:p w:rsidR="00F758E0" w:rsidRPr="00F758E0" w:rsidRDefault="00F758E0" w:rsidP="00F758E0">
      <w:pPr>
        <w:tabs>
          <w:tab w:val="left" w:pos="2595"/>
        </w:tabs>
        <w:spacing w:after="0"/>
        <w:ind w:left="284"/>
        <w:jc w:val="both"/>
        <w:rPr>
          <w:rFonts w:ascii="Arial" w:eastAsia="Times New Roman" w:hAnsi="Arial" w:cs="Arial"/>
          <w:b/>
          <w:lang w:val="es-CO" w:eastAsia="es-ES"/>
        </w:rPr>
      </w:pPr>
      <w:r w:rsidRPr="00F758E0">
        <w:rPr>
          <w:rFonts w:ascii="Arial" w:eastAsia="Times New Roman" w:hAnsi="Arial" w:cs="Arial"/>
          <w:b/>
          <w:lang w:val="es-CO" w:eastAsia="es-ES"/>
        </w:rPr>
        <w:tab/>
      </w:r>
    </w:p>
    <w:p w:rsidR="00F758E0" w:rsidRPr="00F758E0" w:rsidRDefault="00F758E0" w:rsidP="00F758E0">
      <w:pPr>
        <w:tabs>
          <w:tab w:val="left" w:pos="2595"/>
        </w:tabs>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38E57CB2" wp14:editId="56ED9D4B">
            <wp:extent cx="6048375" cy="1200093"/>
            <wp:effectExtent l="0" t="0" r="0" b="63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7109" cy="1209763"/>
                    </a:xfrm>
                    <a:prstGeom prst="rect">
                      <a:avLst/>
                    </a:prstGeom>
                    <a:noFill/>
                    <a:ln>
                      <a:noFill/>
                    </a:ln>
                  </pic:spPr>
                </pic:pic>
              </a:graphicData>
            </a:graphic>
          </wp:inline>
        </w:drawing>
      </w:r>
    </w:p>
    <w:p w:rsidR="00F758E0" w:rsidRPr="00F758E0" w:rsidRDefault="00F758E0" w:rsidP="00F758E0">
      <w:pPr>
        <w:tabs>
          <w:tab w:val="left" w:pos="2595"/>
        </w:tabs>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En este Proyecto de Inversión se presenta un avance acumulado al primer cuatrimestre del </w:t>
      </w:r>
      <w:r w:rsidRPr="00F758E0">
        <w:rPr>
          <w:rFonts w:ascii="Arial" w:eastAsia="Times New Roman" w:hAnsi="Arial" w:cs="Arial"/>
          <w:b/>
          <w:lang w:val="es-CO" w:eastAsia="es-ES"/>
        </w:rPr>
        <w:t>63% en compromisos, 21% en obligaciones y 19% en pagos respecto a las apropiaciones vigentes</w:t>
      </w:r>
      <w:r w:rsidRPr="00F758E0">
        <w:rPr>
          <w:rFonts w:ascii="Arial" w:eastAsia="Times New Roman" w:hAnsi="Arial" w:cs="Arial"/>
          <w:lang w:val="es-CO" w:eastAsia="es-ES"/>
        </w:rPr>
        <w:t xml:space="preserve">, tiene pendiente </w:t>
      </w:r>
      <w:r w:rsidRPr="00F758E0">
        <w:rPr>
          <w:rFonts w:ascii="Arial" w:eastAsia="Times New Roman" w:hAnsi="Arial" w:cs="Arial"/>
          <w:b/>
          <w:lang w:val="es-CO" w:eastAsia="es-ES"/>
        </w:rPr>
        <w:t>por comprometer $23.907.035788.18 millones.</w:t>
      </w:r>
    </w:p>
    <w:p w:rsidR="00F758E0" w:rsidRPr="00F758E0" w:rsidRDefault="00F758E0" w:rsidP="00F758E0">
      <w:pPr>
        <w:spacing w:after="0"/>
        <w:jc w:val="both"/>
        <w:rPr>
          <w:rFonts w:ascii="Arial" w:eastAsia="Times New Roman" w:hAnsi="Arial" w:cs="Arial"/>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Avance financiero: </w:t>
      </w:r>
      <w:r w:rsidRPr="00F758E0">
        <w:rPr>
          <w:rFonts w:ascii="Arial" w:eastAsia="Times New Roman" w:hAnsi="Arial" w:cs="Arial"/>
          <w:lang w:val="es-CO" w:eastAsia="es-ES"/>
        </w:rPr>
        <w:t>20.89%</w:t>
      </w:r>
      <w:r w:rsidR="001A6DA7">
        <w:rPr>
          <w:rFonts w:ascii="Arial" w:eastAsia="Times New Roman" w:hAnsi="Arial" w:cs="Arial"/>
          <w:lang w:val="es-CO" w:eastAsia="es-ES"/>
        </w:rPr>
        <w:t xml:space="preserve">, </w:t>
      </w:r>
      <w:r w:rsidR="001A6DA7" w:rsidRPr="001A6DA7">
        <w:rPr>
          <w:rFonts w:ascii="Arial" w:eastAsia="Times New Roman" w:hAnsi="Arial" w:cs="Arial"/>
          <w:lang w:val="es-CO" w:eastAsia="es-ES"/>
        </w:rPr>
        <w:t>según lo registrado en el Sistema de Seguimiento a Proyectos de Inversión (SPI)</w:t>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3. Fortalecimiento de la Capacidad de Gestión y de la Coordinación de las Entidades del SNARIV.</w:t>
      </w:r>
    </w:p>
    <w:p w:rsidR="00F758E0" w:rsidRPr="00F758E0" w:rsidRDefault="00F758E0" w:rsidP="00F758E0">
      <w:pPr>
        <w:tabs>
          <w:tab w:val="left" w:pos="910"/>
        </w:tabs>
        <w:spacing w:after="0"/>
        <w:jc w:val="both"/>
        <w:rPr>
          <w:rFonts w:ascii="Arial" w:eastAsia="Times New Roman" w:hAnsi="Arial" w:cs="Arial"/>
          <w:lang w:val="es-ES"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Times New Roman" w:eastAsia="Times New Roman" w:hAnsi="Times New Roman"/>
          <w:noProof/>
          <w:lang w:val="es-ES" w:eastAsia="es-ES"/>
        </w:rPr>
        <w:drawing>
          <wp:inline distT="0" distB="0" distL="0" distR="0" wp14:anchorId="74B81DE9" wp14:editId="5660616A">
            <wp:extent cx="6029325" cy="885825"/>
            <wp:effectExtent l="0" t="0" r="9525" b="952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5206" cy="886689"/>
                    </a:xfrm>
                    <a:prstGeom prst="rect">
                      <a:avLst/>
                    </a:prstGeom>
                    <a:noFill/>
                    <a:ln>
                      <a:noFill/>
                    </a:ln>
                  </pic:spPr>
                </pic:pic>
              </a:graphicData>
            </a:graphic>
          </wp:inline>
        </w:drawing>
      </w:r>
    </w:p>
    <w:p w:rsidR="00F758E0" w:rsidRPr="00F758E0" w:rsidRDefault="00F758E0" w:rsidP="00F758E0">
      <w:pPr>
        <w:tabs>
          <w:tab w:val="left" w:pos="910"/>
        </w:tabs>
        <w:spacing w:after="0"/>
        <w:jc w:val="both"/>
        <w:rPr>
          <w:rFonts w:ascii="Arial" w:eastAsia="Times New Roman" w:hAnsi="Arial" w:cs="Arial"/>
          <w:lang w:val="es-ES"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Times New Roman" w:hAnsi="Arial" w:cs="Arial"/>
          <w:lang w:val="es-ES" w:eastAsia="es-ES"/>
        </w:rPr>
        <w:t xml:space="preserve">Este Proyecto de Inversión </w:t>
      </w:r>
      <w:r w:rsidRPr="00F758E0">
        <w:rPr>
          <w:rFonts w:ascii="Arial" w:eastAsia="Calibri" w:hAnsi="Arial" w:cs="Arial"/>
          <w:lang w:val="es-CO" w:eastAsia="es-CO"/>
        </w:rPr>
        <w:t xml:space="preserve">presenta un avance acumulado al mes de abril de </w:t>
      </w:r>
      <w:r w:rsidRPr="00F758E0">
        <w:rPr>
          <w:rFonts w:ascii="Arial" w:eastAsia="Calibri" w:hAnsi="Arial" w:cs="Arial"/>
          <w:b/>
          <w:lang w:val="es-CO" w:eastAsia="es-CO"/>
        </w:rPr>
        <w:t>56% en compromisos, 6% en obligaciones y pagos respecto a las apropiaciones vigentes.</w:t>
      </w:r>
      <w:r w:rsidRPr="00F758E0">
        <w:rPr>
          <w:rFonts w:ascii="Arial" w:eastAsia="Calibri" w:hAnsi="Arial" w:cs="Arial"/>
          <w:lang w:val="es-CO" w:eastAsia="es-CO"/>
        </w:rPr>
        <w:t xml:space="preserve"> Está pendiente </w:t>
      </w:r>
      <w:r w:rsidRPr="00F758E0">
        <w:rPr>
          <w:rFonts w:ascii="Arial" w:eastAsia="Calibri" w:hAnsi="Arial" w:cs="Arial"/>
          <w:b/>
          <w:lang w:val="es-CO" w:eastAsia="es-CO"/>
        </w:rPr>
        <w:t>por comprometer $3.536.657.404,98 millones.</w:t>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Avance financiero: </w:t>
      </w:r>
      <w:r w:rsidRPr="00F758E0">
        <w:rPr>
          <w:rFonts w:ascii="Arial" w:eastAsia="Times New Roman" w:hAnsi="Arial" w:cs="Arial"/>
          <w:lang w:val="es-CO" w:eastAsia="es-ES"/>
        </w:rPr>
        <w:t>5.97%</w:t>
      </w:r>
      <w:r w:rsidR="001A6DA7">
        <w:rPr>
          <w:rFonts w:ascii="Arial" w:eastAsia="Times New Roman" w:hAnsi="Arial" w:cs="Arial"/>
          <w:lang w:val="es-CO" w:eastAsia="es-ES"/>
        </w:rPr>
        <w:t xml:space="preserve">, </w:t>
      </w:r>
      <w:r w:rsidR="001A6DA7" w:rsidRPr="001A6DA7">
        <w:rPr>
          <w:rFonts w:ascii="Arial" w:eastAsia="Times New Roman" w:hAnsi="Arial" w:cs="Arial"/>
          <w:lang w:val="es-CO" w:eastAsia="es-ES"/>
        </w:rPr>
        <w:t>según lo registrado en el Sistema de Seguimiento a Proyectos de Inversión (SPI)</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4. Apoyo, Participación y Visibilizaciòn de las Víctimas.</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4A85FD65" wp14:editId="1156D606">
            <wp:extent cx="6000750" cy="1152525"/>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1332" cy="1154557"/>
                    </a:xfrm>
                    <a:prstGeom prst="rect">
                      <a:avLst/>
                    </a:prstGeom>
                    <a:noFill/>
                    <a:ln>
                      <a:noFill/>
                    </a:ln>
                  </pic:spPr>
                </pic:pic>
              </a:graphicData>
            </a:graphic>
          </wp:inline>
        </w:drawing>
      </w:r>
    </w:p>
    <w:p w:rsidR="00F758E0" w:rsidRPr="00F758E0" w:rsidRDefault="00F758E0" w:rsidP="00F758E0">
      <w:pPr>
        <w:tabs>
          <w:tab w:val="left" w:pos="910"/>
        </w:tabs>
        <w:spacing w:after="0"/>
        <w:jc w:val="both"/>
        <w:rPr>
          <w:rFonts w:ascii="Arial" w:eastAsia="Calibri" w:hAnsi="Arial" w:cs="Arial"/>
          <w:b/>
          <w:lang w:val="es-CO" w:eastAsia="es-CO"/>
        </w:rPr>
      </w:pPr>
      <w:r w:rsidRPr="00F758E0">
        <w:rPr>
          <w:rFonts w:ascii="Arial" w:eastAsia="Times New Roman" w:hAnsi="Arial" w:cs="Arial"/>
          <w:lang w:val="es-ES" w:eastAsia="es-ES"/>
        </w:rPr>
        <w:lastRenderedPageBreak/>
        <w:t xml:space="preserve">Este Proyecto de Inversión </w:t>
      </w:r>
      <w:r w:rsidRPr="00F758E0">
        <w:rPr>
          <w:rFonts w:ascii="Arial" w:eastAsia="Calibri" w:hAnsi="Arial" w:cs="Arial"/>
          <w:lang w:val="es-CO" w:eastAsia="es-CO"/>
        </w:rPr>
        <w:t xml:space="preserve">presenta un avance acumulado al mes de abril de </w:t>
      </w:r>
      <w:r w:rsidRPr="00F758E0">
        <w:rPr>
          <w:rFonts w:ascii="Arial" w:eastAsia="Calibri" w:hAnsi="Arial" w:cs="Arial"/>
          <w:b/>
          <w:lang w:val="es-CO" w:eastAsia="es-CO"/>
        </w:rPr>
        <w:t>73% en compromisos, 9% en obligaciones y pagos respecto a las apropiaciones vigentes</w:t>
      </w:r>
      <w:r w:rsidRPr="00F758E0">
        <w:rPr>
          <w:rFonts w:ascii="Arial" w:eastAsia="Calibri" w:hAnsi="Arial" w:cs="Arial"/>
          <w:lang w:val="es-CO" w:eastAsia="es-CO"/>
        </w:rPr>
        <w:t xml:space="preserve">. Tiene  pendiente </w:t>
      </w:r>
      <w:r w:rsidRPr="00F758E0">
        <w:rPr>
          <w:rFonts w:ascii="Arial" w:eastAsia="Calibri" w:hAnsi="Arial" w:cs="Arial"/>
          <w:b/>
          <w:lang w:val="es-CO" w:eastAsia="es-CO"/>
        </w:rPr>
        <w:t>por comprometer $ 286.287.961 millones.</w:t>
      </w:r>
    </w:p>
    <w:p w:rsidR="00F758E0" w:rsidRPr="00F758E0" w:rsidRDefault="00F758E0" w:rsidP="00F758E0">
      <w:pPr>
        <w:tabs>
          <w:tab w:val="left" w:pos="910"/>
        </w:tabs>
        <w:spacing w:after="0"/>
        <w:jc w:val="both"/>
        <w:rPr>
          <w:rFonts w:ascii="Arial" w:eastAsia="Calibri" w:hAnsi="Arial" w:cs="Arial"/>
          <w:lang w:val="es-CO" w:eastAsia="es-CO"/>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10.27%</w:t>
      </w:r>
      <w:r w:rsidR="001A6DA7">
        <w:rPr>
          <w:rFonts w:ascii="Arial" w:eastAsia="Calibri" w:hAnsi="Arial" w:cs="Arial"/>
          <w:lang w:val="es-CO" w:eastAsia="es-CO"/>
        </w:rPr>
        <w:t xml:space="preserve">, </w:t>
      </w:r>
      <w:r w:rsidR="001A6DA7" w:rsidRPr="001A6DA7">
        <w:rPr>
          <w:rFonts w:ascii="Arial" w:eastAsia="Calibri" w:hAnsi="Arial" w:cs="Arial"/>
          <w:lang w:val="es-CO" w:eastAsia="es-CO"/>
        </w:rPr>
        <w:t>según lo registrado en el Sistema de Seguimiento a Proyectos de Inversión (SPI)</w:t>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5. Asistencia y Atención Integral a Víctimas a Nivel Nacional.</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4B5D5ED9" wp14:editId="580C8D49">
            <wp:extent cx="6019800" cy="1323975"/>
            <wp:effectExtent l="0" t="0" r="0" b="9525"/>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27794" cy="1325733"/>
                    </a:xfrm>
                    <a:prstGeom prst="rect">
                      <a:avLst/>
                    </a:prstGeom>
                    <a:noFill/>
                    <a:ln>
                      <a:noFill/>
                    </a:ln>
                  </pic:spPr>
                </pic:pic>
              </a:graphicData>
            </a:graphic>
          </wp:inline>
        </w:drawing>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En este Proyecto de Inversión se presenta un avance acumulado al primer cuatrimestre del </w:t>
      </w:r>
      <w:r w:rsidRPr="00F758E0">
        <w:rPr>
          <w:rFonts w:ascii="Arial" w:eastAsia="Times New Roman" w:hAnsi="Arial" w:cs="Arial"/>
          <w:b/>
          <w:lang w:val="es-CO" w:eastAsia="es-ES"/>
        </w:rPr>
        <w:t>69% en compromisos, 16% en obligaciones y 15% en pagos respecto a las apropiaciones vigentes</w:t>
      </w:r>
      <w:r w:rsidRPr="00F758E0">
        <w:rPr>
          <w:rFonts w:ascii="Arial" w:eastAsia="Times New Roman" w:hAnsi="Arial" w:cs="Arial"/>
          <w:lang w:val="es-CO" w:eastAsia="es-ES"/>
        </w:rPr>
        <w:t xml:space="preserve">, tiene pendiente </w:t>
      </w:r>
      <w:r w:rsidRPr="00F758E0">
        <w:rPr>
          <w:rFonts w:ascii="Arial" w:eastAsia="Times New Roman" w:hAnsi="Arial" w:cs="Arial"/>
          <w:b/>
          <w:lang w:val="es-CO" w:eastAsia="es-ES"/>
        </w:rPr>
        <w:t>por comprometer $ 23.559.374.313 millones.</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14.33%</w:t>
      </w:r>
      <w:r w:rsidR="001A6DA7">
        <w:rPr>
          <w:rFonts w:ascii="Arial" w:eastAsia="Calibri" w:hAnsi="Arial" w:cs="Arial"/>
          <w:lang w:val="es-CO" w:eastAsia="es-CO"/>
        </w:rPr>
        <w:t xml:space="preserve">, </w:t>
      </w:r>
      <w:r w:rsidR="001A6DA7" w:rsidRPr="001A6DA7">
        <w:rPr>
          <w:rFonts w:ascii="Arial" w:eastAsia="Calibri" w:hAnsi="Arial" w:cs="Arial"/>
          <w:lang w:val="es-CO" w:eastAsia="es-CO"/>
        </w:rPr>
        <w:t>según lo registrado en el Sistema de Seguimiento a Proyectos de Inversión (SPI)</w:t>
      </w:r>
    </w:p>
    <w:p w:rsidR="00F758E0" w:rsidRDefault="00F758E0" w:rsidP="00F758E0">
      <w:pPr>
        <w:spacing w:after="0"/>
        <w:jc w:val="both"/>
        <w:rPr>
          <w:rFonts w:ascii="Arial" w:eastAsia="Times New Roman" w:hAnsi="Arial" w:cs="Arial"/>
          <w:b/>
          <w:lang w:val="es-CO" w:eastAsia="es-ES"/>
        </w:rPr>
      </w:pPr>
    </w:p>
    <w:p w:rsidR="00BA41AC" w:rsidRPr="00F758E0" w:rsidRDefault="00BA41AC"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6. Prevención Atención a la Población Desplazada a Nivel Nacional. </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74951D48" wp14:editId="1791455A">
            <wp:extent cx="6029325" cy="1228725"/>
            <wp:effectExtent l="0" t="0" r="9525"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9627" cy="1230824"/>
                    </a:xfrm>
                    <a:prstGeom prst="rect">
                      <a:avLst/>
                    </a:prstGeom>
                    <a:noFill/>
                    <a:ln>
                      <a:noFill/>
                    </a:ln>
                  </pic:spPr>
                </pic:pic>
              </a:graphicData>
            </a:graphic>
          </wp:inline>
        </w:drawing>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En este Proyecto de Inversión se presenta un avance acumulado al mes de abril del </w:t>
      </w:r>
      <w:r w:rsidRPr="00F758E0">
        <w:rPr>
          <w:rFonts w:ascii="Arial" w:eastAsia="Times New Roman" w:hAnsi="Arial" w:cs="Arial"/>
          <w:b/>
          <w:lang w:val="es-CO" w:eastAsia="es-ES"/>
        </w:rPr>
        <w:t>32% en compromisos, 7% en obligaciones y pagos respecto a las apropiaciones vigentes</w:t>
      </w:r>
      <w:r w:rsidRPr="00F758E0">
        <w:rPr>
          <w:rFonts w:ascii="Arial" w:eastAsia="Times New Roman" w:hAnsi="Arial" w:cs="Arial"/>
          <w:lang w:val="es-CO" w:eastAsia="es-ES"/>
        </w:rPr>
        <w:t xml:space="preserve">, está pendiente </w:t>
      </w:r>
      <w:r w:rsidRPr="00F758E0">
        <w:rPr>
          <w:rFonts w:ascii="Arial" w:eastAsia="Times New Roman" w:hAnsi="Arial" w:cs="Arial"/>
          <w:b/>
          <w:lang w:val="es-CO" w:eastAsia="es-ES"/>
        </w:rPr>
        <w:t>por comprometer $ 658.579.635.732.24 millones.</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7.87%</w:t>
      </w:r>
      <w:r w:rsidR="001A6DA7">
        <w:rPr>
          <w:rFonts w:ascii="Arial" w:eastAsia="Calibri" w:hAnsi="Arial" w:cs="Arial"/>
          <w:lang w:val="es-CO" w:eastAsia="es-CO"/>
        </w:rPr>
        <w:t xml:space="preserve">, </w:t>
      </w:r>
      <w:r w:rsidR="001A6DA7" w:rsidRPr="001A6DA7">
        <w:rPr>
          <w:rFonts w:ascii="Arial" w:eastAsia="Calibri" w:hAnsi="Arial" w:cs="Arial"/>
          <w:lang w:val="es-CO" w:eastAsia="es-CO"/>
        </w:rPr>
        <w:t>según lo registrado en el Sistema de Seguimiento a Proyectos de Inversión (SPI)</w:t>
      </w:r>
    </w:p>
    <w:p w:rsidR="00F758E0" w:rsidRPr="00F758E0" w:rsidRDefault="00F758E0" w:rsidP="00F758E0">
      <w:pPr>
        <w:spacing w:after="0"/>
        <w:jc w:val="both"/>
        <w:rPr>
          <w:rFonts w:ascii="Arial" w:eastAsia="Times New Roman" w:hAnsi="Arial" w:cs="Arial"/>
          <w:b/>
          <w:lang w:val="es-CO" w:eastAsia="es-ES"/>
        </w:rPr>
      </w:pPr>
    </w:p>
    <w:p w:rsid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lastRenderedPageBreak/>
        <w:t>7. Apoyo a Entidades Territoriales a través de la Cofinanciación para la Asistencia, Atención y Reparación Integral a las Víctimas del Desplazamiento Forzado a Nivel Nacional.</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3B1E3A47" wp14:editId="11AE928F">
            <wp:extent cx="6029325" cy="1362049"/>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3695" cy="1376591"/>
                    </a:xfrm>
                    <a:prstGeom prst="rect">
                      <a:avLst/>
                    </a:prstGeom>
                    <a:noFill/>
                    <a:ln>
                      <a:noFill/>
                    </a:ln>
                  </pic:spPr>
                </pic:pic>
              </a:graphicData>
            </a:graphic>
          </wp:inline>
        </w:drawing>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lang w:val="es-CO" w:eastAsia="es-ES"/>
        </w:rPr>
        <w:t xml:space="preserve">En este Proyecto de Inversión se presenta un avance acumulado al primer cuatrimestre del 13% en compromisos, 2% en obligaciones y 1% en pagos respecto a las apropiaciones vigentes, tiene pendiente </w:t>
      </w:r>
      <w:r w:rsidRPr="00F758E0">
        <w:rPr>
          <w:rFonts w:ascii="Arial" w:eastAsia="Times New Roman" w:hAnsi="Arial" w:cs="Arial"/>
          <w:b/>
          <w:lang w:val="es-CO" w:eastAsia="es-ES"/>
        </w:rPr>
        <w:t>por comprometer $15.748.318.777 millones.</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1.51%</w:t>
      </w:r>
      <w:r w:rsidR="00CC6EAF">
        <w:rPr>
          <w:rFonts w:ascii="Arial" w:eastAsia="Calibri" w:hAnsi="Arial" w:cs="Arial"/>
          <w:lang w:val="es-CO" w:eastAsia="es-CO"/>
        </w:rPr>
        <w:t xml:space="preserve">, </w:t>
      </w:r>
      <w:r w:rsidR="00CC6EAF" w:rsidRPr="00CC6EAF">
        <w:rPr>
          <w:rFonts w:ascii="Arial" w:eastAsia="Calibri" w:hAnsi="Arial" w:cs="Arial"/>
          <w:lang w:val="es-CO" w:eastAsia="es-CO"/>
        </w:rPr>
        <w:t>según lo registrado en el Sistema de Seguimiento a Proyectos de Inversión (SPI)</w:t>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8. Implementación de las Medidas de Reparación Colectiva a Nivel Nacional. </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Times New Roman" w:eastAsia="Times New Roman" w:hAnsi="Times New Roman"/>
          <w:noProof/>
          <w:lang w:val="es-ES" w:eastAsia="es-ES"/>
        </w:rPr>
        <w:drawing>
          <wp:inline distT="0" distB="0" distL="0" distR="0" wp14:anchorId="7139267A" wp14:editId="38860ECE">
            <wp:extent cx="6048375" cy="1095316"/>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6233" cy="1111226"/>
                    </a:xfrm>
                    <a:prstGeom prst="rect">
                      <a:avLst/>
                    </a:prstGeom>
                    <a:noFill/>
                    <a:ln>
                      <a:noFill/>
                    </a:ln>
                  </pic:spPr>
                </pic:pic>
              </a:graphicData>
            </a:graphic>
          </wp:inline>
        </w:drawing>
      </w:r>
    </w:p>
    <w:p w:rsidR="00F758E0" w:rsidRPr="00F758E0" w:rsidRDefault="00F758E0" w:rsidP="00F758E0">
      <w:pPr>
        <w:spacing w:after="0"/>
        <w:jc w:val="both"/>
        <w:rPr>
          <w:rFonts w:ascii="Arial" w:eastAsia="Times New Roman" w:hAnsi="Arial" w:cs="Arial"/>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Este Proyecto de Inversión presenta un avance acumulado al mes de abril del </w:t>
      </w:r>
      <w:r w:rsidRPr="00F758E0">
        <w:rPr>
          <w:rFonts w:ascii="Arial" w:eastAsia="Times New Roman" w:hAnsi="Arial" w:cs="Arial"/>
          <w:b/>
          <w:lang w:val="es-CO" w:eastAsia="es-ES"/>
        </w:rPr>
        <w:t>34% en compromisos, 6% en obligaciones y pagos respecto a las apropiaciones vigentes</w:t>
      </w:r>
      <w:r w:rsidRPr="00F758E0">
        <w:rPr>
          <w:rFonts w:ascii="Arial" w:eastAsia="Times New Roman" w:hAnsi="Arial" w:cs="Arial"/>
          <w:lang w:val="es-CO" w:eastAsia="es-ES"/>
        </w:rPr>
        <w:t xml:space="preserve">, está pendiente </w:t>
      </w:r>
      <w:r w:rsidRPr="00F758E0">
        <w:rPr>
          <w:rFonts w:ascii="Arial" w:eastAsia="Times New Roman" w:hAnsi="Arial" w:cs="Arial"/>
          <w:b/>
          <w:lang w:val="es-CO" w:eastAsia="es-ES"/>
        </w:rPr>
        <w:t>por comprometer $ 15.513.547.636 millones.</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7.95%</w:t>
      </w:r>
      <w:r w:rsidR="00CC6EAF">
        <w:rPr>
          <w:rFonts w:ascii="Arial" w:eastAsia="Calibri" w:hAnsi="Arial" w:cs="Arial"/>
          <w:lang w:val="es-CO" w:eastAsia="es-CO"/>
        </w:rPr>
        <w:t xml:space="preserve">, </w:t>
      </w:r>
      <w:r w:rsidR="00CC6EAF" w:rsidRPr="00CC6EAF">
        <w:rPr>
          <w:rFonts w:ascii="Arial" w:eastAsia="Calibri" w:hAnsi="Arial" w:cs="Arial"/>
          <w:lang w:val="es-CO" w:eastAsia="es-CO"/>
        </w:rPr>
        <w:t>según lo registrado en el Sistema de Seguimiento a Proyectos de Inversión (SPI)</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9. Implementación de Procesos de Retorno o Reubicación de Víctimas de Desplazamiento Forzado, en el Marco de la Reparación Integral a Nivel Nacional. </w:t>
      </w:r>
    </w:p>
    <w:p w:rsidR="00F758E0" w:rsidRPr="00F758E0" w:rsidRDefault="00F758E0" w:rsidP="00F758E0">
      <w:pPr>
        <w:spacing w:after="0"/>
        <w:jc w:val="both"/>
        <w:rPr>
          <w:rFonts w:ascii="Arial" w:eastAsia="Times New Roman" w:hAnsi="Arial" w:cs="Arial"/>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Times New Roman" w:eastAsia="Times New Roman" w:hAnsi="Times New Roman"/>
          <w:noProof/>
          <w:lang w:val="es-ES" w:eastAsia="es-ES"/>
        </w:rPr>
        <w:lastRenderedPageBreak/>
        <w:drawing>
          <wp:inline distT="0" distB="0" distL="0" distR="0" wp14:anchorId="09F2D1AD" wp14:editId="43628F59">
            <wp:extent cx="6048375" cy="101854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2485" cy="1025968"/>
                    </a:xfrm>
                    <a:prstGeom prst="rect">
                      <a:avLst/>
                    </a:prstGeom>
                    <a:noFill/>
                    <a:ln>
                      <a:noFill/>
                    </a:ln>
                  </pic:spPr>
                </pic:pic>
              </a:graphicData>
            </a:graphic>
          </wp:inline>
        </w:drawing>
      </w:r>
    </w:p>
    <w:p w:rsidR="00F758E0" w:rsidRPr="00F758E0" w:rsidRDefault="00F758E0" w:rsidP="00F758E0">
      <w:pPr>
        <w:spacing w:after="0"/>
        <w:jc w:val="both"/>
        <w:rPr>
          <w:rFonts w:ascii="Arial" w:eastAsia="Times New Roman" w:hAnsi="Arial" w:cs="Arial"/>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lang w:val="es-CO" w:eastAsia="es-ES"/>
        </w:rPr>
        <w:t xml:space="preserve">Este Proyecto de Inversión presenta un avance acumulado al mes de abril del </w:t>
      </w:r>
      <w:r w:rsidRPr="00F758E0">
        <w:rPr>
          <w:rFonts w:ascii="Arial" w:eastAsia="Times New Roman" w:hAnsi="Arial" w:cs="Arial"/>
          <w:b/>
          <w:lang w:val="es-CO" w:eastAsia="es-ES"/>
        </w:rPr>
        <w:t>26% en compromisos, 5% en obligaciones y pagos respecto a las apropiaciones vigentes</w:t>
      </w:r>
      <w:r w:rsidRPr="00F758E0">
        <w:rPr>
          <w:rFonts w:ascii="Arial" w:eastAsia="Times New Roman" w:hAnsi="Arial" w:cs="Arial"/>
          <w:lang w:val="es-CO" w:eastAsia="es-ES"/>
        </w:rPr>
        <w:t xml:space="preserve">, está pendiente </w:t>
      </w:r>
      <w:r w:rsidRPr="00F758E0">
        <w:rPr>
          <w:rFonts w:ascii="Arial" w:eastAsia="Times New Roman" w:hAnsi="Arial" w:cs="Arial"/>
          <w:b/>
          <w:lang w:val="es-CO" w:eastAsia="es-ES"/>
        </w:rPr>
        <w:t>por comprometer $11.870.625.207 millones.</w:t>
      </w:r>
    </w:p>
    <w:p w:rsidR="00F758E0" w:rsidRPr="00F758E0" w:rsidRDefault="00F758E0" w:rsidP="00F758E0">
      <w:pPr>
        <w:tabs>
          <w:tab w:val="left" w:pos="910"/>
        </w:tabs>
        <w:spacing w:after="0"/>
        <w:jc w:val="both"/>
        <w:rPr>
          <w:rFonts w:ascii="Arial" w:eastAsia="Calibri" w:hAnsi="Arial" w:cs="Arial"/>
          <w:b/>
          <w:lang w:val="es-CO" w:eastAsia="es-CO"/>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5.21%</w:t>
      </w:r>
      <w:r w:rsidR="00CC6EAF">
        <w:rPr>
          <w:rFonts w:ascii="Arial" w:eastAsia="Calibri" w:hAnsi="Arial" w:cs="Arial"/>
          <w:lang w:val="es-CO" w:eastAsia="es-CO"/>
        </w:rPr>
        <w:t xml:space="preserve">, </w:t>
      </w:r>
      <w:r w:rsidR="00CC6EAF" w:rsidRPr="00CC6EAF">
        <w:rPr>
          <w:rFonts w:ascii="Arial" w:eastAsia="Calibri" w:hAnsi="Arial" w:cs="Arial"/>
          <w:lang w:val="es-CO" w:eastAsia="es-CO"/>
        </w:rPr>
        <w:t>según lo registrado en el Sistema de Seguimiento a Proyectos de Inversión (SPI)</w:t>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10. Implementación del Enfoque Diferencial y de Género en la Política Pública de Atención y Reparación Integral a las Víctimas a Nivel Nacional.</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37221755" wp14:editId="31E5F517">
            <wp:extent cx="6086475" cy="90487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0161" cy="905423"/>
                    </a:xfrm>
                    <a:prstGeom prst="rect">
                      <a:avLst/>
                    </a:prstGeom>
                    <a:noFill/>
                    <a:ln>
                      <a:noFill/>
                    </a:ln>
                  </pic:spPr>
                </pic:pic>
              </a:graphicData>
            </a:graphic>
          </wp:inline>
        </w:drawing>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Este Proyecto de Inversión presenta un avance acumulado al mes de abril del </w:t>
      </w:r>
      <w:r w:rsidRPr="00F758E0">
        <w:rPr>
          <w:rFonts w:ascii="Arial" w:eastAsia="Times New Roman" w:hAnsi="Arial" w:cs="Arial"/>
          <w:b/>
          <w:lang w:val="es-CO" w:eastAsia="es-ES"/>
        </w:rPr>
        <w:t>28% en compromisos, 6% en obligaciones y pagos respecto a las apropiaciones vigentes</w:t>
      </w:r>
      <w:r w:rsidRPr="00F758E0">
        <w:rPr>
          <w:rFonts w:ascii="Arial" w:eastAsia="Times New Roman" w:hAnsi="Arial" w:cs="Arial"/>
          <w:lang w:val="es-CO" w:eastAsia="es-ES"/>
        </w:rPr>
        <w:t>, está pendiente por comprometer $1.298.168.492 millones.</w:t>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6.17%</w:t>
      </w:r>
      <w:r w:rsidR="00CC6EAF">
        <w:rPr>
          <w:rFonts w:ascii="Arial" w:eastAsia="Calibri" w:hAnsi="Arial" w:cs="Arial"/>
          <w:lang w:val="es-CO" w:eastAsia="es-CO"/>
        </w:rPr>
        <w:t xml:space="preserve">, </w:t>
      </w:r>
      <w:r w:rsidR="00CC6EAF" w:rsidRPr="00CC6EAF">
        <w:rPr>
          <w:rFonts w:ascii="Arial" w:eastAsia="Calibri" w:hAnsi="Arial" w:cs="Arial"/>
          <w:lang w:val="es-CO" w:eastAsia="es-CO"/>
        </w:rPr>
        <w:t>según lo registrado en el Sistema de Seguimiento a Proyectos de Inversión (SPI)</w:t>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11. Fortalecimiento a las medidas de Asistencia, Atención y Reparación a Víctimas que se encuentran en el Exterior. </w:t>
      </w:r>
    </w:p>
    <w:p w:rsidR="00F758E0" w:rsidRPr="00F758E0" w:rsidRDefault="00F758E0" w:rsidP="00F758E0">
      <w:pPr>
        <w:tabs>
          <w:tab w:val="left" w:pos="3720"/>
        </w:tabs>
        <w:spacing w:after="0"/>
        <w:jc w:val="both"/>
        <w:rPr>
          <w:rFonts w:ascii="Arial" w:eastAsia="Times New Roman" w:hAnsi="Arial" w:cs="Arial"/>
          <w:b/>
          <w:lang w:val="es-CO" w:eastAsia="es-ES"/>
        </w:rPr>
      </w:pPr>
      <w:r w:rsidRPr="00F758E0">
        <w:rPr>
          <w:rFonts w:ascii="Arial" w:eastAsia="Times New Roman" w:hAnsi="Arial" w:cs="Arial"/>
          <w:b/>
          <w:lang w:val="es-CO" w:eastAsia="es-ES"/>
        </w:rPr>
        <w:tab/>
      </w:r>
      <w:r w:rsidRPr="00F758E0">
        <w:rPr>
          <w:rFonts w:ascii="Times New Roman" w:eastAsia="Times New Roman" w:hAnsi="Times New Roman"/>
          <w:noProof/>
          <w:lang w:val="es-ES" w:eastAsia="es-ES"/>
        </w:rPr>
        <w:drawing>
          <wp:inline distT="0" distB="0" distL="0" distR="0" wp14:anchorId="5DF84BB2" wp14:editId="197CCB6D">
            <wp:extent cx="6067425" cy="866754"/>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7277" cy="875304"/>
                    </a:xfrm>
                    <a:prstGeom prst="rect">
                      <a:avLst/>
                    </a:prstGeom>
                    <a:noFill/>
                    <a:ln>
                      <a:noFill/>
                    </a:ln>
                  </pic:spPr>
                </pic:pic>
              </a:graphicData>
            </a:graphic>
          </wp:inline>
        </w:drawing>
      </w:r>
    </w:p>
    <w:p w:rsidR="00F758E0" w:rsidRPr="00F758E0" w:rsidRDefault="00F758E0" w:rsidP="00F758E0">
      <w:pPr>
        <w:spacing w:after="0"/>
        <w:ind w:left="284" w:firstLine="708"/>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En este Proyecto de Inversión se presenta un avance acumulado al mes de abril del </w:t>
      </w:r>
      <w:r w:rsidRPr="00F758E0">
        <w:rPr>
          <w:rFonts w:ascii="Arial" w:eastAsia="Times New Roman" w:hAnsi="Arial" w:cs="Arial"/>
          <w:b/>
          <w:lang w:val="es-CO" w:eastAsia="es-ES"/>
        </w:rPr>
        <w:t>85% en compromisos y 2% en obligaciones y pagos respecto a las apropiaciones vigentes</w:t>
      </w:r>
      <w:r w:rsidRPr="00F758E0">
        <w:rPr>
          <w:rFonts w:ascii="Arial" w:eastAsia="Times New Roman" w:hAnsi="Arial" w:cs="Arial"/>
          <w:lang w:val="es-CO" w:eastAsia="es-ES"/>
        </w:rPr>
        <w:t>, tiene pendiente por comprometer $154.167.749 millones.</w:t>
      </w:r>
    </w:p>
    <w:p w:rsidR="00F758E0" w:rsidRPr="00F758E0" w:rsidRDefault="00F758E0" w:rsidP="00F758E0">
      <w:pPr>
        <w:spacing w:after="0"/>
        <w:ind w:left="284"/>
        <w:jc w:val="both"/>
        <w:rPr>
          <w:rFonts w:ascii="Arial" w:eastAsia="Times New Roman" w:hAnsi="Arial" w:cs="Arial"/>
          <w:lang w:val="es-CO" w:eastAsia="es-ES"/>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lastRenderedPageBreak/>
        <w:t>Avance financiero:</w:t>
      </w:r>
      <w:r w:rsidRPr="00F758E0">
        <w:rPr>
          <w:rFonts w:ascii="Arial" w:eastAsia="Calibri" w:hAnsi="Arial" w:cs="Arial"/>
          <w:lang w:val="es-CO" w:eastAsia="es-CO"/>
        </w:rPr>
        <w:t xml:space="preserve"> 2.49%</w:t>
      </w:r>
      <w:r w:rsidR="00CC6EAF">
        <w:rPr>
          <w:rFonts w:ascii="Arial" w:eastAsia="Calibri" w:hAnsi="Arial" w:cs="Arial"/>
          <w:lang w:val="es-CO" w:eastAsia="es-CO"/>
        </w:rPr>
        <w:t xml:space="preserve">, </w:t>
      </w:r>
      <w:r w:rsidR="00CC6EAF" w:rsidRPr="00CC6EAF">
        <w:rPr>
          <w:rFonts w:ascii="Arial" w:eastAsia="Calibri" w:hAnsi="Arial" w:cs="Arial"/>
          <w:lang w:val="es-CO" w:eastAsia="es-CO"/>
        </w:rPr>
        <w:t>según lo registrado en el Sistema de Seguimiento a Proyectos de Inversión (SPI)</w:t>
      </w:r>
    </w:p>
    <w:p w:rsidR="00F758E0" w:rsidRDefault="00F758E0" w:rsidP="00F758E0">
      <w:pPr>
        <w:spacing w:after="0"/>
        <w:ind w:left="284"/>
        <w:jc w:val="both"/>
        <w:rPr>
          <w:rFonts w:ascii="Arial" w:eastAsia="Times New Roman" w:hAnsi="Arial" w:cs="Arial"/>
          <w:lang w:val="es-CO" w:eastAsia="es-ES"/>
        </w:rPr>
      </w:pPr>
    </w:p>
    <w:p w:rsidR="00CC6EAF" w:rsidRDefault="00CC6EAF"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12. Apoyo a la Consolidación de los Derechos de las Víctimas en el Marco de la Ley de Víctimas y Restitución de Tierras a Nivel Nacional. </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6394CD51" wp14:editId="5E958985">
            <wp:extent cx="6048375" cy="904875"/>
            <wp:effectExtent l="0" t="0" r="9525"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2031" cy="905422"/>
                    </a:xfrm>
                    <a:prstGeom prst="rect">
                      <a:avLst/>
                    </a:prstGeom>
                    <a:noFill/>
                    <a:ln>
                      <a:noFill/>
                    </a:ln>
                  </pic:spPr>
                </pic:pic>
              </a:graphicData>
            </a:graphic>
          </wp:inline>
        </w:drawing>
      </w:r>
    </w:p>
    <w:p w:rsidR="00F758E0" w:rsidRPr="00F758E0" w:rsidRDefault="00F758E0" w:rsidP="00F758E0">
      <w:pPr>
        <w:spacing w:after="0"/>
        <w:ind w:left="284"/>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Este Proyecto de Inversión presenta un avance acumulado al mes de abril del </w:t>
      </w:r>
      <w:r w:rsidRPr="00F758E0">
        <w:rPr>
          <w:rFonts w:ascii="Arial" w:eastAsia="Times New Roman" w:hAnsi="Arial" w:cs="Arial"/>
          <w:b/>
          <w:lang w:val="es-CO" w:eastAsia="es-ES"/>
        </w:rPr>
        <w:t>0% en compromisos, obligaciones y pagos respecto a las apropiaciones vigentes.</w:t>
      </w:r>
      <w:r w:rsidRPr="00F758E0">
        <w:rPr>
          <w:rFonts w:ascii="Arial" w:eastAsia="Times New Roman" w:hAnsi="Arial" w:cs="Arial"/>
          <w:lang w:val="es-CO" w:eastAsia="es-ES"/>
        </w:rPr>
        <w:t xml:space="preserve"> Tiene pendiente por comprometer $365.000.000 millones.</w:t>
      </w:r>
    </w:p>
    <w:p w:rsidR="00F758E0" w:rsidRPr="00F758E0" w:rsidRDefault="00F758E0" w:rsidP="00F758E0">
      <w:pPr>
        <w:tabs>
          <w:tab w:val="left" w:pos="910"/>
        </w:tabs>
        <w:spacing w:after="0"/>
        <w:jc w:val="both"/>
        <w:rPr>
          <w:rFonts w:ascii="Arial" w:eastAsia="Calibri" w:hAnsi="Arial" w:cs="Arial"/>
          <w:b/>
          <w:lang w:val="es-CO" w:eastAsia="es-CO"/>
        </w:rPr>
      </w:pPr>
    </w:p>
    <w:p w:rsidR="00F758E0" w:rsidRPr="00F758E0" w:rsidRDefault="00F758E0" w:rsidP="00F758E0">
      <w:pPr>
        <w:tabs>
          <w:tab w:val="left" w:pos="910"/>
        </w:tabs>
        <w:spacing w:after="0"/>
        <w:jc w:val="both"/>
        <w:rPr>
          <w:rFonts w:ascii="Arial" w:eastAsia="Times New Roman" w:hAnsi="Arial" w:cs="Arial"/>
          <w:lang w:val="es-ES" w:eastAsia="es-ES"/>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0%</w:t>
      </w:r>
      <w:r w:rsidR="00CC6EAF">
        <w:rPr>
          <w:rFonts w:ascii="Arial" w:eastAsia="Calibri" w:hAnsi="Arial" w:cs="Arial"/>
          <w:lang w:val="es-CO" w:eastAsia="es-CO"/>
        </w:rPr>
        <w:t xml:space="preserve">, </w:t>
      </w:r>
      <w:r w:rsidR="00CC6EAF" w:rsidRPr="00CC6EAF">
        <w:rPr>
          <w:rFonts w:ascii="Arial" w:eastAsia="Calibri" w:hAnsi="Arial" w:cs="Arial"/>
          <w:lang w:val="es-CO" w:eastAsia="es-CO"/>
        </w:rPr>
        <w:t>según lo registrado en el Sistema de Seguimiento a Proyectos de Inversión (SPI)</w:t>
      </w:r>
    </w:p>
    <w:p w:rsidR="00F758E0" w:rsidRPr="00F758E0" w:rsidRDefault="00F758E0" w:rsidP="00F758E0">
      <w:pPr>
        <w:spacing w:after="0"/>
        <w:jc w:val="both"/>
        <w:rPr>
          <w:rFonts w:ascii="Arial" w:eastAsia="Times New Roman" w:hAnsi="Arial" w:cs="Arial"/>
          <w:lang w:val="es-CO" w:eastAsia="es-ES"/>
        </w:rPr>
      </w:pP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Arial" w:eastAsia="Times New Roman" w:hAnsi="Arial" w:cs="Arial"/>
          <w:b/>
          <w:lang w:val="es-CO" w:eastAsia="es-ES"/>
        </w:rPr>
        <w:t xml:space="preserve">13. Apoyo a la Implementación de Medidas de Reparación Colectiva y Reconstrucción Social a Nivel Nacional. </w:t>
      </w:r>
    </w:p>
    <w:p w:rsidR="00F758E0" w:rsidRPr="00F758E0" w:rsidRDefault="00F758E0" w:rsidP="00F758E0">
      <w:pPr>
        <w:spacing w:after="0"/>
        <w:jc w:val="both"/>
        <w:rPr>
          <w:rFonts w:ascii="Arial" w:eastAsia="Times New Roman" w:hAnsi="Arial" w:cs="Arial"/>
          <w:b/>
          <w:lang w:val="es-CO" w:eastAsia="es-ES"/>
        </w:rPr>
      </w:pPr>
    </w:p>
    <w:p w:rsidR="00F758E0" w:rsidRPr="00F758E0" w:rsidRDefault="00F758E0" w:rsidP="00F758E0">
      <w:pPr>
        <w:spacing w:after="0"/>
        <w:jc w:val="both"/>
        <w:rPr>
          <w:rFonts w:ascii="Arial" w:eastAsia="Times New Roman" w:hAnsi="Arial" w:cs="Arial"/>
          <w:b/>
          <w:lang w:val="es-CO" w:eastAsia="es-ES"/>
        </w:rPr>
      </w:pPr>
      <w:r w:rsidRPr="00F758E0">
        <w:rPr>
          <w:rFonts w:ascii="Times New Roman" w:eastAsia="Times New Roman" w:hAnsi="Times New Roman"/>
          <w:noProof/>
          <w:lang w:val="es-ES" w:eastAsia="es-ES"/>
        </w:rPr>
        <w:drawing>
          <wp:inline distT="0" distB="0" distL="0" distR="0" wp14:anchorId="29C99F24" wp14:editId="36EAEA2A">
            <wp:extent cx="6057900" cy="8286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62026" cy="829239"/>
                    </a:xfrm>
                    <a:prstGeom prst="rect">
                      <a:avLst/>
                    </a:prstGeom>
                    <a:noFill/>
                    <a:ln>
                      <a:noFill/>
                    </a:ln>
                  </pic:spPr>
                </pic:pic>
              </a:graphicData>
            </a:graphic>
          </wp:inline>
        </w:drawing>
      </w:r>
    </w:p>
    <w:p w:rsidR="00F758E0" w:rsidRPr="00F758E0" w:rsidRDefault="00F758E0" w:rsidP="00F758E0">
      <w:pPr>
        <w:spacing w:after="0"/>
        <w:jc w:val="both"/>
        <w:rPr>
          <w:rFonts w:ascii="Arial" w:eastAsia="Times New Roman" w:hAnsi="Arial" w:cs="Arial"/>
          <w:lang w:val="es-CO" w:eastAsia="es-ES"/>
        </w:rPr>
      </w:pPr>
    </w:p>
    <w:p w:rsidR="00F758E0" w:rsidRPr="00F758E0" w:rsidRDefault="00F758E0" w:rsidP="00F758E0">
      <w:pPr>
        <w:spacing w:after="0"/>
        <w:jc w:val="both"/>
        <w:rPr>
          <w:rFonts w:ascii="Arial" w:eastAsia="Times New Roman" w:hAnsi="Arial" w:cs="Arial"/>
          <w:lang w:val="es-CO" w:eastAsia="es-ES"/>
        </w:rPr>
      </w:pPr>
      <w:r w:rsidRPr="00F758E0">
        <w:rPr>
          <w:rFonts w:ascii="Arial" w:eastAsia="Times New Roman" w:hAnsi="Arial" w:cs="Arial"/>
          <w:lang w:val="es-CO" w:eastAsia="es-ES"/>
        </w:rPr>
        <w:t xml:space="preserve">En este Proyecto de Inversión se presenta un avance acumulado al mes de abril del </w:t>
      </w:r>
      <w:r w:rsidRPr="00F758E0">
        <w:rPr>
          <w:rFonts w:ascii="Arial" w:eastAsia="Times New Roman" w:hAnsi="Arial" w:cs="Arial"/>
          <w:b/>
          <w:lang w:val="es-CO" w:eastAsia="es-ES"/>
        </w:rPr>
        <w:t>36% en compromisos, 8% en obligaciones y pagos respecto a las apropiaciones vigentes</w:t>
      </w:r>
      <w:r w:rsidRPr="00F758E0">
        <w:rPr>
          <w:rFonts w:ascii="Arial" w:eastAsia="Times New Roman" w:hAnsi="Arial" w:cs="Arial"/>
          <w:lang w:val="es-CO" w:eastAsia="es-ES"/>
        </w:rPr>
        <w:t>, tiene pendiente por comprometer $1.128.603.774 millones.</w:t>
      </w:r>
    </w:p>
    <w:p w:rsidR="00F758E0" w:rsidRPr="00F758E0" w:rsidRDefault="00F758E0" w:rsidP="00F758E0">
      <w:pPr>
        <w:tabs>
          <w:tab w:val="left" w:pos="910"/>
        </w:tabs>
        <w:spacing w:after="0"/>
        <w:jc w:val="both"/>
        <w:rPr>
          <w:rFonts w:ascii="Arial" w:eastAsia="Calibri" w:hAnsi="Arial" w:cs="Arial"/>
          <w:b/>
          <w:lang w:val="es-CO" w:eastAsia="es-CO"/>
        </w:rPr>
      </w:pPr>
    </w:p>
    <w:p w:rsidR="00F758E0" w:rsidRPr="00F758E0" w:rsidRDefault="00F758E0" w:rsidP="00BA41AC">
      <w:pPr>
        <w:tabs>
          <w:tab w:val="left" w:pos="910"/>
          <w:tab w:val="right" w:pos="9518"/>
        </w:tabs>
        <w:spacing w:after="0"/>
        <w:jc w:val="both"/>
        <w:rPr>
          <w:rFonts w:ascii="Arial" w:eastAsia="Calibri" w:hAnsi="Arial" w:cs="Arial"/>
          <w:lang w:val="es-CO" w:eastAsia="es-CO"/>
        </w:rPr>
      </w:pPr>
      <w:r w:rsidRPr="00F758E0">
        <w:rPr>
          <w:rFonts w:ascii="Arial" w:eastAsia="Calibri" w:hAnsi="Arial" w:cs="Arial"/>
          <w:b/>
          <w:lang w:val="es-CO" w:eastAsia="es-CO"/>
        </w:rPr>
        <w:t>Avance financiero:</w:t>
      </w:r>
      <w:r w:rsidRPr="00F758E0">
        <w:rPr>
          <w:rFonts w:ascii="Arial" w:eastAsia="Calibri" w:hAnsi="Arial" w:cs="Arial"/>
          <w:lang w:val="es-CO" w:eastAsia="es-CO"/>
        </w:rPr>
        <w:t xml:space="preserve"> 7.96%</w:t>
      </w:r>
      <w:r w:rsidR="00CC6EAF">
        <w:rPr>
          <w:rFonts w:ascii="Arial" w:eastAsia="Calibri" w:hAnsi="Arial" w:cs="Arial"/>
          <w:lang w:val="es-CO" w:eastAsia="es-CO"/>
        </w:rPr>
        <w:t xml:space="preserve">, </w:t>
      </w:r>
      <w:r w:rsidR="00CC6EAF" w:rsidRPr="00CC6EAF">
        <w:rPr>
          <w:rFonts w:ascii="Arial" w:eastAsia="Calibri" w:hAnsi="Arial" w:cs="Arial"/>
          <w:lang w:val="es-CO" w:eastAsia="es-CO"/>
        </w:rPr>
        <w:t>según lo registrado en el Sistema de Seguimiento a Proyectos de Inversión (SPI)</w:t>
      </w:r>
      <w:r w:rsidR="00BA41AC">
        <w:rPr>
          <w:rFonts w:ascii="Arial" w:eastAsia="Calibri" w:hAnsi="Arial" w:cs="Arial"/>
          <w:lang w:val="es-CO" w:eastAsia="es-CO"/>
        </w:rPr>
        <w:tab/>
      </w:r>
    </w:p>
    <w:p w:rsidR="00F758E0" w:rsidRDefault="001C73A9" w:rsidP="001C73A9">
      <w:pPr>
        <w:shd w:val="clear" w:color="auto" w:fill="FFFFFF"/>
        <w:tabs>
          <w:tab w:val="left" w:pos="1455"/>
        </w:tabs>
        <w:spacing w:after="0"/>
        <w:ind w:left="284" w:hanging="425"/>
        <w:rPr>
          <w:rFonts w:ascii="Arial" w:eastAsia="Times New Roman" w:hAnsi="Arial" w:cs="Arial"/>
          <w:b/>
          <w:lang w:val="es-CO" w:eastAsia="es-CO"/>
        </w:rPr>
      </w:pPr>
      <w:r>
        <w:rPr>
          <w:rFonts w:ascii="Arial" w:eastAsia="Times New Roman" w:hAnsi="Arial" w:cs="Arial"/>
          <w:b/>
          <w:lang w:val="es-CO" w:eastAsia="es-CO"/>
        </w:rPr>
        <w:tab/>
      </w:r>
      <w:r>
        <w:rPr>
          <w:rFonts w:ascii="Arial" w:eastAsia="Times New Roman" w:hAnsi="Arial" w:cs="Arial"/>
          <w:b/>
          <w:lang w:val="es-CO" w:eastAsia="es-CO"/>
        </w:rPr>
        <w:tab/>
      </w: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1C73A9" w:rsidRDefault="001C73A9" w:rsidP="001C73A9">
      <w:pPr>
        <w:shd w:val="clear" w:color="auto" w:fill="FFFFFF"/>
        <w:tabs>
          <w:tab w:val="left" w:pos="1455"/>
        </w:tabs>
        <w:spacing w:after="0"/>
        <w:ind w:left="284" w:hanging="425"/>
        <w:rPr>
          <w:rFonts w:ascii="Arial" w:eastAsia="Times New Roman" w:hAnsi="Arial" w:cs="Arial"/>
          <w:b/>
          <w:lang w:val="es-CO" w:eastAsia="es-CO"/>
        </w:rPr>
      </w:pPr>
    </w:p>
    <w:p w:rsidR="00897185" w:rsidRPr="00F758E0" w:rsidRDefault="00897185" w:rsidP="00897185">
      <w:pPr>
        <w:tabs>
          <w:tab w:val="left" w:pos="910"/>
        </w:tabs>
        <w:spacing w:after="0"/>
        <w:jc w:val="both"/>
        <w:rPr>
          <w:rFonts w:ascii="Arial" w:eastAsia="Calibri" w:hAnsi="Arial" w:cs="Arial"/>
          <w:lang w:val="es-CO" w:eastAsia="es-CO"/>
        </w:rPr>
      </w:pPr>
      <w:r w:rsidRPr="00F758E0">
        <w:rPr>
          <w:rFonts w:ascii="Arial" w:eastAsia="MS Mincho" w:hAnsi="Arial" w:cs="Arial"/>
          <w:b/>
          <w:lang w:val="es-ES" w:eastAsia="es-ES"/>
        </w:rPr>
        <w:lastRenderedPageBreak/>
        <w:t xml:space="preserve">Ejecución </w:t>
      </w:r>
      <w:r>
        <w:rPr>
          <w:rFonts w:ascii="Arial" w:eastAsia="MS Mincho" w:hAnsi="Arial" w:cs="Arial"/>
          <w:b/>
          <w:lang w:val="es-ES" w:eastAsia="es-ES"/>
        </w:rPr>
        <w:t xml:space="preserve">Reserva </w:t>
      </w:r>
      <w:r w:rsidRPr="00F758E0">
        <w:rPr>
          <w:rFonts w:ascii="Arial" w:eastAsia="MS Mincho" w:hAnsi="Arial" w:cs="Arial"/>
          <w:b/>
          <w:lang w:val="es-ES" w:eastAsia="es-ES"/>
        </w:rPr>
        <w:t xml:space="preserve">Presupuestal </w:t>
      </w:r>
    </w:p>
    <w:p w:rsidR="00897185" w:rsidRPr="00F758E0" w:rsidRDefault="00897185" w:rsidP="00897185">
      <w:pPr>
        <w:tabs>
          <w:tab w:val="left" w:pos="910"/>
        </w:tabs>
        <w:spacing w:after="0"/>
        <w:jc w:val="both"/>
        <w:rPr>
          <w:rFonts w:ascii="Arial" w:eastAsia="Calibri" w:hAnsi="Arial" w:cs="Arial"/>
          <w:lang w:val="es-CO" w:eastAsia="es-CO"/>
        </w:rPr>
      </w:pPr>
    </w:p>
    <w:p w:rsidR="00A732F2" w:rsidRDefault="00897185" w:rsidP="001C73A9">
      <w:pPr>
        <w:shd w:val="clear" w:color="auto" w:fill="FFFFFF"/>
        <w:tabs>
          <w:tab w:val="left" w:pos="1455"/>
        </w:tabs>
        <w:spacing w:after="0"/>
        <w:ind w:left="284" w:hanging="425"/>
        <w:rPr>
          <w:rFonts w:ascii="Arial" w:eastAsia="Times New Roman" w:hAnsi="Arial" w:cs="Arial"/>
          <w:b/>
          <w:lang w:val="es-CO" w:eastAsia="es-CO"/>
        </w:rPr>
      </w:pPr>
      <w:r w:rsidRPr="00897185">
        <w:drawing>
          <wp:inline distT="0" distB="0" distL="0" distR="0">
            <wp:extent cx="6159588" cy="12382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31776" cy="1252762"/>
                    </a:xfrm>
                    <a:prstGeom prst="rect">
                      <a:avLst/>
                    </a:prstGeom>
                    <a:noFill/>
                    <a:ln>
                      <a:noFill/>
                    </a:ln>
                  </pic:spPr>
                </pic:pic>
              </a:graphicData>
            </a:graphic>
          </wp:inline>
        </w:drawing>
      </w:r>
    </w:p>
    <w:p w:rsidR="00A732F2" w:rsidRDefault="00A732F2" w:rsidP="001C73A9">
      <w:pPr>
        <w:shd w:val="clear" w:color="auto" w:fill="FFFFFF"/>
        <w:tabs>
          <w:tab w:val="left" w:pos="1455"/>
        </w:tabs>
        <w:spacing w:after="0"/>
        <w:ind w:left="284" w:hanging="425"/>
        <w:rPr>
          <w:rFonts w:ascii="Arial" w:eastAsia="Times New Roman" w:hAnsi="Arial" w:cs="Arial"/>
          <w:b/>
          <w:lang w:val="es-CO" w:eastAsia="es-CO"/>
        </w:rPr>
      </w:pPr>
    </w:p>
    <w:p w:rsidR="005034F0" w:rsidRDefault="005034F0" w:rsidP="005034F0">
      <w:pPr>
        <w:tabs>
          <w:tab w:val="left" w:pos="910"/>
        </w:tabs>
        <w:spacing w:after="0"/>
        <w:jc w:val="both"/>
        <w:rPr>
          <w:rFonts w:ascii="Arial" w:eastAsia="Calibri" w:hAnsi="Arial" w:cs="Arial"/>
          <w:lang w:val="es-CO" w:eastAsia="es-CO"/>
        </w:rPr>
      </w:pPr>
      <w:r>
        <w:rPr>
          <w:rFonts w:ascii="Arial" w:eastAsia="Calibri" w:hAnsi="Arial" w:cs="Arial"/>
          <w:lang w:val="es-CO" w:eastAsia="es-CO"/>
        </w:rPr>
        <w:t xml:space="preserve">En lo que respecta a la Reserva Presupuestal, al finalizar </w:t>
      </w:r>
      <w:r w:rsidRPr="00802E49">
        <w:rPr>
          <w:rFonts w:ascii="Arial" w:eastAsia="Calibri" w:hAnsi="Arial" w:cs="Arial"/>
          <w:lang w:val="es-CO" w:eastAsia="es-CO"/>
        </w:rPr>
        <w:t>el primer cuatrimestre de 2016</w:t>
      </w:r>
      <w:r>
        <w:rPr>
          <w:rFonts w:ascii="Arial" w:eastAsia="Calibri" w:hAnsi="Arial" w:cs="Arial"/>
          <w:lang w:val="es-CO" w:eastAsia="es-CO"/>
        </w:rPr>
        <w:t xml:space="preserve">, en el rubro </w:t>
      </w:r>
      <w:r w:rsidRPr="00897185">
        <w:rPr>
          <w:rFonts w:ascii="Arial" w:eastAsia="Calibri" w:hAnsi="Arial" w:cs="Arial"/>
          <w:lang w:val="es-CO" w:eastAsia="es-CO"/>
        </w:rPr>
        <w:t>C-320-1507-4-0-470</w:t>
      </w:r>
      <w:r>
        <w:rPr>
          <w:rFonts w:ascii="Arial" w:eastAsia="Calibri" w:hAnsi="Arial" w:cs="Arial"/>
          <w:lang w:val="es-CO" w:eastAsia="es-CO"/>
        </w:rPr>
        <w:t xml:space="preserve"> “</w:t>
      </w:r>
      <w:r w:rsidRPr="00897185">
        <w:rPr>
          <w:rFonts w:ascii="Arial" w:eastAsia="Calibri" w:hAnsi="Arial" w:cs="Arial"/>
          <w:lang w:val="es-CO" w:eastAsia="es-CO"/>
        </w:rPr>
        <w:t>A</w:t>
      </w:r>
      <w:r>
        <w:rPr>
          <w:rFonts w:ascii="Arial" w:eastAsia="Calibri" w:hAnsi="Arial" w:cs="Arial"/>
          <w:lang w:val="es-CO" w:eastAsia="es-CO"/>
        </w:rPr>
        <w:t xml:space="preserve">tención Humanitaria en las Etapas de Emergencia y Transición </w:t>
      </w:r>
      <w:r w:rsidRPr="00897185">
        <w:rPr>
          <w:rFonts w:ascii="Arial" w:eastAsia="Calibri" w:hAnsi="Arial" w:cs="Arial"/>
          <w:lang w:val="es-CO" w:eastAsia="es-CO"/>
        </w:rPr>
        <w:t>- (APD)</w:t>
      </w:r>
      <w:r>
        <w:rPr>
          <w:rFonts w:ascii="Arial" w:eastAsia="Calibri" w:hAnsi="Arial" w:cs="Arial"/>
          <w:lang w:val="es-CO" w:eastAsia="es-CO"/>
        </w:rPr>
        <w:t>”, se evidencia que de</w:t>
      </w:r>
      <w:r w:rsidRPr="00897185">
        <w:rPr>
          <w:rFonts w:ascii="Arial" w:eastAsia="Calibri" w:hAnsi="Arial" w:cs="Arial"/>
          <w:lang w:val="es-CO" w:eastAsia="es-CO"/>
        </w:rPr>
        <w:t xml:space="preserve"> $943.675.834 en compromisos se han obligado y pagado $721.653.470, </w:t>
      </w:r>
      <w:r>
        <w:rPr>
          <w:rFonts w:ascii="Arial" w:eastAsia="Calibri" w:hAnsi="Arial" w:cs="Arial"/>
          <w:lang w:val="es-CO" w:eastAsia="es-CO"/>
        </w:rPr>
        <w:t xml:space="preserve">quedando </w:t>
      </w:r>
      <w:r w:rsidRPr="00897185">
        <w:rPr>
          <w:rFonts w:ascii="Arial" w:eastAsia="Calibri" w:hAnsi="Arial" w:cs="Arial"/>
          <w:lang w:val="es-CO" w:eastAsia="es-CO"/>
        </w:rPr>
        <w:t>pend</w:t>
      </w:r>
      <w:r>
        <w:rPr>
          <w:rFonts w:ascii="Arial" w:eastAsia="Calibri" w:hAnsi="Arial" w:cs="Arial"/>
          <w:lang w:val="es-CO" w:eastAsia="es-CO"/>
        </w:rPr>
        <w:t xml:space="preserve">iente por ejecutar $222.022.364, </w:t>
      </w:r>
      <w:r w:rsidRPr="00897185">
        <w:rPr>
          <w:rFonts w:ascii="Arial" w:eastAsia="Calibri" w:hAnsi="Arial" w:cs="Arial"/>
          <w:lang w:val="es-CO" w:eastAsia="es-CO"/>
        </w:rPr>
        <w:t>equivalente al 24%</w:t>
      </w:r>
      <w:r>
        <w:rPr>
          <w:rFonts w:ascii="Arial" w:eastAsia="Calibri" w:hAnsi="Arial" w:cs="Arial"/>
          <w:lang w:val="es-CO" w:eastAsia="es-CO"/>
        </w:rPr>
        <w:t xml:space="preserve">. </w:t>
      </w:r>
      <w:r w:rsidRPr="00897185">
        <w:rPr>
          <w:rFonts w:ascii="Arial" w:eastAsia="Calibri" w:hAnsi="Arial" w:cs="Arial"/>
          <w:lang w:val="es-CO" w:eastAsia="es-CO"/>
        </w:rPr>
        <w:t xml:space="preserve"> </w:t>
      </w:r>
    </w:p>
    <w:p w:rsidR="00A732F2" w:rsidRDefault="00A732F2" w:rsidP="001C73A9">
      <w:pPr>
        <w:shd w:val="clear" w:color="auto" w:fill="FFFFFF"/>
        <w:tabs>
          <w:tab w:val="left" w:pos="1455"/>
        </w:tabs>
        <w:spacing w:after="0"/>
        <w:ind w:left="284" w:hanging="425"/>
        <w:rPr>
          <w:rFonts w:ascii="Arial" w:eastAsia="Times New Roman" w:hAnsi="Arial" w:cs="Arial"/>
          <w:b/>
          <w:lang w:val="es-CO" w:eastAsia="es-CO"/>
        </w:rPr>
      </w:pPr>
    </w:p>
    <w:p w:rsidR="005034F0" w:rsidRDefault="005034F0" w:rsidP="001C73A9">
      <w:pPr>
        <w:shd w:val="clear" w:color="auto" w:fill="FFFFFF"/>
        <w:tabs>
          <w:tab w:val="left" w:pos="1455"/>
        </w:tabs>
        <w:spacing w:after="0"/>
        <w:ind w:left="284" w:hanging="425"/>
        <w:rPr>
          <w:rFonts w:ascii="Arial" w:eastAsia="Times New Roman" w:hAnsi="Arial" w:cs="Arial"/>
          <w:b/>
          <w:lang w:val="es-CO" w:eastAsia="es-CO"/>
        </w:rPr>
      </w:pPr>
    </w:p>
    <w:p w:rsidR="00C44CC3" w:rsidRPr="00F758E0" w:rsidRDefault="00C44CC3" w:rsidP="00C44CC3">
      <w:pPr>
        <w:tabs>
          <w:tab w:val="left" w:pos="910"/>
        </w:tabs>
        <w:spacing w:after="0"/>
        <w:jc w:val="both"/>
        <w:rPr>
          <w:rFonts w:ascii="Arial" w:eastAsia="Calibri" w:hAnsi="Arial" w:cs="Arial"/>
          <w:lang w:val="es-CO" w:eastAsia="es-CO"/>
        </w:rPr>
      </w:pPr>
      <w:r w:rsidRPr="00F758E0">
        <w:rPr>
          <w:rFonts w:ascii="Arial" w:eastAsia="MS Mincho" w:hAnsi="Arial" w:cs="Arial"/>
          <w:b/>
          <w:lang w:val="es-ES" w:eastAsia="es-ES"/>
        </w:rPr>
        <w:t xml:space="preserve">Ejecución </w:t>
      </w:r>
      <w:r>
        <w:rPr>
          <w:rFonts w:ascii="Arial" w:eastAsia="MS Mincho" w:hAnsi="Arial" w:cs="Arial"/>
          <w:b/>
          <w:lang w:val="es-ES" w:eastAsia="es-ES"/>
        </w:rPr>
        <w:t>Cuentas por Pagar</w:t>
      </w:r>
      <w:r w:rsidRPr="00F758E0">
        <w:rPr>
          <w:rFonts w:ascii="Arial" w:eastAsia="MS Mincho" w:hAnsi="Arial" w:cs="Arial"/>
          <w:b/>
          <w:lang w:val="es-ES" w:eastAsia="es-ES"/>
        </w:rPr>
        <w:t xml:space="preserve"> </w:t>
      </w:r>
    </w:p>
    <w:p w:rsidR="00A732F2" w:rsidRDefault="005034F0" w:rsidP="005034F0">
      <w:pPr>
        <w:tabs>
          <w:tab w:val="left" w:pos="1875"/>
        </w:tabs>
        <w:spacing w:after="0"/>
        <w:jc w:val="both"/>
        <w:rPr>
          <w:rFonts w:ascii="Arial" w:eastAsia="Times New Roman" w:hAnsi="Arial" w:cs="Arial"/>
          <w:b/>
          <w:lang w:val="es-CO" w:eastAsia="es-CO"/>
        </w:rPr>
      </w:pPr>
      <w:r>
        <w:rPr>
          <w:rFonts w:ascii="Arial" w:eastAsia="Calibri" w:hAnsi="Arial" w:cs="Arial"/>
          <w:lang w:val="es-CO" w:eastAsia="es-CO"/>
        </w:rPr>
        <w:tab/>
      </w:r>
    </w:p>
    <w:p w:rsidR="00A732F2" w:rsidRDefault="00C44CC3" w:rsidP="001C73A9">
      <w:pPr>
        <w:shd w:val="clear" w:color="auto" w:fill="FFFFFF"/>
        <w:tabs>
          <w:tab w:val="left" w:pos="1455"/>
        </w:tabs>
        <w:spacing w:after="0"/>
        <w:ind w:left="284" w:hanging="425"/>
        <w:rPr>
          <w:rFonts w:ascii="Arial" w:eastAsia="Times New Roman" w:hAnsi="Arial" w:cs="Arial"/>
          <w:b/>
          <w:lang w:val="es-CO" w:eastAsia="es-CO"/>
        </w:rPr>
      </w:pPr>
      <w:r w:rsidRPr="00C44CC3">
        <w:drawing>
          <wp:inline distT="0" distB="0" distL="0" distR="0">
            <wp:extent cx="6199505" cy="39147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20143" cy="3927807"/>
                    </a:xfrm>
                    <a:prstGeom prst="rect">
                      <a:avLst/>
                    </a:prstGeom>
                    <a:noFill/>
                    <a:ln>
                      <a:noFill/>
                    </a:ln>
                  </pic:spPr>
                </pic:pic>
              </a:graphicData>
            </a:graphic>
          </wp:inline>
        </w:drawing>
      </w:r>
    </w:p>
    <w:p w:rsidR="005034F0" w:rsidRDefault="005034F0" w:rsidP="001C73A9">
      <w:pPr>
        <w:shd w:val="clear" w:color="auto" w:fill="FFFFFF"/>
        <w:tabs>
          <w:tab w:val="left" w:pos="1455"/>
        </w:tabs>
        <w:spacing w:after="0"/>
        <w:ind w:left="284" w:hanging="425"/>
        <w:rPr>
          <w:rFonts w:ascii="Arial" w:eastAsia="Times New Roman" w:hAnsi="Arial" w:cs="Arial"/>
          <w:b/>
          <w:lang w:val="es-CO" w:eastAsia="es-CO"/>
        </w:rPr>
      </w:pPr>
    </w:p>
    <w:p w:rsidR="005034F0" w:rsidRDefault="005034F0" w:rsidP="005034F0">
      <w:pPr>
        <w:tabs>
          <w:tab w:val="left" w:pos="910"/>
        </w:tabs>
        <w:spacing w:after="0"/>
        <w:jc w:val="both"/>
        <w:rPr>
          <w:rFonts w:ascii="Arial" w:eastAsia="Calibri" w:hAnsi="Arial" w:cs="Arial"/>
          <w:lang w:val="es-CO" w:eastAsia="es-CO"/>
        </w:rPr>
      </w:pPr>
      <w:r>
        <w:rPr>
          <w:rFonts w:ascii="Arial" w:eastAsia="Calibri" w:hAnsi="Arial" w:cs="Arial"/>
          <w:lang w:val="es-CO" w:eastAsia="es-CO"/>
        </w:rPr>
        <w:t xml:space="preserve">Por último, en </w:t>
      </w:r>
      <w:r w:rsidRPr="005034F0">
        <w:rPr>
          <w:rFonts w:ascii="Arial" w:eastAsia="Calibri" w:hAnsi="Arial" w:cs="Arial"/>
          <w:lang w:val="es-CO" w:eastAsia="es-CO"/>
        </w:rPr>
        <w:t xml:space="preserve">lo </w:t>
      </w:r>
      <w:r>
        <w:rPr>
          <w:rFonts w:ascii="Arial" w:eastAsia="Calibri" w:hAnsi="Arial" w:cs="Arial"/>
          <w:lang w:val="es-CO" w:eastAsia="es-CO"/>
        </w:rPr>
        <w:t xml:space="preserve">que concierne </w:t>
      </w:r>
      <w:r w:rsidRPr="005034F0">
        <w:rPr>
          <w:rFonts w:ascii="Arial" w:eastAsia="Calibri" w:hAnsi="Arial" w:cs="Arial"/>
          <w:lang w:val="es-CO" w:eastAsia="es-CO"/>
        </w:rPr>
        <w:t xml:space="preserve">a cuentas por pagar, </w:t>
      </w:r>
      <w:r w:rsidR="00042AE3">
        <w:rPr>
          <w:rFonts w:ascii="Arial" w:eastAsia="Calibri" w:hAnsi="Arial" w:cs="Arial"/>
          <w:lang w:val="es-CO" w:eastAsia="es-CO"/>
        </w:rPr>
        <w:t xml:space="preserve">a 30 de abril de 2016 </w:t>
      </w:r>
      <w:bookmarkStart w:id="0" w:name="_GoBack"/>
      <w:bookmarkEnd w:id="0"/>
      <w:r>
        <w:rPr>
          <w:rFonts w:ascii="Arial" w:eastAsia="Calibri" w:hAnsi="Arial" w:cs="Arial"/>
          <w:lang w:val="es-CO" w:eastAsia="es-CO"/>
        </w:rPr>
        <w:t xml:space="preserve">se registran obligaciones por $122.712.298.864,97, </w:t>
      </w:r>
      <w:r w:rsidRPr="005034F0">
        <w:rPr>
          <w:rFonts w:ascii="Arial" w:eastAsia="Calibri" w:hAnsi="Arial" w:cs="Arial"/>
          <w:lang w:val="es-CO" w:eastAsia="es-CO"/>
        </w:rPr>
        <w:t>de las cuales se han efectuado</w:t>
      </w:r>
      <w:r>
        <w:rPr>
          <w:rFonts w:ascii="Arial" w:eastAsia="Calibri" w:hAnsi="Arial" w:cs="Arial"/>
          <w:lang w:val="es-CO" w:eastAsia="es-CO"/>
        </w:rPr>
        <w:t xml:space="preserve"> pagos por $122.482.915.690,97, quedando pendiente un rezago de $229.383.174. </w:t>
      </w:r>
      <w:r w:rsidRPr="005034F0">
        <w:rPr>
          <w:rFonts w:ascii="Arial" w:eastAsia="Calibri" w:hAnsi="Arial" w:cs="Arial"/>
          <w:lang w:val="es-CO" w:eastAsia="es-CO"/>
        </w:rPr>
        <w:t xml:space="preserve"> </w:t>
      </w:r>
    </w:p>
    <w:tbl>
      <w:tblPr>
        <w:tblW w:w="10632" w:type="dxa"/>
        <w:tblInd w:w="-5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1E0" w:firstRow="1" w:lastRow="1" w:firstColumn="1" w:lastColumn="1" w:noHBand="0" w:noVBand="0"/>
      </w:tblPr>
      <w:tblGrid>
        <w:gridCol w:w="10632"/>
      </w:tblGrid>
      <w:tr w:rsidR="00DD2063" w:rsidRPr="006369FA" w:rsidTr="00430BB9">
        <w:tc>
          <w:tcPr>
            <w:tcW w:w="10632" w:type="dxa"/>
            <w:shd w:val="clear" w:color="auto" w:fill="D9D9D9"/>
          </w:tcPr>
          <w:p w:rsidR="004F3EE5" w:rsidRPr="006369FA" w:rsidRDefault="004F3EE5" w:rsidP="001C73A9">
            <w:pPr>
              <w:pStyle w:val="Prrafodelista"/>
              <w:numPr>
                <w:ilvl w:val="0"/>
                <w:numId w:val="21"/>
              </w:numPr>
              <w:spacing w:after="0"/>
              <w:ind w:left="318"/>
              <w:rPr>
                <w:rFonts w:ascii="Arial" w:hAnsi="Arial" w:cs="Arial"/>
                <w:b/>
                <w:sz w:val="20"/>
                <w:szCs w:val="20"/>
              </w:rPr>
            </w:pPr>
            <w:r w:rsidRPr="001C73A9">
              <w:rPr>
                <w:rFonts w:ascii="Arial" w:hAnsi="Arial" w:cs="Arial"/>
                <w:b/>
              </w:rPr>
              <w:lastRenderedPageBreak/>
              <w:t>Conclusiones y/o Recomendaciones</w:t>
            </w:r>
          </w:p>
        </w:tc>
      </w:tr>
      <w:tr w:rsidR="00DD2063" w:rsidRPr="006369FA" w:rsidTr="00430BB9">
        <w:tc>
          <w:tcPr>
            <w:tcW w:w="10632" w:type="dxa"/>
            <w:shd w:val="clear" w:color="auto" w:fill="auto"/>
          </w:tcPr>
          <w:p w:rsidR="001C73A9" w:rsidRDefault="001C73A9" w:rsidP="001C73A9">
            <w:pPr>
              <w:tabs>
                <w:tab w:val="left" w:pos="0"/>
              </w:tabs>
              <w:spacing w:after="0"/>
              <w:ind w:right="-1"/>
              <w:contextualSpacing/>
              <w:jc w:val="both"/>
              <w:rPr>
                <w:rFonts w:ascii="Arial" w:eastAsia="Times New Roman" w:hAnsi="Arial" w:cs="Arial"/>
                <w:lang w:val="es-CO" w:eastAsia="es-ES"/>
              </w:rPr>
            </w:pPr>
          </w:p>
          <w:p w:rsidR="001C73A9" w:rsidRPr="001C73A9" w:rsidRDefault="001C73A9" w:rsidP="001C73A9">
            <w:pPr>
              <w:tabs>
                <w:tab w:val="left" w:pos="0"/>
              </w:tabs>
              <w:spacing w:after="0"/>
              <w:ind w:right="-1"/>
              <w:contextualSpacing/>
              <w:jc w:val="both"/>
              <w:rPr>
                <w:rFonts w:ascii="Arial" w:eastAsia="Times New Roman" w:hAnsi="Arial" w:cs="Arial"/>
                <w:lang w:val="es-ES" w:eastAsia="es-ES"/>
              </w:rPr>
            </w:pPr>
            <w:r w:rsidRPr="001C73A9">
              <w:rPr>
                <w:rFonts w:ascii="Arial" w:eastAsia="Times New Roman" w:hAnsi="Arial" w:cs="Arial"/>
                <w:lang w:val="es-CO" w:eastAsia="es-ES"/>
              </w:rPr>
              <w:t xml:space="preserve">En cumplimiento al programa anual de auditorías 2016, </w:t>
            </w:r>
            <w:r w:rsidRPr="001C73A9">
              <w:rPr>
                <w:rFonts w:ascii="Arial" w:eastAsia="Times New Roman" w:hAnsi="Arial" w:cs="Arial"/>
                <w:lang w:val="es-ES" w:eastAsia="es-ES"/>
              </w:rPr>
              <w:t>la Oficina de Control Interno realizó seguimiento a los proyectos de inversión aprobados para la presente vigencia, con corte a 30 de abril de 2016.</w:t>
            </w:r>
          </w:p>
          <w:p w:rsidR="001C73A9" w:rsidRPr="001C73A9" w:rsidRDefault="001C73A9" w:rsidP="001C73A9">
            <w:pPr>
              <w:tabs>
                <w:tab w:val="left" w:pos="0"/>
              </w:tabs>
              <w:spacing w:after="0"/>
              <w:ind w:right="-1"/>
              <w:contextualSpacing/>
              <w:jc w:val="both"/>
              <w:rPr>
                <w:rFonts w:ascii="Arial" w:eastAsia="Times New Roman" w:hAnsi="Arial" w:cs="Arial"/>
                <w:lang w:val="es-ES" w:eastAsia="es-ES"/>
              </w:rPr>
            </w:pPr>
          </w:p>
          <w:p w:rsidR="001C73A9" w:rsidRPr="001C73A9" w:rsidRDefault="001C73A9" w:rsidP="001C73A9">
            <w:pPr>
              <w:tabs>
                <w:tab w:val="left" w:pos="0"/>
              </w:tabs>
              <w:spacing w:after="0"/>
              <w:ind w:right="-1"/>
              <w:contextualSpacing/>
              <w:jc w:val="both"/>
              <w:rPr>
                <w:rFonts w:ascii="Arial" w:eastAsia="Times New Roman" w:hAnsi="Arial" w:cs="Arial"/>
                <w:lang w:val="es-ES" w:eastAsia="es-ES"/>
              </w:rPr>
            </w:pPr>
            <w:r w:rsidRPr="001C73A9">
              <w:rPr>
                <w:rFonts w:ascii="Arial" w:eastAsia="Times New Roman" w:hAnsi="Arial" w:cs="Arial"/>
                <w:lang w:val="es-ES" w:eastAsia="es-ES"/>
              </w:rPr>
              <w:t>Por lo anterior, una vez realizada la verificación y el análisis de la información, se concluye lo siguiente:</w:t>
            </w:r>
          </w:p>
          <w:p w:rsidR="001C73A9" w:rsidRPr="001C73A9" w:rsidRDefault="001C73A9" w:rsidP="001C73A9">
            <w:pPr>
              <w:tabs>
                <w:tab w:val="left" w:pos="0"/>
              </w:tabs>
              <w:spacing w:after="0"/>
              <w:ind w:right="-1"/>
              <w:contextualSpacing/>
              <w:jc w:val="both"/>
              <w:rPr>
                <w:rFonts w:ascii="Arial" w:eastAsia="Times New Roman" w:hAnsi="Arial" w:cs="Arial"/>
                <w:lang w:val="es-ES" w:eastAsia="es-ES"/>
              </w:rPr>
            </w:pPr>
          </w:p>
          <w:p w:rsidR="001C73A9" w:rsidRPr="001C73A9" w:rsidRDefault="001C73A9" w:rsidP="001C73A9">
            <w:pPr>
              <w:tabs>
                <w:tab w:val="left" w:pos="910"/>
              </w:tabs>
              <w:spacing w:after="0"/>
              <w:jc w:val="both"/>
              <w:rPr>
                <w:rFonts w:ascii="Arial" w:eastAsia="Calibri" w:hAnsi="Arial" w:cs="Arial"/>
                <w:b/>
                <w:lang w:val="es-CO" w:eastAsia="es-CO"/>
              </w:rPr>
            </w:pPr>
            <w:r w:rsidRPr="001C73A9">
              <w:rPr>
                <w:rFonts w:ascii="Arial" w:eastAsia="Times New Roman" w:hAnsi="Arial" w:cs="Arial"/>
                <w:lang w:val="es-ES" w:eastAsia="es-ES"/>
              </w:rPr>
              <w:t xml:space="preserve">El presupuesto total asignado para proyectos de inversión vigencia 2016, es de </w:t>
            </w:r>
            <w:r w:rsidRPr="001C73A9">
              <w:rPr>
                <w:rFonts w:ascii="Arial" w:eastAsia="Times New Roman" w:hAnsi="Arial" w:cs="Arial"/>
                <w:b/>
                <w:lang w:val="es-ES" w:eastAsia="es-ES"/>
              </w:rPr>
              <w:t>$1.1 billones</w:t>
            </w:r>
            <w:r w:rsidRPr="001C73A9">
              <w:rPr>
                <w:rFonts w:ascii="Arial" w:eastAsia="Times New Roman" w:hAnsi="Arial" w:cs="Arial"/>
                <w:lang w:val="es-ES" w:eastAsia="es-ES"/>
              </w:rPr>
              <w:t xml:space="preserve">, de los cuales se observa </w:t>
            </w:r>
            <w:r w:rsidRPr="001C73A9">
              <w:rPr>
                <w:rFonts w:ascii="Arial" w:eastAsia="Calibri" w:hAnsi="Arial" w:cs="Arial"/>
                <w:lang w:val="es-CO" w:eastAsia="es-CO"/>
              </w:rPr>
              <w:t xml:space="preserve">un avance acumulado al primer cuatrimestre por valor de  </w:t>
            </w:r>
            <w:r w:rsidRPr="001C73A9">
              <w:rPr>
                <w:rFonts w:ascii="Arial" w:eastAsia="Calibri" w:hAnsi="Arial" w:cs="Arial"/>
                <w:b/>
                <w:lang w:val="es-CO" w:eastAsia="es-CO"/>
              </w:rPr>
              <w:t>$326.196.222.261, 60, equivalente al 29% en compromisos y 9% tanto en obligaciones como en pagos respecto a las apropiaciones vigentes</w:t>
            </w:r>
            <w:r w:rsidRPr="001C73A9">
              <w:rPr>
                <w:rFonts w:ascii="Arial" w:eastAsia="Calibri" w:hAnsi="Arial" w:cs="Arial"/>
                <w:lang w:val="es-CO" w:eastAsia="es-CO"/>
              </w:rPr>
              <w:t xml:space="preserve">. Así mismo </w:t>
            </w:r>
            <w:r w:rsidRPr="001C73A9">
              <w:rPr>
                <w:rFonts w:ascii="Arial" w:eastAsia="Times New Roman" w:hAnsi="Arial" w:cs="Arial"/>
                <w:lang w:val="es-ES" w:eastAsia="es-ES"/>
              </w:rPr>
              <w:t xml:space="preserve">en lo que resta del año </w:t>
            </w:r>
            <w:r w:rsidRPr="001C73A9">
              <w:rPr>
                <w:rFonts w:ascii="Arial" w:eastAsia="Times New Roman" w:hAnsi="Arial" w:cs="Arial"/>
                <w:b/>
                <w:lang w:val="es-ES" w:eastAsia="es-ES"/>
              </w:rPr>
              <w:t>están pendientes por comprometer $784.769.026.204.40 millones, equivalentes al</w:t>
            </w:r>
            <w:r w:rsidRPr="001C73A9">
              <w:rPr>
                <w:rFonts w:ascii="Arial" w:eastAsia="Calibri" w:hAnsi="Arial" w:cs="Arial"/>
                <w:b/>
                <w:lang w:val="es-CO" w:eastAsia="es-CO"/>
              </w:rPr>
              <w:t xml:space="preserve"> 71%.</w:t>
            </w:r>
          </w:p>
          <w:p w:rsidR="001C73A9" w:rsidRPr="001C73A9" w:rsidRDefault="001C73A9" w:rsidP="001C73A9">
            <w:pPr>
              <w:tabs>
                <w:tab w:val="left" w:pos="910"/>
              </w:tabs>
              <w:spacing w:after="0"/>
              <w:jc w:val="both"/>
              <w:rPr>
                <w:rFonts w:ascii="Arial" w:eastAsia="Calibri" w:hAnsi="Arial" w:cs="Arial"/>
                <w:lang w:val="es-CO" w:eastAsia="es-CO"/>
              </w:rPr>
            </w:pPr>
          </w:p>
          <w:p w:rsidR="001C73A9" w:rsidRPr="001C73A9" w:rsidRDefault="001C73A9" w:rsidP="001C73A9">
            <w:pPr>
              <w:tabs>
                <w:tab w:val="left" w:pos="910"/>
              </w:tabs>
              <w:spacing w:after="0"/>
              <w:jc w:val="both"/>
              <w:rPr>
                <w:rFonts w:ascii="Arial" w:eastAsia="Times New Roman" w:hAnsi="Arial" w:cs="Arial"/>
                <w:lang w:val="es-ES" w:eastAsia="es-ES"/>
              </w:rPr>
            </w:pPr>
            <w:r w:rsidRPr="001C73A9">
              <w:rPr>
                <w:rFonts w:ascii="Arial" w:eastAsia="Times New Roman" w:hAnsi="Arial" w:cs="Arial"/>
                <w:lang w:val="es-ES" w:eastAsia="es-ES"/>
              </w:rPr>
              <w:t xml:space="preserve">De igual manera, se evidencia que lo comprometido con lo obligado presenta una diferencia de </w:t>
            </w:r>
            <w:r w:rsidRPr="001C73A9">
              <w:rPr>
                <w:rFonts w:ascii="Arial" w:eastAsia="Times New Roman" w:hAnsi="Arial" w:cs="Arial"/>
                <w:b/>
                <w:lang w:val="es-ES" w:eastAsia="es-ES"/>
              </w:rPr>
              <w:t>$224.202.340.056,64, equivalente al 2%.</w:t>
            </w:r>
            <w:r w:rsidRPr="001C73A9">
              <w:rPr>
                <w:rFonts w:ascii="Arial" w:eastAsia="Times New Roman" w:hAnsi="Arial" w:cs="Arial"/>
                <w:lang w:val="es-ES" w:eastAsia="es-ES"/>
              </w:rPr>
              <w:t xml:space="preserve"> En lo que concierne a los pagos con respecto a las obligaciones, a pesar que ambos tienen un porcentaje similar (9%) con relación a las apropiaciones vigentes, entre ellos existe un rezago de </w:t>
            </w:r>
            <w:r w:rsidRPr="001C73A9">
              <w:rPr>
                <w:rFonts w:ascii="Arial" w:eastAsia="Times New Roman" w:hAnsi="Arial" w:cs="Arial"/>
                <w:b/>
                <w:lang w:val="es-ES" w:eastAsia="es-ES"/>
              </w:rPr>
              <w:t>$2.117.012.777 millones.</w:t>
            </w:r>
          </w:p>
          <w:p w:rsidR="001C73A9" w:rsidRPr="001C73A9" w:rsidRDefault="001C73A9" w:rsidP="001C73A9">
            <w:pPr>
              <w:spacing w:after="0"/>
              <w:contextualSpacing/>
              <w:jc w:val="both"/>
              <w:rPr>
                <w:rFonts w:ascii="Arial" w:eastAsia="Times New Roman" w:hAnsi="Arial" w:cs="Arial"/>
                <w:lang w:val="es-ES" w:eastAsia="es-ES"/>
              </w:rPr>
            </w:pPr>
          </w:p>
          <w:p w:rsidR="001C73A9" w:rsidRPr="001C73A9" w:rsidRDefault="001C73A9" w:rsidP="001C73A9">
            <w:pPr>
              <w:spacing w:after="0"/>
              <w:jc w:val="both"/>
              <w:rPr>
                <w:rFonts w:ascii="Arial" w:eastAsia="Times New Roman" w:hAnsi="Arial" w:cs="Arial"/>
                <w:b/>
                <w:lang w:val="es-ES" w:eastAsia="es-ES"/>
              </w:rPr>
            </w:pPr>
            <w:r w:rsidRPr="001C73A9">
              <w:rPr>
                <w:rFonts w:ascii="Arial" w:eastAsia="Times New Roman" w:hAnsi="Arial" w:cs="Arial"/>
                <w:lang w:val="es-ES" w:eastAsia="es-ES"/>
              </w:rPr>
              <w:t xml:space="preserve">Teniendo en cuenta la apropiación inicial, a 30 de abril de 2016 no se ha presentado adiciones ni reducciones al presupuesto de inversión, sin embargo para la OCI llama la atención el valor que se registra en la </w:t>
            </w:r>
            <w:r w:rsidRPr="001C73A9">
              <w:rPr>
                <w:rFonts w:ascii="Arial" w:eastAsia="Times New Roman" w:hAnsi="Arial" w:cs="Arial"/>
                <w:b/>
                <w:lang w:val="es-ES" w:eastAsia="es-ES"/>
              </w:rPr>
              <w:t xml:space="preserve">apropiación bloqueada por $ 21.936.049.679 millones, equivalente al 2% con respecto a la apropiación inicial. </w:t>
            </w:r>
          </w:p>
          <w:p w:rsidR="001C73A9" w:rsidRPr="001C73A9" w:rsidRDefault="001C73A9" w:rsidP="001C73A9">
            <w:pPr>
              <w:spacing w:after="0"/>
              <w:jc w:val="both"/>
              <w:rPr>
                <w:rFonts w:ascii="Arial" w:eastAsia="Times New Roman" w:hAnsi="Arial" w:cs="Arial"/>
                <w:b/>
                <w:lang w:val="es-ES" w:eastAsia="es-ES"/>
              </w:rPr>
            </w:pPr>
          </w:p>
          <w:p w:rsidR="001C73A9" w:rsidRPr="001C73A9" w:rsidRDefault="001C73A9" w:rsidP="001C73A9">
            <w:pPr>
              <w:spacing w:after="0"/>
              <w:jc w:val="both"/>
              <w:rPr>
                <w:rFonts w:ascii="Arial" w:eastAsia="Times New Roman" w:hAnsi="Arial" w:cs="Arial"/>
                <w:b/>
                <w:lang w:val="es-CO" w:eastAsia="es-ES"/>
              </w:rPr>
            </w:pPr>
            <w:r w:rsidRPr="001C73A9">
              <w:rPr>
                <w:rFonts w:ascii="Arial" w:eastAsia="Times New Roman" w:hAnsi="Arial" w:cs="Arial"/>
                <w:lang w:val="es-ES" w:eastAsia="es-ES"/>
              </w:rPr>
              <w:t xml:space="preserve">Así mismo, en dicha apropiación los valores más significativos lo presentan los proyectos: “Mejoramiento de los canales de atención y comunicación para las víctimas para facilitar su acceso a la oferta institucional” por </w:t>
            </w:r>
            <w:r w:rsidRPr="001C73A9">
              <w:rPr>
                <w:rFonts w:ascii="Arial" w:eastAsia="Times New Roman" w:hAnsi="Arial" w:cs="Arial"/>
                <w:b/>
                <w:lang w:val="es-ES" w:eastAsia="es-ES"/>
              </w:rPr>
              <w:t>$ 7.000.000.000</w:t>
            </w:r>
            <w:r w:rsidRPr="001C73A9">
              <w:rPr>
                <w:rFonts w:ascii="Arial" w:eastAsia="Times New Roman" w:hAnsi="Arial" w:cs="Arial"/>
                <w:lang w:val="es-ES" w:eastAsia="es-ES"/>
              </w:rPr>
              <w:t xml:space="preserve">, “Implementación del Plan Estratégico de Tecnología de Información para Asistencia. Atención y Reparación Integral a las Víctimas a Nivel Nacional” por </w:t>
            </w:r>
            <w:r w:rsidRPr="001C73A9">
              <w:rPr>
                <w:rFonts w:ascii="Arial" w:eastAsia="Times New Roman" w:hAnsi="Arial" w:cs="Arial"/>
                <w:b/>
                <w:lang w:val="es-ES" w:eastAsia="es-ES"/>
              </w:rPr>
              <w:t xml:space="preserve">$4.000.000.000, </w:t>
            </w:r>
            <w:r w:rsidRPr="001C73A9">
              <w:rPr>
                <w:rFonts w:ascii="Arial" w:eastAsia="Times New Roman" w:hAnsi="Arial" w:cs="Arial"/>
                <w:lang w:val="es-ES" w:eastAsia="es-ES"/>
              </w:rPr>
              <w:t>“</w:t>
            </w:r>
            <w:r w:rsidRPr="001C73A9">
              <w:rPr>
                <w:rFonts w:ascii="Arial" w:eastAsia="Times New Roman" w:hAnsi="Arial" w:cs="Arial"/>
                <w:lang w:val="es-CO" w:eastAsia="es-ES"/>
              </w:rPr>
              <w:t xml:space="preserve">Asistencia y Atención Integral a Víctimas a Nivel Nacional” por </w:t>
            </w:r>
            <w:r w:rsidRPr="001C73A9">
              <w:rPr>
                <w:rFonts w:ascii="Arial" w:eastAsia="Times New Roman" w:hAnsi="Arial" w:cs="Arial"/>
                <w:b/>
                <w:lang w:val="es-CO" w:eastAsia="es-ES"/>
              </w:rPr>
              <w:t xml:space="preserve">$3.500.000.000, </w:t>
            </w:r>
            <w:r w:rsidRPr="001C73A9">
              <w:rPr>
                <w:rFonts w:ascii="Arial" w:eastAsia="Times New Roman" w:hAnsi="Arial" w:cs="Arial"/>
                <w:lang w:val="es-CO" w:eastAsia="es-ES"/>
              </w:rPr>
              <w:t>“Implementación de Procesos de Retorno o Reubicación de Víctimas de Desplazamiento Forzado, en el Marco de la Reparación Integral a Nivel Nacional” por</w:t>
            </w:r>
            <w:r w:rsidRPr="001C73A9">
              <w:rPr>
                <w:rFonts w:ascii="Arial" w:eastAsia="Times New Roman" w:hAnsi="Arial" w:cs="Arial"/>
                <w:b/>
                <w:lang w:val="es-CO" w:eastAsia="es-ES"/>
              </w:rPr>
              <w:t xml:space="preserve"> $3.000.000.000</w:t>
            </w:r>
            <w:r w:rsidRPr="001C73A9">
              <w:rPr>
                <w:rFonts w:ascii="Arial" w:eastAsia="Times New Roman" w:hAnsi="Arial" w:cs="Arial"/>
                <w:lang w:val="es-CO" w:eastAsia="es-ES"/>
              </w:rPr>
              <w:t xml:space="preserve"> y</w:t>
            </w:r>
            <w:r w:rsidRPr="001C73A9">
              <w:rPr>
                <w:rFonts w:ascii="Arial" w:eastAsia="Times New Roman" w:hAnsi="Arial" w:cs="Arial"/>
                <w:b/>
                <w:lang w:val="es-CO" w:eastAsia="es-ES"/>
              </w:rPr>
              <w:t xml:space="preserve"> </w:t>
            </w:r>
            <w:r w:rsidRPr="001C73A9">
              <w:rPr>
                <w:rFonts w:ascii="Arial" w:eastAsia="Times New Roman" w:hAnsi="Arial" w:cs="Arial"/>
                <w:lang w:val="es-CO" w:eastAsia="es-ES"/>
              </w:rPr>
              <w:t>“Fortalecimiento de la Capacidad de Gestión y de la Coordinación de las Entidades del SNARIV”</w:t>
            </w:r>
            <w:r w:rsidRPr="001C73A9">
              <w:rPr>
                <w:rFonts w:ascii="Arial" w:eastAsia="Times New Roman" w:hAnsi="Arial" w:cs="Arial"/>
                <w:b/>
                <w:lang w:val="es-CO" w:eastAsia="es-ES"/>
              </w:rPr>
              <w:t xml:space="preserve"> por $2.000.000.000.</w:t>
            </w:r>
          </w:p>
          <w:p w:rsidR="001C73A9" w:rsidRPr="001C73A9" w:rsidRDefault="001C73A9" w:rsidP="001C73A9">
            <w:pPr>
              <w:tabs>
                <w:tab w:val="left" w:pos="910"/>
              </w:tabs>
              <w:spacing w:after="0"/>
              <w:jc w:val="both"/>
              <w:rPr>
                <w:rFonts w:ascii="Arial" w:eastAsia="Times New Roman" w:hAnsi="Arial" w:cs="Arial"/>
                <w:lang w:val="es-ES" w:eastAsia="es-ES"/>
              </w:rPr>
            </w:pPr>
          </w:p>
          <w:p w:rsidR="001C73A9" w:rsidRPr="001C73A9" w:rsidRDefault="001C73A9" w:rsidP="001C73A9">
            <w:pPr>
              <w:tabs>
                <w:tab w:val="left" w:pos="910"/>
              </w:tabs>
              <w:spacing w:after="0"/>
              <w:jc w:val="both"/>
              <w:rPr>
                <w:rFonts w:ascii="Arial" w:eastAsia="Times New Roman" w:hAnsi="Arial" w:cs="Arial"/>
                <w:b/>
                <w:lang w:val="es-ES" w:eastAsia="es-ES"/>
              </w:rPr>
            </w:pPr>
            <w:r w:rsidRPr="001C73A9">
              <w:rPr>
                <w:rFonts w:ascii="Arial" w:eastAsia="Times New Roman" w:hAnsi="Arial" w:cs="Arial"/>
                <w:lang w:val="es-ES" w:eastAsia="es-ES"/>
              </w:rPr>
              <w:t xml:space="preserve">En lo que respecta al avance financiero, según lo registrado en el SPI (Seguimiento a Proyectos de Inversión) del Departamento Nacional de Planeación, de los trece (13) proyectos de inversión, tres están por debajo del 8%; tres por debajo del 7%; dos por debajo del 2.5%; uno no presentó avance (0%), los cuatro (4) restantes están en su orden ascendente así: 10.27%, 13.16%, 14.33% y 20.89%. </w:t>
            </w:r>
            <w:r w:rsidRPr="001C73A9">
              <w:rPr>
                <w:rFonts w:ascii="Arial" w:eastAsia="Times New Roman" w:hAnsi="Arial" w:cs="Arial"/>
                <w:b/>
                <w:lang w:val="es-ES" w:eastAsia="es-ES"/>
              </w:rPr>
              <w:t>Finalizado el primer cuatrimestre de 2016, el promedio general de avance financiero es del 9.2%</w:t>
            </w:r>
            <w:r>
              <w:rPr>
                <w:rFonts w:ascii="Arial" w:eastAsia="Times New Roman" w:hAnsi="Arial" w:cs="Arial"/>
                <w:b/>
                <w:lang w:val="es-ES" w:eastAsia="es-ES"/>
              </w:rPr>
              <w:t>.</w:t>
            </w:r>
          </w:p>
          <w:p w:rsidR="001C73A9" w:rsidRDefault="001C73A9" w:rsidP="001C73A9">
            <w:pPr>
              <w:spacing w:after="0"/>
              <w:jc w:val="both"/>
              <w:rPr>
                <w:rFonts w:ascii="Arial" w:eastAsia="Times New Roman" w:hAnsi="Arial" w:cs="Arial"/>
                <w:lang w:val="es-CO" w:eastAsia="es-ES"/>
              </w:rPr>
            </w:pPr>
          </w:p>
          <w:p w:rsidR="001C73A9" w:rsidRPr="001C73A9" w:rsidRDefault="001C73A9" w:rsidP="001C73A9">
            <w:pPr>
              <w:spacing w:after="0"/>
              <w:jc w:val="both"/>
              <w:rPr>
                <w:rFonts w:ascii="Arial" w:eastAsia="Times New Roman" w:hAnsi="Arial" w:cs="Arial"/>
                <w:b/>
                <w:lang w:val="es-CO" w:eastAsia="es-ES"/>
              </w:rPr>
            </w:pPr>
            <w:r w:rsidRPr="001C73A9">
              <w:rPr>
                <w:rFonts w:ascii="Arial" w:eastAsia="Times New Roman" w:hAnsi="Arial" w:cs="Arial"/>
                <w:lang w:val="es-CO" w:eastAsia="es-ES"/>
              </w:rPr>
              <w:t xml:space="preserve">En lo concerniente a cuentas por pagar, se registran obligaciones por $122.712.298.864,97 de las cuales se han efectuado pagos por $122.482.915.690,97, </w:t>
            </w:r>
            <w:r w:rsidRPr="001C73A9">
              <w:rPr>
                <w:rFonts w:ascii="Arial" w:eastAsia="Times New Roman" w:hAnsi="Arial" w:cs="Arial"/>
                <w:b/>
                <w:lang w:val="es-CO" w:eastAsia="es-ES"/>
              </w:rPr>
              <w:t xml:space="preserve">quedando pendiente un rezago de  $229.383.174, </w:t>
            </w:r>
            <w:r w:rsidRPr="001C73A9">
              <w:rPr>
                <w:rFonts w:ascii="Arial" w:eastAsia="Times New Roman" w:hAnsi="Arial" w:cs="Arial"/>
                <w:lang w:val="es-CO" w:eastAsia="es-ES"/>
              </w:rPr>
              <w:t xml:space="preserve">donde </w:t>
            </w:r>
            <w:r w:rsidRPr="001C73A9">
              <w:rPr>
                <w:rFonts w:ascii="Arial" w:eastAsia="Times New Roman" w:hAnsi="Arial" w:cs="Arial"/>
                <w:b/>
                <w:lang w:val="es-CO" w:eastAsia="es-ES"/>
              </w:rPr>
              <w:t xml:space="preserve">“Atención Humanitaria en las Etapas de Emergencia y Transición –(APD)” </w:t>
            </w:r>
            <w:r w:rsidRPr="001C73A9">
              <w:rPr>
                <w:rFonts w:ascii="Arial" w:eastAsia="Times New Roman" w:hAnsi="Arial" w:cs="Arial"/>
                <w:lang w:val="es-CO" w:eastAsia="es-ES"/>
              </w:rPr>
              <w:t>representa la cuenta más significativa</w:t>
            </w:r>
            <w:r w:rsidRPr="001C73A9">
              <w:rPr>
                <w:rFonts w:ascii="Arial" w:eastAsia="Times New Roman" w:hAnsi="Arial" w:cs="Arial"/>
                <w:b/>
                <w:lang w:val="es-CO" w:eastAsia="es-ES"/>
              </w:rPr>
              <w:t xml:space="preserve"> </w:t>
            </w:r>
            <w:r w:rsidRPr="001C73A9">
              <w:rPr>
                <w:rFonts w:ascii="Arial" w:eastAsia="Times New Roman" w:hAnsi="Arial" w:cs="Arial"/>
                <w:lang w:val="es-CO" w:eastAsia="es-ES"/>
              </w:rPr>
              <w:t xml:space="preserve">por </w:t>
            </w:r>
            <w:r w:rsidRPr="001C73A9">
              <w:rPr>
                <w:rFonts w:ascii="Arial" w:eastAsia="Times New Roman" w:hAnsi="Arial" w:cs="Arial"/>
                <w:b/>
                <w:lang w:val="es-CO" w:eastAsia="es-ES"/>
              </w:rPr>
              <w:t>$205.581.174.</w:t>
            </w:r>
          </w:p>
          <w:p w:rsidR="001C73A9" w:rsidRPr="001C73A9" w:rsidRDefault="001C73A9" w:rsidP="001C73A9">
            <w:pPr>
              <w:spacing w:after="0"/>
              <w:jc w:val="both"/>
              <w:rPr>
                <w:rFonts w:ascii="Arial" w:eastAsia="Times New Roman" w:hAnsi="Arial" w:cs="Arial"/>
                <w:b/>
                <w:lang w:val="es-CO" w:eastAsia="es-ES"/>
              </w:rPr>
            </w:pPr>
          </w:p>
          <w:p w:rsidR="001C73A9" w:rsidRPr="001C73A9" w:rsidRDefault="001C73A9" w:rsidP="001C73A9">
            <w:pPr>
              <w:spacing w:after="0"/>
              <w:jc w:val="both"/>
              <w:rPr>
                <w:rFonts w:ascii="Arial" w:eastAsia="Times New Roman" w:hAnsi="Arial" w:cs="Arial"/>
                <w:b/>
                <w:lang w:val="es-CO" w:eastAsia="es-ES"/>
              </w:rPr>
            </w:pPr>
            <w:r w:rsidRPr="001C73A9">
              <w:rPr>
                <w:rFonts w:ascii="Arial" w:eastAsia="Times New Roman" w:hAnsi="Arial" w:cs="Arial"/>
                <w:lang w:val="es-CO" w:eastAsia="es-ES"/>
              </w:rPr>
              <w:t xml:space="preserve">En cuanto a la reserva presupuestal, cumplido el primer cuatrimestre de 2016, </w:t>
            </w:r>
            <w:r w:rsidRPr="001C73A9">
              <w:rPr>
                <w:rFonts w:ascii="Arial" w:eastAsia="Times New Roman" w:hAnsi="Arial" w:cs="Arial"/>
                <w:b/>
                <w:lang w:val="es-CO" w:eastAsia="es-ES"/>
              </w:rPr>
              <w:t xml:space="preserve">de $943.675.834 en compromisos se han obligado y pagado $721.653.470, </w:t>
            </w:r>
            <w:r w:rsidRPr="001C73A9">
              <w:rPr>
                <w:rFonts w:ascii="Arial" w:eastAsia="Times New Roman" w:hAnsi="Arial" w:cs="Arial"/>
                <w:lang w:val="es-CO" w:eastAsia="es-ES"/>
              </w:rPr>
              <w:t>de lo cual queda</w:t>
            </w:r>
            <w:r w:rsidRPr="001C73A9">
              <w:rPr>
                <w:rFonts w:ascii="Arial" w:eastAsia="Times New Roman" w:hAnsi="Arial" w:cs="Arial"/>
                <w:b/>
                <w:lang w:val="es-CO" w:eastAsia="es-ES"/>
              </w:rPr>
              <w:t xml:space="preserve"> pendiente por ejecutar $222.022.364, equivalente al 24% . </w:t>
            </w:r>
          </w:p>
          <w:p w:rsidR="001C73A9" w:rsidRPr="001C73A9" w:rsidRDefault="001C73A9" w:rsidP="001C73A9">
            <w:pPr>
              <w:tabs>
                <w:tab w:val="left" w:pos="1665"/>
              </w:tabs>
              <w:spacing w:after="0"/>
              <w:ind w:left="284"/>
              <w:jc w:val="both"/>
              <w:rPr>
                <w:rFonts w:ascii="Arial" w:eastAsia="Times New Roman" w:hAnsi="Arial" w:cs="Arial"/>
                <w:b/>
                <w:lang w:val="es-CO" w:eastAsia="es-ES"/>
              </w:rPr>
            </w:pPr>
            <w:r w:rsidRPr="001C73A9">
              <w:rPr>
                <w:rFonts w:ascii="Arial" w:eastAsia="Times New Roman" w:hAnsi="Arial" w:cs="Arial"/>
                <w:b/>
                <w:lang w:val="es-CO" w:eastAsia="es-ES"/>
              </w:rPr>
              <w:tab/>
            </w:r>
          </w:p>
          <w:p w:rsidR="001C73A9" w:rsidRPr="001C73A9" w:rsidRDefault="001C73A9" w:rsidP="001C73A9">
            <w:pPr>
              <w:spacing w:after="0"/>
              <w:ind w:left="284"/>
              <w:jc w:val="both"/>
              <w:rPr>
                <w:rFonts w:ascii="Arial" w:eastAsia="Times New Roman" w:hAnsi="Arial" w:cs="Arial"/>
                <w:b/>
                <w:lang w:val="es-CO" w:eastAsia="es-ES"/>
              </w:rPr>
            </w:pPr>
          </w:p>
          <w:p w:rsidR="001C73A9" w:rsidRPr="001C73A9" w:rsidRDefault="001C73A9" w:rsidP="001C73A9">
            <w:pPr>
              <w:numPr>
                <w:ilvl w:val="0"/>
                <w:numId w:val="50"/>
              </w:numPr>
              <w:tabs>
                <w:tab w:val="left" w:pos="6255"/>
              </w:tabs>
              <w:spacing w:after="0"/>
              <w:contextualSpacing/>
              <w:jc w:val="both"/>
              <w:rPr>
                <w:rFonts w:ascii="Arial" w:eastAsia="Times New Roman" w:hAnsi="Arial" w:cs="Arial"/>
                <w:lang w:val="es-ES" w:eastAsia="es-ES"/>
              </w:rPr>
            </w:pPr>
            <w:r w:rsidRPr="001C73A9">
              <w:rPr>
                <w:rFonts w:ascii="Arial" w:eastAsia="Times New Roman" w:hAnsi="Arial" w:cs="Arial"/>
                <w:lang w:val="es-CO" w:eastAsia="es-ES"/>
              </w:rPr>
              <w:t xml:space="preserve">Se recomienda gestionar las acciones necesarias para comprometer y ejecutar en lo que resta de la vigencia 2016 los </w:t>
            </w:r>
            <w:r w:rsidRPr="001C73A9">
              <w:rPr>
                <w:rFonts w:ascii="Arial" w:eastAsia="Times New Roman" w:hAnsi="Arial" w:cs="Arial"/>
                <w:lang w:val="es-ES" w:eastAsia="es-ES"/>
              </w:rPr>
              <w:t xml:space="preserve">$784.769.026.204.40, con el fin de que se logre cumplir lo proyectado. </w:t>
            </w:r>
          </w:p>
          <w:p w:rsidR="001C73A9" w:rsidRPr="001C73A9" w:rsidRDefault="001C73A9" w:rsidP="001C73A9">
            <w:pPr>
              <w:tabs>
                <w:tab w:val="left" w:pos="6255"/>
              </w:tabs>
              <w:spacing w:after="0"/>
              <w:ind w:left="720"/>
              <w:contextualSpacing/>
              <w:jc w:val="both"/>
              <w:rPr>
                <w:rFonts w:ascii="Arial" w:eastAsia="Times New Roman" w:hAnsi="Arial" w:cs="Arial"/>
                <w:b/>
                <w:lang w:val="es-ES" w:eastAsia="es-ES"/>
              </w:rPr>
            </w:pPr>
          </w:p>
          <w:p w:rsidR="001C73A9" w:rsidRPr="001C73A9" w:rsidRDefault="001C73A9" w:rsidP="001C73A9">
            <w:pPr>
              <w:numPr>
                <w:ilvl w:val="0"/>
                <w:numId w:val="50"/>
              </w:numPr>
              <w:tabs>
                <w:tab w:val="left" w:pos="910"/>
              </w:tabs>
              <w:spacing w:after="0"/>
              <w:contextualSpacing/>
              <w:jc w:val="both"/>
              <w:rPr>
                <w:rFonts w:ascii="Arial" w:eastAsia="Times New Roman" w:hAnsi="Arial" w:cs="Arial"/>
                <w:lang w:val="es-ES" w:eastAsia="es-ES"/>
              </w:rPr>
            </w:pPr>
            <w:r w:rsidRPr="001C73A9">
              <w:rPr>
                <w:rFonts w:ascii="Arial" w:eastAsia="Times New Roman" w:hAnsi="Arial" w:cs="Arial"/>
                <w:lang w:val="es-ES" w:eastAsia="es-ES"/>
              </w:rPr>
              <w:t>Se recomienda adelantar las acciones pertinentes que permitan equilibrar la diferencia ($224.202.340.056,64) que se presentó en el primer cuatrimestre tanto en lo comprometido con lo obligado como en el rezago ($2.117.012.777) que se tiene actualmente en los pagos con respecto a las obligaciones.</w:t>
            </w:r>
          </w:p>
          <w:p w:rsidR="001C73A9" w:rsidRPr="001C73A9" w:rsidRDefault="001C73A9" w:rsidP="001C73A9">
            <w:pPr>
              <w:spacing w:after="0"/>
              <w:ind w:left="720"/>
              <w:contextualSpacing/>
              <w:rPr>
                <w:rFonts w:ascii="Arial" w:eastAsia="Times New Roman" w:hAnsi="Arial" w:cs="Arial"/>
                <w:lang w:val="es-ES" w:eastAsia="es-ES"/>
              </w:rPr>
            </w:pPr>
          </w:p>
          <w:p w:rsidR="001C73A9" w:rsidRPr="001C73A9" w:rsidRDefault="001C73A9" w:rsidP="001C73A9">
            <w:pPr>
              <w:numPr>
                <w:ilvl w:val="0"/>
                <w:numId w:val="50"/>
              </w:numPr>
              <w:tabs>
                <w:tab w:val="left" w:pos="910"/>
              </w:tabs>
              <w:spacing w:after="0"/>
              <w:contextualSpacing/>
              <w:jc w:val="both"/>
              <w:rPr>
                <w:rFonts w:ascii="Arial" w:eastAsia="Times New Roman" w:hAnsi="Arial" w:cs="Arial"/>
                <w:lang w:val="es-ES" w:eastAsia="es-ES"/>
              </w:rPr>
            </w:pPr>
            <w:r w:rsidRPr="001C73A9">
              <w:rPr>
                <w:rFonts w:ascii="Arial" w:eastAsia="Times New Roman" w:hAnsi="Arial" w:cs="Arial"/>
                <w:lang w:val="es-ES" w:eastAsia="es-ES"/>
              </w:rPr>
              <w:t>Se recomienda verificar, analizar y tomar decisiones en la brevedad posible que conlleven a la reducción de la apropiación bloqueada que se tiene actualmente en nueve (9) de los trece (13) proyectos de inversión, por $21.936.049.679.</w:t>
            </w:r>
          </w:p>
          <w:p w:rsidR="001C73A9" w:rsidRPr="001C73A9" w:rsidRDefault="001C73A9" w:rsidP="001C73A9">
            <w:pPr>
              <w:spacing w:after="0"/>
              <w:ind w:left="720"/>
              <w:contextualSpacing/>
              <w:rPr>
                <w:rFonts w:ascii="Arial" w:eastAsia="Times New Roman" w:hAnsi="Arial" w:cs="Arial"/>
                <w:lang w:val="es-ES" w:eastAsia="es-ES"/>
              </w:rPr>
            </w:pPr>
          </w:p>
          <w:p w:rsidR="001C73A9" w:rsidRPr="001C73A9" w:rsidRDefault="001C73A9" w:rsidP="001C73A9">
            <w:pPr>
              <w:numPr>
                <w:ilvl w:val="0"/>
                <w:numId w:val="50"/>
              </w:numPr>
              <w:tabs>
                <w:tab w:val="left" w:pos="910"/>
              </w:tabs>
              <w:spacing w:after="0"/>
              <w:contextualSpacing/>
              <w:jc w:val="both"/>
              <w:rPr>
                <w:rFonts w:ascii="Arial" w:eastAsia="Times New Roman" w:hAnsi="Arial" w:cs="Arial"/>
                <w:lang w:val="es-ES" w:eastAsia="es-ES"/>
              </w:rPr>
            </w:pPr>
            <w:r w:rsidRPr="001C73A9">
              <w:rPr>
                <w:rFonts w:ascii="Arial" w:eastAsia="Times New Roman" w:hAnsi="Arial" w:cs="Arial"/>
                <w:lang w:val="es-ES" w:eastAsia="es-ES"/>
              </w:rPr>
              <w:t>Se recomienda en lo que resta de la vigencia 2016, analizar, gestionar y agilizar las acciones necesarias que permitan tomar decisiones acertadas para acelerar de manera eficiente, eficaz y efectiva los avances financieros que actualmente están por debajo del promedio general.</w:t>
            </w:r>
          </w:p>
          <w:p w:rsidR="001C73A9" w:rsidRPr="001C73A9" w:rsidRDefault="001C73A9" w:rsidP="001C73A9">
            <w:pPr>
              <w:spacing w:after="0"/>
              <w:ind w:left="720"/>
              <w:contextualSpacing/>
              <w:rPr>
                <w:rFonts w:ascii="Arial" w:eastAsia="Times New Roman" w:hAnsi="Arial" w:cs="Arial"/>
                <w:lang w:val="es-ES" w:eastAsia="es-ES"/>
              </w:rPr>
            </w:pPr>
          </w:p>
          <w:p w:rsidR="001C73A9" w:rsidRPr="00A732F2" w:rsidRDefault="001C73A9" w:rsidP="00F03455">
            <w:pPr>
              <w:numPr>
                <w:ilvl w:val="0"/>
                <w:numId w:val="50"/>
              </w:numPr>
              <w:tabs>
                <w:tab w:val="left" w:pos="910"/>
              </w:tabs>
              <w:spacing w:after="0"/>
              <w:contextualSpacing/>
              <w:jc w:val="both"/>
              <w:rPr>
                <w:rFonts w:ascii="Arial" w:eastAsia="Times New Roman" w:hAnsi="Arial" w:cs="Arial"/>
                <w:lang w:val="es-ES" w:eastAsia="es-ES"/>
              </w:rPr>
            </w:pPr>
            <w:r w:rsidRPr="00A732F2">
              <w:rPr>
                <w:rFonts w:ascii="Arial" w:eastAsia="Times New Roman" w:hAnsi="Arial" w:cs="Arial"/>
                <w:lang w:val="es-ES" w:eastAsia="es-ES"/>
              </w:rPr>
              <w:t xml:space="preserve">Se recomienda cumplir en la brevedad posible con el pago de la totalidad del rezago </w:t>
            </w:r>
            <w:r w:rsidR="00A732F2">
              <w:rPr>
                <w:rFonts w:ascii="Arial" w:eastAsia="Times New Roman" w:hAnsi="Arial" w:cs="Arial"/>
                <w:lang w:val="es-ES" w:eastAsia="es-ES"/>
              </w:rPr>
              <w:t>presupuestal</w:t>
            </w:r>
            <w:r w:rsidR="00A732F2" w:rsidRPr="00A732F2">
              <w:rPr>
                <w:rFonts w:ascii="Arial" w:eastAsia="Times New Roman" w:hAnsi="Arial" w:cs="Arial"/>
                <w:lang w:val="es-ES" w:eastAsia="es-ES"/>
              </w:rPr>
              <w:t>.</w:t>
            </w:r>
          </w:p>
          <w:p w:rsidR="00206544" w:rsidRPr="001C73A9" w:rsidRDefault="00206544" w:rsidP="00A732F2">
            <w:pPr>
              <w:spacing w:after="0"/>
              <w:jc w:val="both"/>
              <w:rPr>
                <w:rFonts w:ascii="Arial" w:hAnsi="Arial" w:cs="Arial"/>
                <w:sz w:val="20"/>
                <w:szCs w:val="20"/>
                <w:lang w:val="es-CO"/>
              </w:rPr>
            </w:pPr>
          </w:p>
        </w:tc>
      </w:tr>
    </w:tbl>
    <w:p w:rsidR="003F7AA0" w:rsidRDefault="003F7AA0" w:rsidP="00FE4F31">
      <w:pPr>
        <w:spacing w:after="0"/>
        <w:ind w:left="-567"/>
        <w:rPr>
          <w:rFonts w:ascii="Arial" w:hAnsi="Arial" w:cs="Arial"/>
          <w:b/>
          <w:sz w:val="16"/>
          <w:szCs w:val="16"/>
        </w:rPr>
      </w:pPr>
    </w:p>
    <w:p w:rsidR="001C73A9" w:rsidRDefault="001C73A9" w:rsidP="00FE4F31">
      <w:pPr>
        <w:spacing w:after="0"/>
        <w:ind w:left="-567"/>
        <w:rPr>
          <w:rFonts w:ascii="Arial" w:hAnsi="Arial" w:cs="Arial"/>
          <w:b/>
          <w:sz w:val="22"/>
          <w:szCs w:val="22"/>
        </w:rPr>
      </w:pPr>
    </w:p>
    <w:p w:rsidR="00430BB9" w:rsidRPr="001C73A9" w:rsidRDefault="00430BB9" w:rsidP="00FE4F31">
      <w:pPr>
        <w:spacing w:after="0"/>
        <w:ind w:left="-567"/>
        <w:rPr>
          <w:rFonts w:ascii="Arial" w:hAnsi="Arial" w:cs="Arial"/>
          <w:b/>
          <w:sz w:val="22"/>
          <w:szCs w:val="22"/>
        </w:rPr>
      </w:pPr>
      <w:r w:rsidRPr="001C73A9">
        <w:rPr>
          <w:rFonts w:ascii="Arial" w:hAnsi="Arial" w:cs="Arial"/>
          <w:b/>
          <w:sz w:val="22"/>
          <w:szCs w:val="22"/>
        </w:rPr>
        <w:t>ANEXOS</w:t>
      </w:r>
    </w:p>
    <w:p w:rsidR="00430BB9" w:rsidRPr="001C73A9" w:rsidRDefault="00430BB9" w:rsidP="00FE4F31">
      <w:pPr>
        <w:pStyle w:val="Prrafodelista"/>
        <w:ind w:left="-567"/>
        <w:rPr>
          <w:sz w:val="22"/>
          <w:szCs w:val="22"/>
        </w:rPr>
      </w:pPr>
    </w:p>
    <w:p w:rsidR="00430BB9" w:rsidRPr="001C73A9" w:rsidRDefault="00430BB9" w:rsidP="00FE4F31">
      <w:pPr>
        <w:pStyle w:val="Prrafodelista"/>
        <w:ind w:left="-567"/>
        <w:rPr>
          <w:rFonts w:ascii="Arial" w:hAnsi="Arial" w:cs="Arial"/>
          <w:b/>
          <w:sz w:val="22"/>
          <w:szCs w:val="22"/>
        </w:rPr>
      </w:pPr>
      <w:r w:rsidRPr="001C73A9">
        <w:rPr>
          <w:rFonts w:ascii="Arial" w:hAnsi="Arial" w:cs="Arial"/>
          <w:b/>
          <w:bCs/>
          <w:sz w:val="22"/>
          <w:szCs w:val="22"/>
          <w:lang w:val="es-CO" w:eastAsia="es-ES"/>
        </w:rPr>
        <w:t xml:space="preserve">ANEXO 1: </w:t>
      </w:r>
      <w:r w:rsidRPr="001C73A9">
        <w:rPr>
          <w:rFonts w:ascii="Arial" w:hAnsi="Arial" w:cs="Arial"/>
          <w:b/>
          <w:sz w:val="22"/>
          <w:szCs w:val="22"/>
        </w:rPr>
        <w:t>CONTROL DE CAMBIOS</w:t>
      </w:r>
    </w:p>
    <w:p w:rsidR="00430BB9" w:rsidRPr="003F7AA0" w:rsidRDefault="00430BB9" w:rsidP="00430BB9">
      <w:pPr>
        <w:pStyle w:val="Prrafodelista"/>
        <w:ind w:left="-142"/>
        <w:rPr>
          <w:rFonts w:ascii="Arial" w:hAnsi="Arial" w:cs="Arial"/>
          <w:b/>
          <w:sz w:val="16"/>
          <w:szCs w:val="16"/>
        </w:rPr>
      </w:pPr>
    </w:p>
    <w:tbl>
      <w:tblPr>
        <w:tblW w:w="5591"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0"/>
        <w:gridCol w:w="1695"/>
        <w:gridCol w:w="2790"/>
        <w:gridCol w:w="2586"/>
        <w:gridCol w:w="1771"/>
      </w:tblGrid>
      <w:tr w:rsidR="00430BB9" w:rsidRPr="003F7AA0" w:rsidTr="00430BB9">
        <w:tc>
          <w:tcPr>
            <w:tcW w:w="84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Versión</w:t>
            </w:r>
          </w:p>
        </w:tc>
        <w:tc>
          <w:tcPr>
            <w:tcW w:w="797"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Ítem del cambio</w:t>
            </w:r>
          </w:p>
        </w:tc>
        <w:tc>
          <w:tcPr>
            <w:tcW w:w="1312"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Cambio realizado</w:t>
            </w:r>
          </w:p>
        </w:tc>
        <w:tc>
          <w:tcPr>
            <w:tcW w:w="1216"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Motivo del cambio</w:t>
            </w:r>
          </w:p>
        </w:tc>
        <w:tc>
          <w:tcPr>
            <w:tcW w:w="833" w:type="pct"/>
            <w:shd w:val="clear" w:color="auto" w:fill="F2DBDB"/>
            <w:vAlign w:val="center"/>
          </w:tcPr>
          <w:p w:rsidR="00430BB9" w:rsidRPr="003F7AA0" w:rsidRDefault="00430BB9" w:rsidP="000B3B88">
            <w:pPr>
              <w:pStyle w:val="Prrafodelista"/>
              <w:spacing w:after="0"/>
              <w:ind w:left="0"/>
              <w:jc w:val="center"/>
              <w:rPr>
                <w:rFonts w:ascii="Arial" w:hAnsi="Arial" w:cs="Arial"/>
                <w:b/>
                <w:sz w:val="18"/>
                <w:szCs w:val="18"/>
              </w:rPr>
            </w:pPr>
            <w:r w:rsidRPr="003F7AA0">
              <w:rPr>
                <w:rFonts w:ascii="Arial" w:hAnsi="Arial" w:cs="Arial"/>
                <w:b/>
                <w:sz w:val="18"/>
                <w:szCs w:val="18"/>
              </w:rPr>
              <w:t>Fecha del cambio</w:t>
            </w:r>
          </w:p>
        </w:tc>
      </w:tr>
      <w:tr w:rsidR="00430BB9" w:rsidRPr="003F7AA0" w:rsidTr="00060535">
        <w:tc>
          <w:tcPr>
            <w:tcW w:w="842" w:type="pct"/>
            <w:shd w:val="clear" w:color="auto" w:fill="auto"/>
            <w:vAlign w:val="center"/>
          </w:tcPr>
          <w:p w:rsidR="00430BB9" w:rsidRPr="003F7AA0" w:rsidRDefault="00060535" w:rsidP="00060535">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02</w:t>
            </w:r>
          </w:p>
        </w:tc>
        <w:tc>
          <w:tcPr>
            <w:tcW w:w="797" w:type="pct"/>
            <w:shd w:val="clear" w:color="auto" w:fill="auto"/>
            <w:vAlign w:val="center"/>
          </w:tcPr>
          <w:p w:rsidR="00430BB9" w:rsidRPr="003F7AA0" w:rsidRDefault="00430BB9" w:rsidP="000B3B88">
            <w:pPr>
              <w:pStyle w:val="Prrafodelista"/>
              <w:spacing w:after="0"/>
              <w:ind w:left="0"/>
              <w:rPr>
                <w:rFonts w:ascii="Arial Narrow" w:hAnsi="Arial Narrow" w:cs="Arial"/>
                <w:sz w:val="18"/>
                <w:szCs w:val="18"/>
                <w:lang w:val="es-CO" w:eastAsia="es-CO"/>
              </w:rPr>
            </w:pPr>
          </w:p>
        </w:tc>
        <w:tc>
          <w:tcPr>
            <w:tcW w:w="1312" w:type="pct"/>
            <w:shd w:val="clear" w:color="auto" w:fill="auto"/>
            <w:vAlign w:val="center"/>
          </w:tcPr>
          <w:p w:rsidR="00430BB9" w:rsidRPr="003F7AA0" w:rsidRDefault="00060535" w:rsidP="00060535">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Se elimina la casilla fecha del informe.</w:t>
            </w:r>
          </w:p>
        </w:tc>
        <w:tc>
          <w:tcPr>
            <w:tcW w:w="1216" w:type="pct"/>
            <w:shd w:val="clear" w:color="auto" w:fill="auto"/>
          </w:tcPr>
          <w:p w:rsidR="00430BB9" w:rsidRPr="003F7AA0" w:rsidRDefault="00060535" w:rsidP="000B3B88">
            <w:pPr>
              <w:pStyle w:val="Prrafodelista"/>
              <w:spacing w:after="0"/>
              <w:ind w:left="0"/>
              <w:rPr>
                <w:rFonts w:ascii="Arial Narrow" w:hAnsi="Arial Narrow" w:cs="Arial"/>
                <w:sz w:val="18"/>
                <w:szCs w:val="18"/>
                <w:lang w:val="es-CO" w:eastAsia="es-CO"/>
              </w:rPr>
            </w:pPr>
            <w:r w:rsidRPr="003F7AA0">
              <w:rPr>
                <w:rFonts w:ascii="Arial Narrow" w:hAnsi="Arial Narrow" w:cs="Arial"/>
                <w:sz w:val="18"/>
                <w:szCs w:val="18"/>
                <w:lang w:val="es-CO" w:eastAsia="es-CO"/>
              </w:rPr>
              <w:t>Al revisar el formato se evidencia que la casilla fecha del informe esta repetida.</w:t>
            </w:r>
          </w:p>
        </w:tc>
        <w:tc>
          <w:tcPr>
            <w:tcW w:w="833" w:type="pct"/>
            <w:shd w:val="clear" w:color="auto" w:fill="auto"/>
            <w:vAlign w:val="center"/>
          </w:tcPr>
          <w:p w:rsidR="00430BB9" w:rsidRPr="003F7AA0" w:rsidRDefault="00F677DF" w:rsidP="000B3B88">
            <w:pPr>
              <w:pStyle w:val="Prrafodelista"/>
              <w:spacing w:after="0"/>
              <w:ind w:left="0"/>
              <w:jc w:val="center"/>
              <w:rPr>
                <w:rFonts w:ascii="Arial Narrow" w:hAnsi="Arial Narrow" w:cs="Arial"/>
                <w:sz w:val="18"/>
                <w:szCs w:val="18"/>
                <w:lang w:val="es-CO" w:eastAsia="es-CO"/>
              </w:rPr>
            </w:pPr>
            <w:r w:rsidRPr="003F7AA0">
              <w:rPr>
                <w:rFonts w:ascii="Arial Narrow" w:hAnsi="Arial Narrow" w:cs="Arial"/>
                <w:sz w:val="18"/>
                <w:szCs w:val="18"/>
                <w:lang w:val="es-CO" w:eastAsia="es-CO"/>
              </w:rPr>
              <w:t>09</w:t>
            </w:r>
            <w:r w:rsidR="00060535" w:rsidRPr="003F7AA0">
              <w:rPr>
                <w:rFonts w:ascii="Arial Narrow" w:hAnsi="Arial Narrow" w:cs="Arial"/>
                <w:sz w:val="18"/>
                <w:szCs w:val="18"/>
                <w:lang w:val="es-CO" w:eastAsia="es-CO"/>
              </w:rPr>
              <w:t>/03/2015</w:t>
            </w:r>
          </w:p>
        </w:tc>
      </w:tr>
    </w:tbl>
    <w:p w:rsidR="00430BB9" w:rsidRPr="003F7AA0" w:rsidRDefault="00430BB9" w:rsidP="00DD2063">
      <w:pPr>
        <w:spacing w:after="0"/>
        <w:rPr>
          <w:rFonts w:ascii="Arial Narrow" w:hAnsi="Arial Narrow"/>
          <w:b/>
          <w:sz w:val="16"/>
          <w:szCs w:val="16"/>
        </w:rPr>
      </w:pPr>
    </w:p>
    <w:sectPr w:rsidR="00430BB9" w:rsidRPr="003F7AA0" w:rsidSect="0082203A">
      <w:headerReference w:type="even" r:id="rId29"/>
      <w:headerReference w:type="default" r:id="rId30"/>
      <w:headerReference w:type="first" r:id="rId31"/>
      <w:pgSz w:w="12240" w:h="15840"/>
      <w:pgMar w:top="1191" w:right="1304" w:bottom="1134" w:left="1418"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3FC3" w:rsidRDefault="00E33FC3">
      <w:pPr>
        <w:spacing w:after="0"/>
      </w:pPr>
      <w:r>
        <w:separator/>
      </w:r>
    </w:p>
  </w:endnote>
  <w:endnote w:type="continuationSeparator" w:id="0">
    <w:p w:rsidR="00E33FC3" w:rsidRDefault="00E33F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3FC3" w:rsidRDefault="00E33FC3">
      <w:pPr>
        <w:spacing w:after="0"/>
      </w:pPr>
      <w:r>
        <w:separator/>
      </w:r>
    </w:p>
  </w:footnote>
  <w:footnote w:type="continuationSeparator" w:id="0">
    <w:p w:rsidR="00E33FC3" w:rsidRDefault="00E33FC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27" w:rsidRDefault="00FC1D27">
    <w:pPr>
      <w:pStyle w:val="Encabezado"/>
    </w:pPr>
    <w:r>
      <w:rPr>
        <w:noProof/>
        <w:lang w:val="es-ES" w:eastAsia="es-ES"/>
      </w:rPr>
      <w:drawing>
        <wp:anchor distT="0" distB="0" distL="114300" distR="114300" simplePos="0" relativeHeight="251656704" behindDoc="1" locked="0" layoutInCell="1" allowOverlap="1">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27" w:rsidRDefault="00FC1D27">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FC1D27" w:rsidTr="000B3B88">
      <w:trPr>
        <w:trHeight w:val="844"/>
      </w:trPr>
      <w:tc>
        <w:tcPr>
          <w:tcW w:w="3306" w:type="dxa"/>
          <w:vMerge w:val="restart"/>
        </w:tcPr>
        <w:p w:rsidR="00FC1D27" w:rsidRDefault="00FC1D27" w:rsidP="0060122A">
          <w:pPr>
            <w:pStyle w:val="Encabezado"/>
            <w:jc w:val="center"/>
          </w:pPr>
          <w:r>
            <w:rPr>
              <w:noProof/>
              <w:lang w:val="es-ES" w:eastAsia="es-ES"/>
            </w:rPr>
            <w:drawing>
              <wp:anchor distT="0" distB="0" distL="114300" distR="114300" simplePos="0" relativeHeight="251660800" behindDoc="0" locked="0" layoutInCell="1" allowOverlap="1" wp14:anchorId="014B8BEF" wp14:editId="4A43FBA8">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rsidR="00FC1D27" w:rsidRPr="009B12B0" w:rsidRDefault="00FC1D27" w:rsidP="0060122A">
          <w:pPr>
            <w:pStyle w:val="Encabezado"/>
            <w:jc w:val="center"/>
            <w:rPr>
              <w:rFonts w:ascii="Arial" w:hAnsi="Arial" w:cs="Arial"/>
            </w:rPr>
          </w:pPr>
          <w:r>
            <w:rPr>
              <w:rFonts w:ascii="Arial" w:hAnsi="Arial" w:cs="Arial"/>
              <w:b/>
              <w:noProof/>
              <w:lang w:eastAsia="es-CO"/>
            </w:rPr>
            <w:t>INFORME DE SEGUIMIENTO</w:t>
          </w:r>
        </w:p>
      </w:tc>
      <w:tc>
        <w:tcPr>
          <w:tcW w:w="2346" w:type="dxa"/>
          <w:vMerge w:val="restart"/>
          <w:vAlign w:val="center"/>
        </w:tcPr>
        <w:p w:rsidR="00FC1D27" w:rsidRPr="00075304" w:rsidRDefault="00FC1D27" w:rsidP="0060122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150.19.15-10</w:t>
          </w:r>
        </w:p>
        <w:p w:rsidR="00FC1D27" w:rsidRPr="00075304" w:rsidRDefault="00FC1D27" w:rsidP="0060122A">
          <w:pPr>
            <w:pStyle w:val="Encabezado"/>
            <w:rPr>
              <w:rFonts w:ascii="Arial" w:hAnsi="Arial" w:cs="Arial"/>
              <w:b/>
              <w:sz w:val="16"/>
              <w:szCs w:val="22"/>
            </w:rPr>
          </w:pPr>
        </w:p>
        <w:p w:rsidR="00FC1D27" w:rsidRPr="00075304" w:rsidRDefault="00FC1D27" w:rsidP="0060122A">
          <w:pPr>
            <w:pStyle w:val="Encabezado"/>
            <w:rPr>
              <w:rFonts w:ascii="Arial" w:hAnsi="Arial" w:cs="Arial"/>
              <w:b/>
              <w:sz w:val="16"/>
              <w:szCs w:val="22"/>
            </w:rPr>
          </w:pPr>
          <w:r w:rsidRPr="00075304">
            <w:rPr>
              <w:rFonts w:ascii="Arial" w:hAnsi="Arial" w:cs="Arial"/>
              <w:b/>
              <w:sz w:val="16"/>
              <w:szCs w:val="22"/>
            </w:rPr>
            <w:t>VERSIÓN</w:t>
          </w:r>
          <w:r>
            <w:rPr>
              <w:rFonts w:ascii="Arial" w:hAnsi="Arial" w:cs="Arial"/>
              <w:b/>
              <w:sz w:val="16"/>
              <w:szCs w:val="22"/>
            </w:rPr>
            <w:t>: 02</w:t>
          </w:r>
        </w:p>
        <w:p w:rsidR="00FC1D27" w:rsidRPr="00075304" w:rsidRDefault="00FC1D27" w:rsidP="0060122A">
          <w:pPr>
            <w:pStyle w:val="Encabezado"/>
            <w:rPr>
              <w:rFonts w:ascii="Arial" w:hAnsi="Arial" w:cs="Arial"/>
              <w:b/>
              <w:sz w:val="16"/>
              <w:szCs w:val="22"/>
            </w:rPr>
          </w:pPr>
        </w:p>
        <w:p w:rsidR="00FC1D27" w:rsidRPr="0060122A" w:rsidRDefault="00FC1D27" w:rsidP="0060122A">
          <w:pPr>
            <w:pStyle w:val="Encabezado"/>
            <w:rPr>
              <w:rFonts w:ascii="Arial" w:hAnsi="Arial" w:cs="Arial"/>
              <w:b/>
              <w:sz w:val="16"/>
              <w:szCs w:val="16"/>
            </w:rPr>
          </w:pPr>
          <w:r w:rsidRPr="00075304">
            <w:rPr>
              <w:rFonts w:ascii="Arial" w:hAnsi="Arial" w:cs="Arial"/>
              <w:b/>
              <w:sz w:val="16"/>
              <w:szCs w:val="22"/>
            </w:rPr>
            <w:t>FECHA</w:t>
          </w:r>
          <w:r>
            <w:rPr>
              <w:rFonts w:ascii="Arial" w:hAnsi="Arial" w:cs="Arial"/>
              <w:b/>
              <w:sz w:val="16"/>
              <w:szCs w:val="22"/>
            </w:rPr>
            <w:t>: 09/03/2015</w:t>
          </w:r>
        </w:p>
        <w:p w:rsidR="00FC1D27" w:rsidRPr="0060122A" w:rsidRDefault="00FC1D27" w:rsidP="0060122A">
          <w:pPr>
            <w:pStyle w:val="Encabezado"/>
            <w:rPr>
              <w:rFonts w:ascii="Arial" w:hAnsi="Arial" w:cs="Arial"/>
              <w:b/>
              <w:sz w:val="16"/>
              <w:szCs w:val="16"/>
            </w:rPr>
          </w:pPr>
        </w:p>
        <w:p w:rsidR="00FC1D27" w:rsidRPr="0060122A" w:rsidRDefault="00E33FC3" w:rsidP="0060122A">
          <w:pPr>
            <w:pStyle w:val="Encabezado"/>
            <w:rPr>
              <w:rFonts w:ascii="Arial" w:hAnsi="Arial" w:cs="Arial"/>
              <w:b/>
              <w:sz w:val="16"/>
              <w:szCs w:val="16"/>
            </w:rPr>
          </w:pPr>
          <w:sdt>
            <w:sdtPr>
              <w:rPr>
                <w:rFonts w:ascii="Arial" w:hAnsi="Arial" w:cs="Arial"/>
                <w:sz w:val="16"/>
                <w:szCs w:val="16"/>
              </w:rPr>
              <w:id w:val="-1318336367"/>
              <w:docPartObj>
                <w:docPartGallery w:val="Page Numbers (Top of Page)"/>
                <w:docPartUnique/>
              </w:docPartObj>
            </w:sdtPr>
            <w:sdtEndPr>
              <w:rPr>
                <w:b/>
              </w:rPr>
            </w:sdtEndPr>
            <w:sdtContent>
              <w:r w:rsidR="00FC1D27" w:rsidRPr="0060122A">
                <w:rPr>
                  <w:rFonts w:ascii="Arial" w:hAnsi="Arial" w:cs="Arial"/>
                  <w:b/>
                  <w:sz w:val="16"/>
                  <w:szCs w:val="16"/>
                  <w:lang w:val="es-ES"/>
                </w:rPr>
                <w:t>PÁGINA</w:t>
              </w:r>
              <w:r w:rsidR="00FC1D27">
                <w:rPr>
                  <w:rFonts w:ascii="Arial" w:hAnsi="Arial" w:cs="Arial"/>
                  <w:b/>
                  <w:sz w:val="16"/>
                  <w:szCs w:val="16"/>
                  <w:lang w:val="es-ES"/>
                </w:rPr>
                <w:t>:</w:t>
              </w:r>
              <w:r w:rsidR="00FC1D27" w:rsidRPr="0060122A">
                <w:rPr>
                  <w:rFonts w:ascii="Arial" w:hAnsi="Arial" w:cs="Arial"/>
                  <w:b/>
                  <w:sz w:val="16"/>
                  <w:szCs w:val="16"/>
                  <w:lang w:val="es-ES"/>
                </w:rPr>
                <w:t xml:space="preserve"> </w:t>
              </w:r>
              <w:r w:rsidR="00FC1D27" w:rsidRPr="0060122A">
                <w:rPr>
                  <w:rFonts w:ascii="Arial" w:hAnsi="Arial" w:cs="Arial"/>
                  <w:b/>
                  <w:bCs/>
                  <w:sz w:val="16"/>
                  <w:szCs w:val="16"/>
                </w:rPr>
                <w:fldChar w:fldCharType="begin"/>
              </w:r>
              <w:r w:rsidR="00FC1D27" w:rsidRPr="0060122A">
                <w:rPr>
                  <w:rFonts w:ascii="Arial" w:hAnsi="Arial" w:cs="Arial"/>
                  <w:b/>
                  <w:bCs/>
                  <w:sz w:val="16"/>
                  <w:szCs w:val="16"/>
                </w:rPr>
                <w:instrText>PAGE</w:instrText>
              </w:r>
              <w:r w:rsidR="00FC1D27" w:rsidRPr="0060122A">
                <w:rPr>
                  <w:rFonts w:ascii="Arial" w:hAnsi="Arial" w:cs="Arial"/>
                  <w:b/>
                  <w:bCs/>
                  <w:sz w:val="16"/>
                  <w:szCs w:val="16"/>
                </w:rPr>
                <w:fldChar w:fldCharType="separate"/>
              </w:r>
              <w:r w:rsidR="00042AE3">
                <w:rPr>
                  <w:rFonts w:ascii="Arial" w:hAnsi="Arial" w:cs="Arial"/>
                  <w:b/>
                  <w:bCs/>
                  <w:noProof/>
                  <w:sz w:val="16"/>
                  <w:szCs w:val="16"/>
                </w:rPr>
                <w:t>14</w:t>
              </w:r>
              <w:r w:rsidR="00FC1D27" w:rsidRPr="0060122A">
                <w:rPr>
                  <w:rFonts w:ascii="Arial" w:hAnsi="Arial" w:cs="Arial"/>
                  <w:b/>
                  <w:bCs/>
                  <w:sz w:val="16"/>
                  <w:szCs w:val="16"/>
                </w:rPr>
                <w:fldChar w:fldCharType="end"/>
              </w:r>
              <w:r w:rsidR="00FC1D27" w:rsidRPr="0060122A">
                <w:rPr>
                  <w:rFonts w:ascii="Arial" w:hAnsi="Arial" w:cs="Arial"/>
                  <w:b/>
                  <w:sz w:val="16"/>
                  <w:szCs w:val="16"/>
                  <w:lang w:val="es-ES"/>
                </w:rPr>
                <w:t xml:space="preserve"> de </w:t>
              </w:r>
              <w:r w:rsidR="00FC1D27" w:rsidRPr="0060122A">
                <w:rPr>
                  <w:rFonts w:ascii="Arial" w:hAnsi="Arial" w:cs="Arial"/>
                  <w:b/>
                  <w:bCs/>
                  <w:sz w:val="16"/>
                  <w:szCs w:val="16"/>
                </w:rPr>
                <w:fldChar w:fldCharType="begin"/>
              </w:r>
              <w:r w:rsidR="00FC1D27" w:rsidRPr="0060122A">
                <w:rPr>
                  <w:rFonts w:ascii="Arial" w:hAnsi="Arial" w:cs="Arial"/>
                  <w:b/>
                  <w:bCs/>
                  <w:sz w:val="16"/>
                  <w:szCs w:val="16"/>
                </w:rPr>
                <w:instrText>NUMPAGES</w:instrText>
              </w:r>
              <w:r w:rsidR="00FC1D27" w:rsidRPr="0060122A">
                <w:rPr>
                  <w:rFonts w:ascii="Arial" w:hAnsi="Arial" w:cs="Arial"/>
                  <w:b/>
                  <w:bCs/>
                  <w:sz w:val="16"/>
                  <w:szCs w:val="16"/>
                </w:rPr>
                <w:fldChar w:fldCharType="separate"/>
              </w:r>
              <w:r w:rsidR="00042AE3">
                <w:rPr>
                  <w:rFonts w:ascii="Arial" w:hAnsi="Arial" w:cs="Arial"/>
                  <w:b/>
                  <w:bCs/>
                  <w:noProof/>
                  <w:sz w:val="16"/>
                  <w:szCs w:val="16"/>
                </w:rPr>
                <w:t>14</w:t>
              </w:r>
              <w:r w:rsidR="00FC1D27" w:rsidRPr="0060122A">
                <w:rPr>
                  <w:rFonts w:ascii="Arial" w:hAnsi="Arial" w:cs="Arial"/>
                  <w:b/>
                  <w:bCs/>
                  <w:sz w:val="16"/>
                  <w:szCs w:val="16"/>
                </w:rPr>
                <w:fldChar w:fldCharType="end"/>
              </w:r>
            </w:sdtContent>
          </w:sdt>
        </w:p>
        <w:p w:rsidR="00FC1D27" w:rsidRPr="00171E31" w:rsidRDefault="00FC1D27" w:rsidP="0060122A">
          <w:pPr>
            <w:pStyle w:val="Encabezado"/>
            <w:rPr>
              <w:rFonts w:ascii="Arial" w:hAnsi="Arial" w:cs="Arial"/>
              <w:b/>
              <w:sz w:val="16"/>
              <w:szCs w:val="22"/>
            </w:rPr>
          </w:pPr>
          <w:r w:rsidRPr="00171E31">
            <w:rPr>
              <w:rFonts w:ascii="Arial" w:hAnsi="Arial" w:cs="Arial"/>
              <w:b/>
              <w:sz w:val="16"/>
              <w:szCs w:val="22"/>
            </w:rPr>
            <w:t xml:space="preserve"> </w:t>
          </w:r>
        </w:p>
      </w:tc>
    </w:tr>
    <w:tr w:rsidR="00FC1D27" w:rsidTr="000B3B88">
      <w:trPr>
        <w:trHeight w:val="557"/>
      </w:trPr>
      <w:tc>
        <w:tcPr>
          <w:tcW w:w="3306" w:type="dxa"/>
          <w:vMerge/>
        </w:tcPr>
        <w:p w:rsidR="00FC1D27" w:rsidRDefault="00FC1D27" w:rsidP="0060122A">
          <w:pPr>
            <w:pStyle w:val="Encabezado"/>
            <w:jc w:val="center"/>
            <w:rPr>
              <w:noProof/>
              <w:lang w:val="es-CO" w:eastAsia="es-CO"/>
            </w:rPr>
          </w:pPr>
        </w:p>
      </w:tc>
      <w:tc>
        <w:tcPr>
          <w:tcW w:w="4962" w:type="dxa"/>
          <w:vAlign w:val="center"/>
        </w:tcPr>
        <w:p w:rsidR="00FC1D27" w:rsidRDefault="00FC1D27" w:rsidP="0060122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rsidR="00FC1D27" w:rsidRPr="005174B1" w:rsidRDefault="00FC1D27" w:rsidP="0060122A">
          <w:pPr>
            <w:pStyle w:val="Encabezado"/>
            <w:rPr>
              <w:rFonts w:ascii="Arial" w:hAnsi="Arial" w:cs="Arial"/>
              <w:b/>
              <w:sz w:val="20"/>
              <w:szCs w:val="22"/>
            </w:rPr>
          </w:pPr>
        </w:p>
      </w:tc>
    </w:tr>
  </w:tbl>
  <w:p w:rsidR="00FC1D27" w:rsidRPr="00BB156A" w:rsidRDefault="00FC1D27" w:rsidP="00AF28B3">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1D27" w:rsidRDefault="00FC1D27">
    <w:pPr>
      <w:pStyle w:val="Encabezado"/>
    </w:pPr>
    <w:r>
      <w:rPr>
        <w:noProof/>
        <w:lang w:val="es-ES" w:eastAsia="es-ES"/>
      </w:rPr>
      <w:drawing>
        <wp:anchor distT="0" distB="0" distL="114300" distR="114300" simplePos="0" relativeHeight="251658752" behindDoc="1" locked="0" layoutInCell="1" allowOverlap="1">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6F137B"/>
    <w:multiLevelType w:val="hybridMultilevel"/>
    <w:tmpl w:val="6220BE4C"/>
    <w:lvl w:ilvl="0" w:tplc="0C0A0015">
      <w:start w:val="2"/>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3C0444"/>
    <w:multiLevelType w:val="hybridMultilevel"/>
    <w:tmpl w:val="E3BE7D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92332E0"/>
    <w:multiLevelType w:val="hybridMultilevel"/>
    <w:tmpl w:val="5A8E892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D0643C9"/>
    <w:multiLevelType w:val="multilevel"/>
    <w:tmpl w:val="2C1C91DA"/>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10111017"/>
    <w:multiLevelType w:val="hybridMultilevel"/>
    <w:tmpl w:val="295C0736"/>
    <w:lvl w:ilvl="0" w:tplc="A1BC2762">
      <w:start w:val="3"/>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0426EA1"/>
    <w:multiLevelType w:val="multilevel"/>
    <w:tmpl w:val="B8F65ED4"/>
    <w:lvl w:ilvl="0">
      <w:start w:val="4"/>
      <w:numFmt w:val="decimal"/>
      <w:lvlText w:val="%1"/>
      <w:lvlJc w:val="left"/>
      <w:pPr>
        <w:ind w:left="360" w:hanging="360"/>
      </w:pPr>
      <w:rPr>
        <w:rFonts w:eastAsia="MS Mincho" w:hint="default"/>
        <w:b/>
      </w:rPr>
    </w:lvl>
    <w:lvl w:ilvl="1">
      <w:start w:val="3"/>
      <w:numFmt w:val="decimal"/>
      <w:lvlText w:val="%1.%2"/>
      <w:lvlJc w:val="left"/>
      <w:pPr>
        <w:ind w:left="360" w:hanging="360"/>
      </w:pPr>
      <w:rPr>
        <w:rFonts w:eastAsia="MS Mincho" w:hint="default"/>
        <w:b/>
      </w:rPr>
    </w:lvl>
    <w:lvl w:ilvl="2">
      <w:start w:val="1"/>
      <w:numFmt w:val="decimal"/>
      <w:lvlText w:val="%1.%2.%3"/>
      <w:lvlJc w:val="left"/>
      <w:pPr>
        <w:ind w:left="720" w:hanging="720"/>
      </w:pPr>
      <w:rPr>
        <w:rFonts w:eastAsia="MS Mincho" w:hint="default"/>
        <w:b/>
      </w:rPr>
    </w:lvl>
    <w:lvl w:ilvl="3">
      <w:start w:val="1"/>
      <w:numFmt w:val="decimal"/>
      <w:lvlText w:val="%1.%2.%3.%4"/>
      <w:lvlJc w:val="left"/>
      <w:pPr>
        <w:ind w:left="720" w:hanging="720"/>
      </w:pPr>
      <w:rPr>
        <w:rFonts w:eastAsia="MS Mincho" w:hint="default"/>
        <w:b/>
      </w:rPr>
    </w:lvl>
    <w:lvl w:ilvl="4">
      <w:start w:val="1"/>
      <w:numFmt w:val="decimal"/>
      <w:lvlText w:val="%1.%2.%3.%4.%5"/>
      <w:lvlJc w:val="left"/>
      <w:pPr>
        <w:ind w:left="1080" w:hanging="1080"/>
      </w:pPr>
      <w:rPr>
        <w:rFonts w:eastAsia="MS Mincho" w:hint="default"/>
        <w:b/>
      </w:rPr>
    </w:lvl>
    <w:lvl w:ilvl="5">
      <w:start w:val="1"/>
      <w:numFmt w:val="decimal"/>
      <w:lvlText w:val="%1.%2.%3.%4.%5.%6"/>
      <w:lvlJc w:val="left"/>
      <w:pPr>
        <w:ind w:left="1080" w:hanging="1080"/>
      </w:pPr>
      <w:rPr>
        <w:rFonts w:eastAsia="MS Mincho" w:hint="default"/>
        <w:b/>
      </w:rPr>
    </w:lvl>
    <w:lvl w:ilvl="6">
      <w:start w:val="1"/>
      <w:numFmt w:val="decimal"/>
      <w:lvlText w:val="%1.%2.%3.%4.%5.%6.%7"/>
      <w:lvlJc w:val="left"/>
      <w:pPr>
        <w:ind w:left="1440" w:hanging="1440"/>
      </w:pPr>
      <w:rPr>
        <w:rFonts w:eastAsia="MS Mincho" w:hint="default"/>
        <w:b/>
      </w:rPr>
    </w:lvl>
    <w:lvl w:ilvl="7">
      <w:start w:val="1"/>
      <w:numFmt w:val="decimal"/>
      <w:lvlText w:val="%1.%2.%3.%4.%5.%6.%7.%8"/>
      <w:lvlJc w:val="left"/>
      <w:pPr>
        <w:ind w:left="1440" w:hanging="1440"/>
      </w:pPr>
      <w:rPr>
        <w:rFonts w:eastAsia="MS Mincho" w:hint="default"/>
        <w:b/>
      </w:rPr>
    </w:lvl>
    <w:lvl w:ilvl="8">
      <w:start w:val="1"/>
      <w:numFmt w:val="decimal"/>
      <w:lvlText w:val="%1.%2.%3.%4.%5.%6.%7.%8.%9"/>
      <w:lvlJc w:val="left"/>
      <w:pPr>
        <w:ind w:left="1800" w:hanging="1800"/>
      </w:pPr>
      <w:rPr>
        <w:rFonts w:eastAsia="MS Mincho" w:hint="default"/>
        <w:b/>
      </w:rPr>
    </w:lvl>
  </w:abstractNum>
  <w:abstractNum w:abstractNumId="6"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9123A5"/>
    <w:multiLevelType w:val="hybridMultilevel"/>
    <w:tmpl w:val="8ECE08B6"/>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F54285"/>
    <w:multiLevelType w:val="hybridMultilevel"/>
    <w:tmpl w:val="A3244B20"/>
    <w:lvl w:ilvl="0" w:tplc="993E5CB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0"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78E2066"/>
    <w:multiLevelType w:val="hybridMultilevel"/>
    <w:tmpl w:val="333C0C90"/>
    <w:lvl w:ilvl="0" w:tplc="24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15"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CA5407E"/>
    <w:multiLevelType w:val="hybridMultilevel"/>
    <w:tmpl w:val="D0BC6D56"/>
    <w:lvl w:ilvl="0" w:tplc="240A0001">
      <w:start w:val="1"/>
      <w:numFmt w:val="bullet"/>
      <w:lvlText w:val=""/>
      <w:lvlJc w:val="left"/>
      <w:pPr>
        <w:ind w:left="720" w:hanging="360"/>
      </w:pPr>
      <w:rPr>
        <w:rFonts w:ascii="Symbol" w:hAnsi="Symbol" w:hint="default"/>
      </w:rPr>
    </w:lvl>
    <w:lvl w:ilvl="1" w:tplc="240A0019">
      <w:start w:val="1"/>
      <w:numFmt w:val="decimal"/>
      <w:lvlText w:val="%2."/>
      <w:lvlJc w:val="left"/>
      <w:pPr>
        <w:tabs>
          <w:tab w:val="num" w:pos="1440"/>
        </w:tabs>
        <w:ind w:left="1440" w:hanging="360"/>
      </w:pPr>
    </w:lvl>
    <w:lvl w:ilvl="2" w:tplc="240A001B">
      <w:start w:val="1"/>
      <w:numFmt w:val="decimal"/>
      <w:lvlText w:val="%3."/>
      <w:lvlJc w:val="left"/>
      <w:pPr>
        <w:tabs>
          <w:tab w:val="num" w:pos="2160"/>
        </w:tabs>
        <w:ind w:left="2160" w:hanging="360"/>
      </w:p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7" w15:restartNumberingAfterBreak="0">
    <w:nsid w:val="3FEA46CD"/>
    <w:multiLevelType w:val="hybridMultilevel"/>
    <w:tmpl w:val="E3BE7D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23521A0"/>
    <w:multiLevelType w:val="hybridMultilevel"/>
    <w:tmpl w:val="6818BE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4E96A19"/>
    <w:multiLevelType w:val="hybridMultilevel"/>
    <w:tmpl w:val="0574AB22"/>
    <w:lvl w:ilvl="0" w:tplc="C0565C0C">
      <w:start w:val="1"/>
      <w:numFmt w:val="bullet"/>
      <w:lvlText w:val=""/>
      <w:lvlJc w:val="left"/>
      <w:pPr>
        <w:ind w:left="720" w:hanging="360"/>
      </w:pPr>
      <w:rPr>
        <w:rFonts w:ascii="Wingdings" w:hAnsi="Wingding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7D04C73"/>
    <w:multiLevelType w:val="multilevel"/>
    <w:tmpl w:val="454C028A"/>
    <w:lvl w:ilvl="0">
      <w:start w:val="2"/>
      <w:numFmt w:val="decimal"/>
      <w:lvlText w:val="%1"/>
      <w:lvlJc w:val="left"/>
      <w:pPr>
        <w:ind w:left="360" w:hanging="360"/>
      </w:pPr>
      <w:rPr>
        <w:rFonts w:eastAsia="MS Mincho" w:hint="default"/>
        <w:b/>
      </w:rPr>
    </w:lvl>
    <w:lvl w:ilvl="1">
      <w:start w:val="3"/>
      <w:numFmt w:val="decimal"/>
      <w:lvlText w:val="%1.%2"/>
      <w:lvlJc w:val="left"/>
      <w:pPr>
        <w:ind w:left="360" w:hanging="360"/>
      </w:pPr>
      <w:rPr>
        <w:rFonts w:eastAsia="MS Mincho" w:hint="default"/>
        <w:b/>
      </w:rPr>
    </w:lvl>
    <w:lvl w:ilvl="2">
      <w:start w:val="1"/>
      <w:numFmt w:val="decimal"/>
      <w:lvlText w:val="%1.%2.%3"/>
      <w:lvlJc w:val="left"/>
      <w:pPr>
        <w:ind w:left="720" w:hanging="720"/>
      </w:pPr>
      <w:rPr>
        <w:rFonts w:eastAsia="MS Mincho" w:hint="default"/>
        <w:b/>
      </w:rPr>
    </w:lvl>
    <w:lvl w:ilvl="3">
      <w:start w:val="1"/>
      <w:numFmt w:val="decimal"/>
      <w:lvlText w:val="%1.%2.%3.%4"/>
      <w:lvlJc w:val="left"/>
      <w:pPr>
        <w:ind w:left="720" w:hanging="720"/>
      </w:pPr>
      <w:rPr>
        <w:rFonts w:eastAsia="MS Mincho" w:hint="default"/>
        <w:b/>
      </w:rPr>
    </w:lvl>
    <w:lvl w:ilvl="4">
      <w:start w:val="1"/>
      <w:numFmt w:val="decimal"/>
      <w:lvlText w:val="%1.%2.%3.%4.%5"/>
      <w:lvlJc w:val="left"/>
      <w:pPr>
        <w:ind w:left="1080" w:hanging="1080"/>
      </w:pPr>
      <w:rPr>
        <w:rFonts w:eastAsia="MS Mincho" w:hint="default"/>
        <w:b/>
      </w:rPr>
    </w:lvl>
    <w:lvl w:ilvl="5">
      <w:start w:val="1"/>
      <w:numFmt w:val="decimal"/>
      <w:lvlText w:val="%1.%2.%3.%4.%5.%6"/>
      <w:lvlJc w:val="left"/>
      <w:pPr>
        <w:ind w:left="1080" w:hanging="1080"/>
      </w:pPr>
      <w:rPr>
        <w:rFonts w:eastAsia="MS Mincho" w:hint="default"/>
        <w:b/>
      </w:rPr>
    </w:lvl>
    <w:lvl w:ilvl="6">
      <w:start w:val="1"/>
      <w:numFmt w:val="decimal"/>
      <w:lvlText w:val="%1.%2.%3.%4.%5.%6.%7"/>
      <w:lvlJc w:val="left"/>
      <w:pPr>
        <w:ind w:left="1440" w:hanging="1440"/>
      </w:pPr>
      <w:rPr>
        <w:rFonts w:eastAsia="MS Mincho" w:hint="default"/>
        <w:b/>
      </w:rPr>
    </w:lvl>
    <w:lvl w:ilvl="7">
      <w:start w:val="1"/>
      <w:numFmt w:val="decimal"/>
      <w:lvlText w:val="%1.%2.%3.%4.%5.%6.%7.%8"/>
      <w:lvlJc w:val="left"/>
      <w:pPr>
        <w:ind w:left="1440" w:hanging="1440"/>
      </w:pPr>
      <w:rPr>
        <w:rFonts w:eastAsia="MS Mincho" w:hint="default"/>
        <w:b/>
      </w:rPr>
    </w:lvl>
    <w:lvl w:ilvl="8">
      <w:start w:val="1"/>
      <w:numFmt w:val="decimal"/>
      <w:lvlText w:val="%1.%2.%3.%4.%5.%6.%7.%8.%9"/>
      <w:lvlJc w:val="left"/>
      <w:pPr>
        <w:ind w:left="1800" w:hanging="1800"/>
      </w:pPr>
      <w:rPr>
        <w:rFonts w:eastAsia="MS Mincho" w:hint="default"/>
        <w:b/>
      </w:rPr>
    </w:lvl>
  </w:abstractNum>
  <w:abstractNum w:abstractNumId="22" w15:restartNumberingAfterBreak="0">
    <w:nsid w:val="48616869"/>
    <w:multiLevelType w:val="hybridMultilevel"/>
    <w:tmpl w:val="C8447D24"/>
    <w:lvl w:ilvl="0" w:tplc="31A03F18">
      <w:start w:val="1"/>
      <w:numFmt w:val="bullet"/>
      <w:lvlText w:val=""/>
      <w:lvlJc w:val="left"/>
      <w:pPr>
        <w:ind w:left="720" w:hanging="360"/>
      </w:pPr>
      <w:rPr>
        <w:rFonts w:ascii="Wingdings" w:hAnsi="Wingding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AEF6D29"/>
    <w:multiLevelType w:val="hybridMultilevel"/>
    <w:tmpl w:val="EE42E1F6"/>
    <w:lvl w:ilvl="0" w:tplc="B53681C6">
      <w:start w:val="1"/>
      <w:numFmt w:val="low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4CBD24E0"/>
    <w:multiLevelType w:val="hybridMultilevel"/>
    <w:tmpl w:val="0C0A2EE6"/>
    <w:lvl w:ilvl="0" w:tplc="B1185D6E">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4CD246D4"/>
    <w:multiLevelType w:val="hybridMultilevel"/>
    <w:tmpl w:val="C1FA34D8"/>
    <w:lvl w:ilvl="0" w:tplc="0C0A0017">
      <w:start w:val="1"/>
      <w:numFmt w:val="lowerLetter"/>
      <w:lvlText w:val="%1)"/>
      <w:lvlJc w:val="left"/>
      <w:pPr>
        <w:ind w:left="720" w:hanging="360"/>
      </w:pPr>
    </w:lvl>
    <w:lvl w:ilvl="1" w:tplc="965E317A">
      <w:start w:val="1"/>
      <w:numFmt w:val="lowerLetter"/>
      <w:lvlText w:val="%2."/>
      <w:lvlJc w:val="left"/>
      <w:pPr>
        <w:ind w:left="1440" w:hanging="360"/>
      </w:pPr>
      <w:rPr>
        <w:b/>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7" w15:restartNumberingAfterBreak="0">
    <w:nsid w:val="53C15C62"/>
    <w:multiLevelType w:val="hybridMultilevel"/>
    <w:tmpl w:val="5F00F5BC"/>
    <w:lvl w:ilvl="0" w:tplc="DDACC52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29" w15:restartNumberingAfterBreak="0">
    <w:nsid w:val="576D2E8D"/>
    <w:multiLevelType w:val="hybridMultilevel"/>
    <w:tmpl w:val="89BEE7A6"/>
    <w:lvl w:ilvl="0" w:tplc="7624A4D6">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0" w15:restartNumberingAfterBreak="0">
    <w:nsid w:val="5B5504DA"/>
    <w:multiLevelType w:val="hybridMultilevel"/>
    <w:tmpl w:val="E9B8E0C8"/>
    <w:lvl w:ilvl="0" w:tplc="0EDA2384">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DCC3577"/>
    <w:multiLevelType w:val="hybridMultilevel"/>
    <w:tmpl w:val="F3BAD012"/>
    <w:lvl w:ilvl="0" w:tplc="BD8AF0CA">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2"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5" w15:restartNumberingAfterBreak="0">
    <w:nsid w:val="62982CD2"/>
    <w:multiLevelType w:val="hybridMultilevel"/>
    <w:tmpl w:val="8F4AAAC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3910A42"/>
    <w:multiLevelType w:val="hybridMultilevel"/>
    <w:tmpl w:val="F4A64B08"/>
    <w:lvl w:ilvl="0" w:tplc="C6AC6AE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5263546"/>
    <w:multiLevelType w:val="hybridMultilevel"/>
    <w:tmpl w:val="5F00F5BC"/>
    <w:lvl w:ilvl="0" w:tplc="DDACC520">
      <w:start w:val="1"/>
      <w:numFmt w:val="lowerLetter"/>
      <w:lvlText w:val="%1)"/>
      <w:lvlJc w:val="left"/>
      <w:pPr>
        <w:ind w:left="720" w:hanging="360"/>
      </w:pPr>
      <w:rPr>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5617E91"/>
    <w:multiLevelType w:val="hybridMultilevel"/>
    <w:tmpl w:val="E9B8E0C8"/>
    <w:lvl w:ilvl="0" w:tplc="0EDA2384">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6AD5296"/>
    <w:multiLevelType w:val="hybridMultilevel"/>
    <w:tmpl w:val="E3BE7D5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6FAC62B4"/>
    <w:multiLevelType w:val="hybridMultilevel"/>
    <w:tmpl w:val="04800AD4"/>
    <w:lvl w:ilvl="0" w:tplc="500C7146">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1"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667273E"/>
    <w:multiLevelType w:val="hybridMultilevel"/>
    <w:tmpl w:val="622C897C"/>
    <w:lvl w:ilvl="0" w:tplc="EC42557C">
      <w:start w:val="1"/>
      <w:numFmt w:val="lowerLetter"/>
      <w:lvlText w:val="%1)"/>
      <w:lvlJc w:val="left"/>
      <w:pPr>
        <w:ind w:left="1068" w:hanging="360"/>
      </w:pPr>
      <w:rPr>
        <w:rFonts w:hint="default"/>
        <w:b/>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43" w15:restartNumberingAfterBreak="0">
    <w:nsid w:val="77C056C7"/>
    <w:multiLevelType w:val="multilevel"/>
    <w:tmpl w:val="7882B380"/>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96F5F58"/>
    <w:multiLevelType w:val="hybridMultilevel"/>
    <w:tmpl w:val="E35241D4"/>
    <w:lvl w:ilvl="0" w:tplc="240A0001">
      <w:start w:val="1"/>
      <w:numFmt w:val="bullet"/>
      <w:lvlText w:val=""/>
      <w:lvlJc w:val="left"/>
      <w:pPr>
        <w:ind w:left="720" w:hanging="360"/>
      </w:pPr>
      <w:rPr>
        <w:rFonts w:ascii="Symbol" w:hAnsi="Symbol" w:hint="default"/>
      </w:rPr>
    </w:lvl>
    <w:lvl w:ilvl="1" w:tplc="240A0003">
      <w:start w:val="1"/>
      <w:numFmt w:val="decimal"/>
      <w:lvlText w:val="%2."/>
      <w:lvlJc w:val="left"/>
      <w:pPr>
        <w:tabs>
          <w:tab w:val="num" w:pos="1440"/>
        </w:tabs>
        <w:ind w:left="1440" w:hanging="360"/>
      </w:pPr>
    </w:lvl>
    <w:lvl w:ilvl="2" w:tplc="240A0005">
      <w:start w:val="1"/>
      <w:numFmt w:val="decimal"/>
      <w:lvlText w:val="%3."/>
      <w:lvlJc w:val="left"/>
      <w:pPr>
        <w:tabs>
          <w:tab w:val="num" w:pos="2160"/>
        </w:tabs>
        <w:ind w:left="2160" w:hanging="360"/>
      </w:pPr>
    </w:lvl>
    <w:lvl w:ilvl="3" w:tplc="240A0001">
      <w:start w:val="1"/>
      <w:numFmt w:val="decimal"/>
      <w:lvlText w:val="%4."/>
      <w:lvlJc w:val="left"/>
      <w:pPr>
        <w:tabs>
          <w:tab w:val="num" w:pos="2880"/>
        </w:tabs>
        <w:ind w:left="2880" w:hanging="360"/>
      </w:pPr>
    </w:lvl>
    <w:lvl w:ilvl="4" w:tplc="240A0003">
      <w:start w:val="1"/>
      <w:numFmt w:val="decimal"/>
      <w:lvlText w:val="%5."/>
      <w:lvlJc w:val="left"/>
      <w:pPr>
        <w:tabs>
          <w:tab w:val="num" w:pos="3600"/>
        </w:tabs>
        <w:ind w:left="3600" w:hanging="360"/>
      </w:pPr>
    </w:lvl>
    <w:lvl w:ilvl="5" w:tplc="240A0005">
      <w:start w:val="1"/>
      <w:numFmt w:val="decimal"/>
      <w:lvlText w:val="%6."/>
      <w:lvlJc w:val="left"/>
      <w:pPr>
        <w:tabs>
          <w:tab w:val="num" w:pos="4320"/>
        </w:tabs>
        <w:ind w:left="4320" w:hanging="360"/>
      </w:pPr>
    </w:lvl>
    <w:lvl w:ilvl="6" w:tplc="240A0001">
      <w:start w:val="1"/>
      <w:numFmt w:val="decimal"/>
      <w:lvlText w:val="%7."/>
      <w:lvlJc w:val="left"/>
      <w:pPr>
        <w:tabs>
          <w:tab w:val="num" w:pos="5040"/>
        </w:tabs>
        <w:ind w:left="5040" w:hanging="360"/>
      </w:pPr>
    </w:lvl>
    <w:lvl w:ilvl="7" w:tplc="240A0003">
      <w:start w:val="1"/>
      <w:numFmt w:val="decimal"/>
      <w:lvlText w:val="%8."/>
      <w:lvlJc w:val="left"/>
      <w:pPr>
        <w:tabs>
          <w:tab w:val="num" w:pos="5760"/>
        </w:tabs>
        <w:ind w:left="5760" w:hanging="360"/>
      </w:pPr>
    </w:lvl>
    <w:lvl w:ilvl="8" w:tplc="240A0005">
      <w:start w:val="1"/>
      <w:numFmt w:val="decimal"/>
      <w:lvlText w:val="%9."/>
      <w:lvlJc w:val="left"/>
      <w:pPr>
        <w:tabs>
          <w:tab w:val="num" w:pos="6480"/>
        </w:tabs>
        <w:ind w:left="6480" w:hanging="360"/>
      </w:pPr>
    </w:lvl>
  </w:abstractNum>
  <w:abstractNum w:abstractNumId="45" w15:restartNumberingAfterBreak="0">
    <w:nsid w:val="79BB5011"/>
    <w:multiLevelType w:val="multilevel"/>
    <w:tmpl w:val="D35E5492"/>
    <w:lvl w:ilvl="0">
      <w:start w:val="2"/>
      <w:numFmt w:val="decimal"/>
      <w:lvlText w:val="%1"/>
      <w:lvlJc w:val="left"/>
      <w:pPr>
        <w:ind w:left="360" w:hanging="360"/>
      </w:pPr>
      <w:rPr>
        <w:rFonts w:eastAsia="MS Mincho" w:hint="default"/>
        <w:b/>
      </w:rPr>
    </w:lvl>
    <w:lvl w:ilvl="1">
      <w:start w:val="2"/>
      <w:numFmt w:val="decimal"/>
      <w:lvlText w:val="%1.%2"/>
      <w:lvlJc w:val="left"/>
      <w:pPr>
        <w:ind w:left="360" w:hanging="360"/>
      </w:pPr>
      <w:rPr>
        <w:rFonts w:eastAsia="MS Mincho" w:hint="default"/>
        <w:b/>
      </w:rPr>
    </w:lvl>
    <w:lvl w:ilvl="2">
      <w:start w:val="1"/>
      <w:numFmt w:val="decimal"/>
      <w:lvlText w:val="%1.%2.%3"/>
      <w:lvlJc w:val="left"/>
      <w:pPr>
        <w:ind w:left="720" w:hanging="720"/>
      </w:pPr>
      <w:rPr>
        <w:rFonts w:eastAsia="MS Mincho" w:hint="default"/>
        <w:b/>
      </w:rPr>
    </w:lvl>
    <w:lvl w:ilvl="3">
      <w:start w:val="1"/>
      <w:numFmt w:val="decimal"/>
      <w:lvlText w:val="%1.%2.%3.%4"/>
      <w:lvlJc w:val="left"/>
      <w:pPr>
        <w:ind w:left="720" w:hanging="720"/>
      </w:pPr>
      <w:rPr>
        <w:rFonts w:eastAsia="MS Mincho" w:hint="default"/>
        <w:b/>
      </w:rPr>
    </w:lvl>
    <w:lvl w:ilvl="4">
      <w:start w:val="1"/>
      <w:numFmt w:val="decimal"/>
      <w:lvlText w:val="%1.%2.%3.%4.%5"/>
      <w:lvlJc w:val="left"/>
      <w:pPr>
        <w:ind w:left="1080" w:hanging="1080"/>
      </w:pPr>
      <w:rPr>
        <w:rFonts w:eastAsia="MS Mincho" w:hint="default"/>
        <w:b/>
      </w:rPr>
    </w:lvl>
    <w:lvl w:ilvl="5">
      <w:start w:val="1"/>
      <w:numFmt w:val="decimal"/>
      <w:lvlText w:val="%1.%2.%3.%4.%5.%6"/>
      <w:lvlJc w:val="left"/>
      <w:pPr>
        <w:ind w:left="1080" w:hanging="1080"/>
      </w:pPr>
      <w:rPr>
        <w:rFonts w:eastAsia="MS Mincho" w:hint="default"/>
        <w:b/>
      </w:rPr>
    </w:lvl>
    <w:lvl w:ilvl="6">
      <w:start w:val="1"/>
      <w:numFmt w:val="decimal"/>
      <w:lvlText w:val="%1.%2.%3.%4.%5.%6.%7"/>
      <w:lvlJc w:val="left"/>
      <w:pPr>
        <w:ind w:left="1440" w:hanging="1440"/>
      </w:pPr>
      <w:rPr>
        <w:rFonts w:eastAsia="MS Mincho" w:hint="default"/>
        <w:b/>
      </w:rPr>
    </w:lvl>
    <w:lvl w:ilvl="7">
      <w:start w:val="1"/>
      <w:numFmt w:val="decimal"/>
      <w:lvlText w:val="%1.%2.%3.%4.%5.%6.%7.%8"/>
      <w:lvlJc w:val="left"/>
      <w:pPr>
        <w:ind w:left="1440" w:hanging="1440"/>
      </w:pPr>
      <w:rPr>
        <w:rFonts w:eastAsia="MS Mincho" w:hint="default"/>
        <w:b/>
      </w:rPr>
    </w:lvl>
    <w:lvl w:ilvl="8">
      <w:start w:val="1"/>
      <w:numFmt w:val="decimal"/>
      <w:lvlText w:val="%1.%2.%3.%4.%5.%6.%7.%8.%9"/>
      <w:lvlJc w:val="left"/>
      <w:pPr>
        <w:ind w:left="1800" w:hanging="1800"/>
      </w:pPr>
      <w:rPr>
        <w:rFonts w:eastAsia="MS Mincho" w:hint="default"/>
        <w:b/>
      </w:rPr>
    </w:lvl>
  </w:abstractNum>
  <w:abstractNum w:abstractNumId="46" w15:restartNumberingAfterBreak="0">
    <w:nsid w:val="7C977454"/>
    <w:multiLevelType w:val="hybridMultilevel"/>
    <w:tmpl w:val="6CCC6DEC"/>
    <w:lvl w:ilvl="0" w:tplc="638086FC">
      <w:start w:val="1"/>
      <w:numFmt w:val="lowerRoman"/>
      <w:lvlText w:val="%1)"/>
      <w:lvlJc w:val="left"/>
      <w:pPr>
        <w:ind w:left="1080" w:hanging="72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D056F34"/>
    <w:multiLevelType w:val="hybridMultilevel"/>
    <w:tmpl w:val="E9B8E0C8"/>
    <w:lvl w:ilvl="0" w:tplc="0EDA2384">
      <w:start w:val="1"/>
      <w:numFmt w:val="lowerLetter"/>
      <w:lvlText w:val="%1)"/>
      <w:lvlJc w:val="left"/>
      <w:pPr>
        <w:ind w:left="720" w:hanging="360"/>
      </w:pPr>
      <w:rPr>
        <w:rFonts w:hint="default"/>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8"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9"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34"/>
  </w:num>
  <w:num w:numId="2">
    <w:abstractNumId w:val="6"/>
  </w:num>
  <w:num w:numId="3">
    <w:abstractNumId w:val="13"/>
  </w:num>
  <w:num w:numId="4">
    <w:abstractNumId w:val="19"/>
  </w:num>
  <w:num w:numId="5">
    <w:abstractNumId w:val="48"/>
  </w:num>
  <w:num w:numId="6">
    <w:abstractNumId w:val="26"/>
  </w:num>
  <w:num w:numId="7">
    <w:abstractNumId w:val="15"/>
  </w:num>
  <w:num w:numId="8">
    <w:abstractNumId w:val="12"/>
  </w:num>
  <w:num w:numId="9">
    <w:abstractNumId w:val="10"/>
  </w:num>
  <w:num w:numId="10">
    <w:abstractNumId w:val="32"/>
  </w:num>
  <w:num w:numId="11">
    <w:abstractNumId w:val="33"/>
  </w:num>
  <w:num w:numId="12">
    <w:abstractNumId w:val="41"/>
  </w:num>
  <w:num w:numId="13">
    <w:abstractNumId w:val="14"/>
  </w:num>
  <w:num w:numId="14">
    <w:abstractNumId w:val="7"/>
  </w:num>
  <w:num w:numId="15">
    <w:abstractNumId w:val="28"/>
  </w:num>
  <w:num w:numId="16">
    <w:abstractNumId w:val="43"/>
  </w:num>
  <w:num w:numId="17">
    <w:abstractNumId w:val="49"/>
  </w:num>
  <w:num w:numId="18">
    <w:abstractNumId w:val="35"/>
  </w:num>
  <w:num w:numId="19">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3"/>
  </w:num>
  <w:num w:numId="23">
    <w:abstractNumId w:val="30"/>
  </w:num>
  <w:num w:numId="24">
    <w:abstractNumId w:val="36"/>
  </w:num>
  <w:num w:numId="25">
    <w:abstractNumId w:val="46"/>
  </w:num>
  <w:num w:numId="26">
    <w:abstractNumId w:val="11"/>
  </w:num>
  <w:num w:numId="27">
    <w:abstractNumId w:val="37"/>
  </w:num>
  <w:num w:numId="28">
    <w:abstractNumId w:val="27"/>
  </w:num>
  <w:num w:numId="29">
    <w:abstractNumId w:val="17"/>
  </w:num>
  <w:num w:numId="30">
    <w:abstractNumId w:val="4"/>
  </w:num>
  <w:num w:numId="31">
    <w:abstractNumId w:val="1"/>
  </w:num>
  <w:num w:numId="32">
    <w:abstractNumId w:val="39"/>
  </w:num>
  <w:num w:numId="33">
    <w:abstractNumId w:val="24"/>
  </w:num>
  <w:num w:numId="34">
    <w:abstractNumId w:val="47"/>
  </w:num>
  <w:num w:numId="35">
    <w:abstractNumId w:val="38"/>
  </w:num>
  <w:num w:numId="36">
    <w:abstractNumId w:val="23"/>
  </w:num>
  <w:num w:numId="37">
    <w:abstractNumId w:val="9"/>
  </w:num>
  <w:num w:numId="38">
    <w:abstractNumId w:val="31"/>
  </w:num>
  <w:num w:numId="39">
    <w:abstractNumId w:val="40"/>
  </w:num>
  <w:num w:numId="40">
    <w:abstractNumId w:val="42"/>
  </w:num>
  <w:num w:numId="41">
    <w:abstractNumId w:val="29"/>
  </w:num>
  <w:num w:numId="42">
    <w:abstractNumId w:val="20"/>
  </w:num>
  <w:num w:numId="43">
    <w:abstractNumId w:val="25"/>
  </w:num>
  <w:num w:numId="44">
    <w:abstractNumId w:val="5"/>
  </w:num>
  <w:num w:numId="45">
    <w:abstractNumId w:val="22"/>
  </w:num>
  <w:num w:numId="46">
    <w:abstractNumId w:val="21"/>
  </w:num>
  <w:num w:numId="47">
    <w:abstractNumId w:val="45"/>
  </w:num>
  <w:num w:numId="48">
    <w:abstractNumId w:val="2"/>
  </w:num>
  <w:num w:numId="49">
    <w:abstractNumId w:val="18"/>
  </w:num>
  <w:num w:numId="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3FBB"/>
    <w:rsid w:val="00004DA3"/>
    <w:rsid w:val="000058BB"/>
    <w:rsid w:val="00011707"/>
    <w:rsid w:val="00016F6A"/>
    <w:rsid w:val="00021FA0"/>
    <w:rsid w:val="00035906"/>
    <w:rsid w:val="00042AE3"/>
    <w:rsid w:val="00046E51"/>
    <w:rsid w:val="0005216C"/>
    <w:rsid w:val="00060535"/>
    <w:rsid w:val="00062181"/>
    <w:rsid w:val="00064EBC"/>
    <w:rsid w:val="00072130"/>
    <w:rsid w:val="00072EA2"/>
    <w:rsid w:val="00075304"/>
    <w:rsid w:val="00084629"/>
    <w:rsid w:val="00096A9C"/>
    <w:rsid w:val="00096E13"/>
    <w:rsid w:val="000A3C94"/>
    <w:rsid w:val="000A4528"/>
    <w:rsid w:val="000B13CD"/>
    <w:rsid w:val="000B1B69"/>
    <w:rsid w:val="000B1CAA"/>
    <w:rsid w:val="000B3B88"/>
    <w:rsid w:val="000D0D69"/>
    <w:rsid w:val="000D5FE0"/>
    <w:rsid w:val="000F10D2"/>
    <w:rsid w:val="000F1D5D"/>
    <w:rsid w:val="000F508F"/>
    <w:rsid w:val="000F539E"/>
    <w:rsid w:val="00103297"/>
    <w:rsid w:val="00105331"/>
    <w:rsid w:val="00110BEE"/>
    <w:rsid w:val="001111BB"/>
    <w:rsid w:val="00124404"/>
    <w:rsid w:val="00126412"/>
    <w:rsid w:val="00145604"/>
    <w:rsid w:val="001458AE"/>
    <w:rsid w:val="00151F9E"/>
    <w:rsid w:val="00156DDE"/>
    <w:rsid w:val="00166B8B"/>
    <w:rsid w:val="00166DE2"/>
    <w:rsid w:val="0017127A"/>
    <w:rsid w:val="00171E31"/>
    <w:rsid w:val="0017414D"/>
    <w:rsid w:val="00177334"/>
    <w:rsid w:val="00182C88"/>
    <w:rsid w:val="00187F9F"/>
    <w:rsid w:val="00193EB2"/>
    <w:rsid w:val="001942E2"/>
    <w:rsid w:val="001A4320"/>
    <w:rsid w:val="001A6DA7"/>
    <w:rsid w:val="001B1713"/>
    <w:rsid w:val="001B3AE0"/>
    <w:rsid w:val="001C2753"/>
    <w:rsid w:val="001C73A9"/>
    <w:rsid w:val="001D5C12"/>
    <w:rsid w:val="001E6DEC"/>
    <w:rsid w:val="001F5D33"/>
    <w:rsid w:val="001F5E23"/>
    <w:rsid w:val="002006B0"/>
    <w:rsid w:val="00201B21"/>
    <w:rsid w:val="00206544"/>
    <w:rsid w:val="00217165"/>
    <w:rsid w:val="0022123A"/>
    <w:rsid w:val="00223F7D"/>
    <w:rsid w:val="00230A02"/>
    <w:rsid w:val="00244CA1"/>
    <w:rsid w:val="00256F9F"/>
    <w:rsid w:val="00260188"/>
    <w:rsid w:val="00270072"/>
    <w:rsid w:val="002724CD"/>
    <w:rsid w:val="00272F6D"/>
    <w:rsid w:val="00273C21"/>
    <w:rsid w:val="00286317"/>
    <w:rsid w:val="002958AB"/>
    <w:rsid w:val="00297BFC"/>
    <w:rsid w:val="002A08EF"/>
    <w:rsid w:val="002B7A41"/>
    <w:rsid w:val="002C241F"/>
    <w:rsid w:val="002F2E76"/>
    <w:rsid w:val="002F40D5"/>
    <w:rsid w:val="002F54DA"/>
    <w:rsid w:val="00310AE4"/>
    <w:rsid w:val="00315DEC"/>
    <w:rsid w:val="00323090"/>
    <w:rsid w:val="00327D50"/>
    <w:rsid w:val="00330E79"/>
    <w:rsid w:val="00331C1E"/>
    <w:rsid w:val="00332CC0"/>
    <w:rsid w:val="00343623"/>
    <w:rsid w:val="003606EA"/>
    <w:rsid w:val="003641CA"/>
    <w:rsid w:val="003653B5"/>
    <w:rsid w:val="00376A9C"/>
    <w:rsid w:val="00377591"/>
    <w:rsid w:val="00377A6E"/>
    <w:rsid w:val="003878D2"/>
    <w:rsid w:val="003900A2"/>
    <w:rsid w:val="00394481"/>
    <w:rsid w:val="003B0748"/>
    <w:rsid w:val="003B7FFD"/>
    <w:rsid w:val="003C7D7B"/>
    <w:rsid w:val="003D265E"/>
    <w:rsid w:val="003F0155"/>
    <w:rsid w:val="003F071E"/>
    <w:rsid w:val="003F6F32"/>
    <w:rsid w:val="003F7AA0"/>
    <w:rsid w:val="0040100D"/>
    <w:rsid w:val="00417E67"/>
    <w:rsid w:val="00430BB9"/>
    <w:rsid w:val="00433975"/>
    <w:rsid w:val="00452118"/>
    <w:rsid w:val="00456BAA"/>
    <w:rsid w:val="00466EC7"/>
    <w:rsid w:val="00471AC5"/>
    <w:rsid w:val="00476DD6"/>
    <w:rsid w:val="004806A4"/>
    <w:rsid w:val="004A3ED4"/>
    <w:rsid w:val="004A484F"/>
    <w:rsid w:val="004B53E6"/>
    <w:rsid w:val="004B7E93"/>
    <w:rsid w:val="004C0909"/>
    <w:rsid w:val="004C0B87"/>
    <w:rsid w:val="004D48A0"/>
    <w:rsid w:val="004D6D77"/>
    <w:rsid w:val="004E13B5"/>
    <w:rsid w:val="004E2D95"/>
    <w:rsid w:val="004E374A"/>
    <w:rsid w:val="004E3DE3"/>
    <w:rsid w:val="004E43E3"/>
    <w:rsid w:val="004F3EE5"/>
    <w:rsid w:val="005034F0"/>
    <w:rsid w:val="0050432D"/>
    <w:rsid w:val="005174B1"/>
    <w:rsid w:val="005210A4"/>
    <w:rsid w:val="00532388"/>
    <w:rsid w:val="00537B8F"/>
    <w:rsid w:val="005427E4"/>
    <w:rsid w:val="005463C3"/>
    <w:rsid w:val="00566B02"/>
    <w:rsid w:val="00580D54"/>
    <w:rsid w:val="00590A54"/>
    <w:rsid w:val="005A6567"/>
    <w:rsid w:val="005C1358"/>
    <w:rsid w:val="005C31F6"/>
    <w:rsid w:val="005C3375"/>
    <w:rsid w:val="005D0581"/>
    <w:rsid w:val="005D5EC5"/>
    <w:rsid w:val="005E2624"/>
    <w:rsid w:val="005E5AA4"/>
    <w:rsid w:val="005E6CDC"/>
    <w:rsid w:val="0060122A"/>
    <w:rsid w:val="00602963"/>
    <w:rsid w:val="00614BA9"/>
    <w:rsid w:val="006173F3"/>
    <w:rsid w:val="00625C6E"/>
    <w:rsid w:val="00625F13"/>
    <w:rsid w:val="0062603B"/>
    <w:rsid w:val="00626674"/>
    <w:rsid w:val="00627DB7"/>
    <w:rsid w:val="00634CB6"/>
    <w:rsid w:val="00637AD7"/>
    <w:rsid w:val="0064106E"/>
    <w:rsid w:val="00643B53"/>
    <w:rsid w:val="006503C9"/>
    <w:rsid w:val="006514DA"/>
    <w:rsid w:val="0065202F"/>
    <w:rsid w:val="00654A67"/>
    <w:rsid w:val="00657EEC"/>
    <w:rsid w:val="00666ED3"/>
    <w:rsid w:val="00670191"/>
    <w:rsid w:val="00682B06"/>
    <w:rsid w:val="006A0326"/>
    <w:rsid w:val="006A6B5D"/>
    <w:rsid w:val="006A6FE9"/>
    <w:rsid w:val="006B1949"/>
    <w:rsid w:val="006B4148"/>
    <w:rsid w:val="006B5344"/>
    <w:rsid w:val="006B53A1"/>
    <w:rsid w:val="006D17C2"/>
    <w:rsid w:val="006D46AA"/>
    <w:rsid w:val="006F19C5"/>
    <w:rsid w:val="006F3883"/>
    <w:rsid w:val="00704B2C"/>
    <w:rsid w:val="0072262D"/>
    <w:rsid w:val="007320FE"/>
    <w:rsid w:val="0073750F"/>
    <w:rsid w:val="007434EF"/>
    <w:rsid w:val="00747B98"/>
    <w:rsid w:val="00751137"/>
    <w:rsid w:val="00752272"/>
    <w:rsid w:val="00752678"/>
    <w:rsid w:val="00753ECF"/>
    <w:rsid w:val="007542B8"/>
    <w:rsid w:val="0076015E"/>
    <w:rsid w:val="007722AB"/>
    <w:rsid w:val="00773A6A"/>
    <w:rsid w:val="007742B8"/>
    <w:rsid w:val="007817F2"/>
    <w:rsid w:val="00792049"/>
    <w:rsid w:val="00792591"/>
    <w:rsid w:val="007A541D"/>
    <w:rsid w:val="007B2756"/>
    <w:rsid w:val="007B41D7"/>
    <w:rsid w:val="007B5A5E"/>
    <w:rsid w:val="007C14BE"/>
    <w:rsid w:val="007C2D0E"/>
    <w:rsid w:val="007D58DF"/>
    <w:rsid w:val="007E75CF"/>
    <w:rsid w:val="00802E49"/>
    <w:rsid w:val="00803762"/>
    <w:rsid w:val="00807908"/>
    <w:rsid w:val="00810C3F"/>
    <w:rsid w:val="0082203A"/>
    <w:rsid w:val="008275CD"/>
    <w:rsid w:val="0083363E"/>
    <w:rsid w:val="00846532"/>
    <w:rsid w:val="008532B5"/>
    <w:rsid w:val="00855A37"/>
    <w:rsid w:val="00867395"/>
    <w:rsid w:val="00872468"/>
    <w:rsid w:val="00874A09"/>
    <w:rsid w:val="008753A4"/>
    <w:rsid w:val="008857D5"/>
    <w:rsid w:val="00897185"/>
    <w:rsid w:val="008A0111"/>
    <w:rsid w:val="008A1394"/>
    <w:rsid w:val="008A2C90"/>
    <w:rsid w:val="008A3592"/>
    <w:rsid w:val="008A3595"/>
    <w:rsid w:val="008B02DD"/>
    <w:rsid w:val="008C0846"/>
    <w:rsid w:val="008D503C"/>
    <w:rsid w:val="008D7797"/>
    <w:rsid w:val="008D7AF3"/>
    <w:rsid w:val="008E3801"/>
    <w:rsid w:val="008E63F2"/>
    <w:rsid w:val="008E64E5"/>
    <w:rsid w:val="00907098"/>
    <w:rsid w:val="00911385"/>
    <w:rsid w:val="00912704"/>
    <w:rsid w:val="00914524"/>
    <w:rsid w:val="00914568"/>
    <w:rsid w:val="00920FC9"/>
    <w:rsid w:val="009218B3"/>
    <w:rsid w:val="009222FB"/>
    <w:rsid w:val="00926586"/>
    <w:rsid w:val="00930F5A"/>
    <w:rsid w:val="00933670"/>
    <w:rsid w:val="00934FEF"/>
    <w:rsid w:val="00951306"/>
    <w:rsid w:val="009532C3"/>
    <w:rsid w:val="00955B94"/>
    <w:rsid w:val="00973EA6"/>
    <w:rsid w:val="0097776E"/>
    <w:rsid w:val="00984254"/>
    <w:rsid w:val="009872C3"/>
    <w:rsid w:val="00991484"/>
    <w:rsid w:val="00992231"/>
    <w:rsid w:val="0099431D"/>
    <w:rsid w:val="00994BC4"/>
    <w:rsid w:val="009B12B0"/>
    <w:rsid w:val="009C6F9B"/>
    <w:rsid w:val="009D4572"/>
    <w:rsid w:val="009D7733"/>
    <w:rsid w:val="009D7818"/>
    <w:rsid w:val="009E0C76"/>
    <w:rsid w:val="009E22F1"/>
    <w:rsid w:val="009F1005"/>
    <w:rsid w:val="00A00E59"/>
    <w:rsid w:val="00A05FD5"/>
    <w:rsid w:val="00A16F07"/>
    <w:rsid w:val="00A22072"/>
    <w:rsid w:val="00A4098B"/>
    <w:rsid w:val="00A50231"/>
    <w:rsid w:val="00A53B74"/>
    <w:rsid w:val="00A544CE"/>
    <w:rsid w:val="00A56495"/>
    <w:rsid w:val="00A57572"/>
    <w:rsid w:val="00A65066"/>
    <w:rsid w:val="00A732F2"/>
    <w:rsid w:val="00A76CD1"/>
    <w:rsid w:val="00A773CD"/>
    <w:rsid w:val="00A82B2F"/>
    <w:rsid w:val="00A84422"/>
    <w:rsid w:val="00AA266C"/>
    <w:rsid w:val="00AC155D"/>
    <w:rsid w:val="00AC731D"/>
    <w:rsid w:val="00AC7FE7"/>
    <w:rsid w:val="00AE4BAD"/>
    <w:rsid w:val="00AE622A"/>
    <w:rsid w:val="00AF13C9"/>
    <w:rsid w:val="00AF28B3"/>
    <w:rsid w:val="00AF7997"/>
    <w:rsid w:val="00B0504F"/>
    <w:rsid w:val="00B07556"/>
    <w:rsid w:val="00B22CFC"/>
    <w:rsid w:val="00B27A76"/>
    <w:rsid w:val="00B322E7"/>
    <w:rsid w:val="00B349DE"/>
    <w:rsid w:val="00B40884"/>
    <w:rsid w:val="00B42314"/>
    <w:rsid w:val="00B44402"/>
    <w:rsid w:val="00B62DC6"/>
    <w:rsid w:val="00B818DE"/>
    <w:rsid w:val="00B84145"/>
    <w:rsid w:val="00B877BD"/>
    <w:rsid w:val="00B877CC"/>
    <w:rsid w:val="00B90030"/>
    <w:rsid w:val="00B91F95"/>
    <w:rsid w:val="00BA3310"/>
    <w:rsid w:val="00BA41AC"/>
    <w:rsid w:val="00BB156A"/>
    <w:rsid w:val="00BB2D1B"/>
    <w:rsid w:val="00BC0D1E"/>
    <w:rsid w:val="00BD027D"/>
    <w:rsid w:val="00BD2535"/>
    <w:rsid w:val="00BE0573"/>
    <w:rsid w:val="00BE6951"/>
    <w:rsid w:val="00BF4194"/>
    <w:rsid w:val="00C00A5E"/>
    <w:rsid w:val="00C109E9"/>
    <w:rsid w:val="00C17081"/>
    <w:rsid w:val="00C2751D"/>
    <w:rsid w:val="00C35B6A"/>
    <w:rsid w:val="00C43BAF"/>
    <w:rsid w:val="00C44CC3"/>
    <w:rsid w:val="00C47397"/>
    <w:rsid w:val="00C55B7B"/>
    <w:rsid w:val="00C659E5"/>
    <w:rsid w:val="00C66486"/>
    <w:rsid w:val="00C71EBB"/>
    <w:rsid w:val="00C73F46"/>
    <w:rsid w:val="00C7450E"/>
    <w:rsid w:val="00C87C6F"/>
    <w:rsid w:val="00C91CCB"/>
    <w:rsid w:val="00C97A50"/>
    <w:rsid w:val="00CA78B6"/>
    <w:rsid w:val="00CA7E74"/>
    <w:rsid w:val="00CB1814"/>
    <w:rsid w:val="00CB5C3D"/>
    <w:rsid w:val="00CB6680"/>
    <w:rsid w:val="00CC6EAF"/>
    <w:rsid w:val="00CC75CC"/>
    <w:rsid w:val="00CD73A2"/>
    <w:rsid w:val="00CD7616"/>
    <w:rsid w:val="00CF526F"/>
    <w:rsid w:val="00D02827"/>
    <w:rsid w:val="00D028A1"/>
    <w:rsid w:val="00D072E5"/>
    <w:rsid w:val="00D15C90"/>
    <w:rsid w:val="00D17B0F"/>
    <w:rsid w:val="00D2285A"/>
    <w:rsid w:val="00D304E0"/>
    <w:rsid w:val="00D30871"/>
    <w:rsid w:val="00D45786"/>
    <w:rsid w:val="00D4622D"/>
    <w:rsid w:val="00D55146"/>
    <w:rsid w:val="00D56A39"/>
    <w:rsid w:val="00D60CE9"/>
    <w:rsid w:val="00D61B78"/>
    <w:rsid w:val="00D6225E"/>
    <w:rsid w:val="00D62C30"/>
    <w:rsid w:val="00D65E24"/>
    <w:rsid w:val="00D66213"/>
    <w:rsid w:val="00D73F0B"/>
    <w:rsid w:val="00D84A48"/>
    <w:rsid w:val="00D851C8"/>
    <w:rsid w:val="00D86B29"/>
    <w:rsid w:val="00D913C5"/>
    <w:rsid w:val="00DA125E"/>
    <w:rsid w:val="00DC11C0"/>
    <w:rsid w:val="00DD2063"/>
    <w:rsid w:val="00DE180C"/>
    <w:rsid w:val="00DE611F"/>
    <w:rsid w:val="00DF0635"/>
    <w:rsid w:val="00DF61CF"/>
    <w:rsid w:val="00DF7F68"/>
    <w:rsid w:val="00E02216"/>
    <w:rsid w:val="00E04680"/>
    <w:rsid w:val="00E07898"/>
    <w:rsid w:val="00E112D4"/>
    <w:rsid w:val="00E211D8"/>
    <w:rsid w:val="00E3375A"/>
    <w:rsid w:val="00E33FC3"/>
    <w:rsid w:val="00E50204"/>
    <w:rsid w:val="00E52BA4"/>
    <w:rsid w:val="00E619FD"/>
    <w:rsid w:val="00E71BBA"/>
    <w:rsid w:val="00E72035"/>
    <w:rsid w:val="00E73C1B"/>
    <w:rsid w:val="00E74B4F"/>
    <w:rsid w:val="00E80823"/>
    <w:rsid w:val="00E81BB4"/>
    <w:rsid w:val="00E82F7C"/>
    <w:rsid w:val="00E87087"/>
    <w:rsid w:val="00E93BEC"/>
    <w:rsid w:val="00EA189F"/>
    <w:rsid w:val="00EA6398"/>
    <w:rsid w:val="00EA7502"/>
    <w:rsid w:val="00EB2102"/>
    <w:rsid w:val="00EB298A"/>
    <w:rsid w:val="00EB7616"/>
    <w:rsid w:val="00EC51F8"/>
    <w:rsid w:val="00EC5791"/>
    <w:rsid w:val="00ED66AB"/>
    <w:rsid w:val="00ED6F63"/>
    <w:rsid w:val="00EE192F"/>
    <w:rsid w:val="00EF4270"/>
    <w:rsid w:val="00EF5923"/>
    <w:rsid w:val="00F10E91"/>
    <w:rsid w:val="00F12983"/>
    <w:rsid w:val="00F12E08"/>
    <w:rsid w:val="00F216C8"/>
    <w:rsid w:val="00F237D2"/>
    <w:rsid w:val="00F31382"/>
    <w:rsid w:val="00F338AD"/>
    <w:rsid w:val="00F41613"/>
    <w:rsid w:val="00F5099C"/>
    <w:rsid w:val="00F65943"/>
    <w:rsid w:val="00F65D55"/>
    <w:rsid w:val="00F677DF"/>
    <w:rsid w:val="00F73CA0"/>
    <w:rsid w:val="00F758E0"/>
    <w:rsid w:val="00F91660"/>
    <w:rsid w:val="00F95C34"/>
    <w:rsid w:val="00FA23DC"/>
    <w:rsid w:val="00FB1861"/>
    <w:rsid w:val="00FB47CA"/>
    <w:rsid w:val="00FB6E38"/>
    <w:rsid w:val="00FB7544"/>
    <w:rsid w:val="00FB7A26"/>
    <w:rsid w:val="00FC1D27"/>
    <w:rsid w:val="00FD40C2"/>
    <w:rsid w:val="00FD639F"/>
    <w:rsid w:val="00FE4F31"/>
    <w:rsid w:val="00FE674B"/>
    <w:rsid w:val="00FF24FF"/>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AB59A8D7-8C74-48BC-A5BC-83D8F517C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paragraph" w:styleId="Ttulo1">
    <w:name w:val="heading 1"/>
    <w:basedOn w:val="Normal"/>
    <w:next w:val="Normal"/>
    <w:link w:val="Ttulo1Car"/>
    <w:qFormat/>
    <w:rsid w:val="004C0B87"/>
    <w:pPr>
      <w:keepNext/>
      <w:spacing w:after="0"/>
      <w:jc w:val="right"/>
      <w:outlineLvl w:val="0"/>
    </w:pPr>
    <w:rPr>
      <w:rFonts w:ascii="Arial Narrow" w:eastAsia="Times New Roman" w:hAnsi="Arial Narrow"/>
      <w:b/>
      <w:bCs/>
      <w:sz w:val="14"/>
      <w:lang w:val="es-ES" w:eastAsia="es-ES"/>
    </w:rPr>
  </w:style>
  <w:style w:type="paragraph" w:styleId="Ttulo2">
    <w:name w:val="heading 2"/>
    <w:basedOn w:val="Normal"/>
    <w:next w:val="Normal"/>
    <w:link w:val="Ttulo2Car"/>
    <w:qFormat/>
    <w:rsid w:val="004C0B87"/>
    <w:pPr>
      <w:keepNext/>
      <w:spacing w:after="0"/>
      <w:jc w:val="center"/>
      <w:outlineLvl w:val="1"/>
    </w:pPr>
    <w:rPr>
      <w:rFonts w:ascii="Arial Narrow" w:eastAsia="Times New Roman" w:hAnsi="Arial Narrow"/>
      <w:b/>
      <w:bCs/>
      <w:sz w:val="14"/>
      <w:lang w:val="es-ES" w:eastAsia="es-ES"/>
    </w:rPr>
  </w:style>
  <w:style w:type="paragraph" w:styleId="Ttulo3">
    <w:name w:val="heading 3"/>
    <w:basedOn w:val="Normal"/>
    <w:next w:val="Normal"/>
    <w:link w:val="Ttulo3Car"/>
    <w:qFormat/>
    <w:rsid w:val="004C0B87"/>
    <w:pPr>
      <w:keepNext/>
      <w:spacing w:after="0"/>
      <w:jc w:val="right"/>
      <w:outlineLvl w:val="2"/>
    </w:pPr>
    <w:rPr>
      <w:rFonts w:ascii="Times New Roman" w:eastAsia="Times New Roman" w:hAnsi="Times New Roman"/>
      <w:b/>
      <w:sz w:val="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751137"/>
    <w:pPr>
      <w:tabs>
        <w:tab w:val="center" w:pos="4252"/>
        <w:tab w:val="right" w:pos="8504"/>
      </w:tabs>
      <w:spacing w:after="0"/>
    </w:pPr>
  </w:style>
  <w:style w:type="character" w:customStyle="1" w:styleId="EncabezadoCar">
    <w:name w:val="Encabezado Car"/>
    <w:basedOn w:val="Fuentedeprrafopredeter"/>
    <w:link w:val="Encabezado"/>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aliases w:val=" Car4,Car,Car4,Car5"/>
    <w:basedOn w:val="Normal"/>
    <w:link w:val="TextoindependienteCar"/>
    <w:unhideWhenUsed/>
    <w:rsid w:val="00DF61CF"/>
    <w:pPr>
      <w:spacing w:after="120"/>
    </w:pPr>
  </w:style>
  <w:style w:type="character" w:customStyle="1" w:styleId="TextoindependienteCar">
    <w:name w:val="Texto independiente Car"/>
    <w:aliases w:val=" Car4 Car,Car Car,Car4 Car,Car5 Car"/>
    <w:basedOn w:val="Fuentedeprrafopredeter"/>
    <w:link w:val="Textoindependiente"/>
    <w:rsid w:val="00DF61CF"/>
    <w:rPr>
      <w:sz w:val="24"/>
      <w:szCs w:val="24"/>
      <w:lang w:val="es-ES_tradnl" w:eastAsia="en-US"/>
    </w:rPr>
  </w:style>
  <w:style w:type="character" w:styleId="Textoennegrita">
    <w:name w:val="Strong"/>
    <w:uiPriority w:val="22"/>
    <w:qFormat/>
    <w:rsid w:val="00B42314"/>
    <w:rPr>
      <w:b/>
      <w:bCs/>
    </w:rPr>
  </w:style>
  <w:style w:type="character" w:styleId="Hipervnculo">
    <w:name w:val="Hyperlink"/>
    <w:uiPriority w:val="99"/>
    <w:rsid w:val="00124404"/>
    <w:rPr>
      <w:color w:val="0000FF"/>
      <w:u w:val="single"/>
    </w:rPr>
  </w:style>
  <w:style w:type="character" w:customStyle="1" w:styleId="Ttulo1Car">
    <w:name w:val="Título 1 Car"/>
    <w:basedOn w:val="Fuentedeprrafopredeter"/>
    <w:link w:val="Ttulo1"/>
    <w:rsid w:val="004C0B87"/>
    <w:rPr>
      <w:rFonts w:ascii="Arial Narrow" w:eastAsia="Times New Roman" w:hAnsi="Arial Narrow"/>
      <w:b/>
      <w:bCs/>
      <w:sz w:val="14"/>
      <w:szCs w:val="24"/>
    </w:rPr>
  </w:style>
  <w:style w:type="character" w:customStyle="1" w:styleId="Ttulo2Car">
    <w:name w:val="Título 2 Car"/>
    <w:basedOn w:val="Fuentedeprrafopredeter"/>
    <w:link w:val="Ttulo2"/>
    <w:rsid w:val="004C0B87"/>
    <w:rPr>
      <w:rFonts w:ascii="Arial Narrow" w:eastAsia="Times New Roman" w:hAnsi="Arial Narrow"/>
      <w:b/>
      <w:bCs/>
      <w:sz w:val="14"/>
      <w:szCs w:val="24"/>
    </w:rPr>
  </w:style>
  <w:style w:type="character" w:customStyle="1" w:styleId="Ttulo3Car">
    <w:name w:val="Título 3 Car"/>
    <w:basedOn w:val="Fuentedeprrafopredeter"/>
    <w:link w:val="Ttulo3"/>
    <w:rsid w:val="004C0B87"/>
    <w:rPr>
      <w:rFonts w:ascii="Times New Roman" w:eastAsia="Times New Roman" w:hAnsi="Times New Roman"/>
      <w:b/>
      <w:sz w:val="6"/>
      <w:szCs w:val="24"/>
    </w:rPr>
  </w:style>
  <w:style w:type="paragraph" w:styleId="Puesto">
    <w:name w:val="Title"/>
    <w:basedOn w:val="Normal"/>
    <w:link w:val="PuestoCar"/>
    <w:qFormat/>
    <w:rsid w:val="004C0B87"/>
    <w:pPr>
      <w:spacing w:after="0"/>
      <w:jc w:val="center"/>
    </w:pPr>
    <w:rPr>
      <w:rFonts w:ascii="Arial" w:eastAsia="Times New Roman" w:hAnsi="Arial" w:cs="Arial"/>
      <w:b/>
      <w:bCs/>
      <w:lang w:val="es-ES" w:eastAsia="es-ES"/>
    </w:rPr>
  </w:style>
  <w:style w:type="character" w:customStyle="1" w:styleId="PuestoCar">
    <w:name w:val="Puesto Car"/>
    <w:basedOn w:val="Fuentedeprrafopredeter"/>
    <w:link w:val="Puesto"/>
    <w:rsid w:val="004C0B87"/>
    <w:rPr>
      <w:rFonts w:ascii="Arial" w:eastAsia="Times New Roman" w:hAnsi="Arial" w:cs="Arial"/>
      <w:b/>
      <w:bCs/>
      <w:sz w:val="24"/>
      <w:szCs w:val="24"/>
    </w:rPr>
  </w:style>
  <w:style w:type="character" w:customStyle="1" w:styleId="apple-converted-space">
    <w:name w:val="apple-converted-space"/>
    <w:rsid w:val="004C0B87"/>
  </w:style>
  <w:style w:type="character" w:styleId="Hipervnculovisitado">
    <w:name w:val="FollowedHyperlink"/>
    <w:basedOn w:val="Fuentedeprrafopredeter"/>
    <w:rsid w:val="004C0B87"/>
    <w:rPr>
      <w:color w:val="800080" w:themeColor="followedHyperlink"/>
      <w:u w:val="single"/>
    </w:rPr>
  </w:style>
  <w:style w:type="character" w:styleId="Textodelmarcadordeposicin">
    <w:name w:val="Placeholder Text"/>
    <w:basedOn w:val="Fuentedeprrafopredeter"/>
    <w:uiPriority w:val="99"/>
    <w:semiHidden/>
    <w:rsid w:val="004C0B87"/>
    <w:rPr>
      <w:color w:val="808080"/>
    </w:rPr>
  </w:style>
  <w:style w:type="paragraph" w:customStyle="1" w:styleId="western">
    <w:name w:val="western"/>
    <w:basedOn w:val="Normal"/>
    <w:rsid w:val="004C0B87"/>
    <w:pPr>
      <w:spacing w:before="100" w:beforeAutospacing="1" w:after="100" w:afterAutospacing="1"/>
    </w:pPr>
    <w:rPr>
      <w:rFonts w:ascii="Times New Roman" w:eastAsia="Times New Roman" w:hAnsi="Times New Roman"/>
      <w:lang w:val="es-ES" w:eastAsia="es-ES"/>
    </w:rPr>
  </w:style>
  <w:style w:type="paragraph" w:customStyle="1" w:styleId="CM34">
    <w:name w:val="CM34"/>
    <w:basedOn w:val="Default"/>
    <w:next w:val="Default"/>
    <w:uiPriority w:val="99"/>
    <w:rsid w:val="004C0B87"/>
    <w:rPr>
      <w:color w:val="auto"/>
    </w:rPr>
  </w:style>
  <w:style w:type="character" w:customStyle="1" w:styleId="descriptionid32424771siteid978">
    <w:name w:val="descriptionid32424771siteid978"/>
    <w:basedOn w:val="Fuentedeprrafopredeter"/>
    <w:rsid w:val="007434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734088">
      <w:bodyDiv w:val="1"/>
      <w:marLeft w:val="0"/>
      <w:marRight w:val="0"/>
      <w:marTop w:val="0"/>
      <w:marBottom w:val="0"/>
      <w:divBdr>
        <w:top w:val="none" w:sz="0" w:space="0" w:color="auto"/>
        <w:left w:val="none" w:sz="0" w:space="0" w:color="auto"/>
        <w:bottom w:val="none" w:sz="0" w:space="0" w:color="auto"/>
        <w:right w:val="none" w:sz="0" w:space="0" w:color="auto"/>
      </w:divBdr>
    </w:div>
    <w:div w:id="98262291">
      <w:bodyDiv w:val="1"/>
      <w:marLeft w:val="0"/>
      <w:marRight w:val="0"/>
      <w:marTop w:val="0"/>
      <w:marBottom w:val="0"/>
      <w:divBdr>
        <w:top w:val="none" w:sz="0" w:space="0" w:color="auto"/>
        <w:left w:val="none" w:sz="0" w:space="0" w:color="auto"/>
        <w:bottom w:val="none" w:sz="0" w:space="0" w:color="auto"/>
        <w:right w:val="none" w:sz="0" w:space="0" w:color="auto"/>
      </w:divBdr>
    </w:div>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43351202">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319844746">
      <w:bodyDiv w:val="1"/>
      <w:marLeft w:val="0"/>
      <w:marRight w:val="0"/>
      <w:marTop w:val="0"/>
      <w:marBottom w:val="0"/>
      <w:divBdr>
        <w:top w:val="none" w:sz="0" w:space="0" w:color="auto"/>
        <w:left w:val="none" w:sz="0" w:space="0" w:color="auto"/>
        <w:bottom w:val="none" w:sz="0" w:space="0" w:color="auto"/>
        <w:right w:val="none" w:sz="0" w:space="0" w:color="auto"/>
      </w:divBdr>
    </w:div>
    <w:div w:id="360865824">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26800369">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41043766">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05147049">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10335441">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131096759">
      <w:bodyDiv w:val="1"/>
      <w:marLeft w:val="0"/>
      <w:marRight w:val="0"/>
      <w:marTop w:val="0"/>
      <w:marBottom w:val="0"/>
      <w:divBdr>
        <w:top w:val="none" w:sz="0" w:space="0" w:color="auto"/>
        <w:left w:val="none" w:sz="0" w:space="0" w:color="auto"/>
        <w:bottom w:val="none" w:sz="0" w:space="0" w:color="auto"/>
        <w:right w:val="none" w:sz="0" w:space="0" w:color="auto"/>
      </w:divBdr>
    </w:div>
    <w:div w:id="1159924647">
      <w:bodyDiv w:val="1"/>
      <w:marLeft w:val="0"/>
      <w:marRight w:val="0"/>
      <w:marTop w:val="0"/>
      <w:marBottom w:val="0"/>
      <w:divBdr>
        <w:top w:val="none" w:sz="0" w:space="0" w:color="auto"/>
        <w:left w:val="none" w:sz="0" w:space="0" w:color="auto"/>
        <w:bottom w:val="none" w:sz="0" w:space="0" w:color="auto"/>
        <w:right w:val="none" w:sz="0" w:space="0" w:color="auto"/>
      </w:divBdr>
    </w:div>
    <w:div w:id="1183401857">
      <w:bodyDiv w:val="1"/>
      <w:marLeft w:val="0"/>
      <w:marRight w:val="0"/>
      <w:marTop w:val="0"/>
      <w:marBottom w:val="0"/>
      <w:divBdr>
        <w:top w:val="none" w:sz="0" w:space="0" w:color="auto"/>
        <w:left w:val="none" w:sz="0" w:space="0" w:color="auto"/>
        <w:bottom w:val="none" w:sz="0" w:space="0" w:color="auto"/>
        <w:right w:val="none" w:sz="0" w:space="0" w:color="auto"/>
      </w:divBdr>
    </w:div>
    <w:div w:id="1272203105">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82828985">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14432867">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19960849">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884320130">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www.dnp.gov.co/LinkClick.aspx?fileticket=LCxdG8ed924%3d&amp;tabid=1198" TargetMode="External"/><Relationship Id="rId13" Type="http://schemas.openxmlformats.org/officeDocument/2006/relationships/chart" Target="charts/chart1.xml"/><Relationship Id="rId18" Type="http://schemas.openxmlformats.org/officeDocument/2006/relationships/image" Target="media/image9.emf"/><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2.png"/><Relationship Id="rId19" Type="http://schemas.openxmlformats.org/officeDocument/2006/relationships/image" Target="media/image10.emf"/><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_rels/header2.xml.rels><?xml version="1.0" encoding="UTF-8" standalone="yes"?>
<Relationships xmlns="http://schemas.openxmlformats.org/package/2006/relationships"><Relationship Id="rId1" Type="http://schemas.openxmlformats.org/officeDocument/2006/relationships/image" Target="media/image21.png"/></Relationships>
</file>

<file path=word/_rels/header3.xml.rels><?xml version="1.0" encoding="UTF-8" standalone="yes"?>
<Relationships xmlns="http://schemas.openxmlformats.org/package/2006/relationships"><Relationship Id="rId1" Type="http://schemas.openxmlformats.org/officeDocument/2006/relationships/image" Target="media/image20.jpeg"/></Relationships>
</file>

<file path=word/charts/_rels/chart1.xml.rels><?xml version="1.0" encoding="UTF-8" standalone="yes"?>
<Relationships xmlns="http://schemas.openxmlformats.org/package/2006/relationships"><Relationship Id="rId2" Type="http://schemas.openxmlformats.org/officeDocument/2006/relationships/oleObject" Target="file:///D:\OCI\INFORMES\Inforne%20Seg.%20Ejecuci&#242;n%20Proyectos%20de%20Inversi&#242;n\MAYO\Ejecuci&#243;n%20Presupuestal%20a%20Abril%2030.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891451068616424E-2"/>
          <c:y val="3.6943822324456081E-2"/>
          <c:w val="0.95216741405082217"/>
          <c:h val="0.75668008753313898"/>
        </c:manualLayout>
      </c:layout>
      <c:lineChart>
        <c:grouping val="standard"/>
        <c:varyColors val="0"/>
        <c:ser>
          <c:idx val="0"/>
          <c:order val="0"/>
          <c:tx>
            <c:strRef>
              <c:f>PROYECCIONES!$B$7</c:f>
              <c:strCache>
                <c:ptCount val="1"/>
                <c:pt idx="0">
                  <c:v>COMPROMISOS-PROYECCION</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PROYECCIONES!$C$6:$N$6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PROYECCIONES!$C$7:$N$7</c:f>
              <c:numCache>
                <c:formatCode>General</c:formatCode>
                <c:ptCount val="12"/>
                <c:pt idx="3" formatCode="0.0%">
                  <c:v>0.24</c:v>
                </c:pt>
                <c:pt idx="4" formatCode="0.0%">
                  <c:v>0.35</c:v>
                </c:pt>
                <c:pt idx="5" formatCode="0.0%">
                  <c:v>0.44</c:v>
                </c:pt>
                <c:pt idx="6" formatCode="0.0%">
                  <c:v>0.52</c:v>
                </c:pt>
                <c:pt idx="7" formatCode="0.0%">
                  <c:v>0.56999999999999995</c:v>
                </c:pt>
                <c:pt idx="8" formatCode="0.0%">
                  <c:v>0.62</c:v>
                </c:pt>
                <c:pt idx="9" formatCode="0.0%">
                  <c:v>0.67</c:v>
                </c:pt>
                <c:pt idx="10" formatCode="0.0%">
                  <c:v>0.7</c:v>
                </c:pt>
                <c:pt idx="11" formatCode="0.0%">
                  <c:v>0.97</c:v>
                </c:pt>
              </c:numCache>
            </c:numRef>
          </c:val>
          <c:smooth val="0"/>
        </c:ser>
        <c:ser>
          <c:idx val="1"/>
          <c:order val="1"/>
          <c:tx>
            <c:strRef>
              <c:f>PROYECCIONES!$B$8</c:f>
              <c:strCache>
                <c:ptCount val="1"/>
                <c:pt idx="0">
                  <c:v>COMPROMISOS 2016</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PROYECCIONES!$C$6:$N$6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PROYECCIONES!$C$8:$N$8</c:f>
              <c:numCache>
                <c:formatCode>0.0%</c:formatCode>
                <c:ptCount val="12"/>
                <c:pt idx="0">
                  <c:v>7.726858176923479E-2</c:v>
                </c:pt>
                <c:pt idx="1">
                  <c:v>0.16404185960278392</c:v>
                </c:pt>
                <c:pt idx="2">
                  <c:v>0.19456401457513611</c:v>
                </c:pt>
                <c:pt idx="3">
                  <c:v>0.23475706750414677</c:v>
                </c:pt>
              </c:numCache>
            </c:numRef>
          </c:val>
          <c:smooth val="0"/>
        </c:ser>
        <c:ser>
          <c:idx val="2"/>
          <c:order val="2"/>
          <c:tx>
            <c:strRef>
              <c:f>PROYECCIONES!$B$9</c:f>
              <c:strCache>
                <c:ptCount val="1"/>
                <c:pt idx="0">
                  <c:v>OBLIGACIONES-PROYECCION</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PROYECCIONES!$C$6:$N$6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PROYECCIONES!$C$9:$N$9</c:f>
              <c:numCache>
                <c:formatCode>General</c:formatCode>
                <c:ptCount val="12"/>
                <c:pt idx="3" formatCode="0.0%">
                  <c:v>9.3236866783461533E-2</c:v>
                </c:pt>
                <c:pt idx="4" formatCode="0.0%">
                  <c:v>0.21212085722187693</c:v>
                </c:pt>
                <c:pt idx="5" formatCode="0.0%">
                  <c:v>0.31317224909453001</c:v>
                </c:pt>
                <c:pt idx="6" formatCode="0.0%">
                  <c:v>0.38450264335757922</c:v>
                </c:pt>
                <c:pt idx="7" formatCode="0.0%">
                  <c:v>0.45583303762062843</c:v>
                </c:pt>
                <c:pt idx="8" formatCode="0.0%">
                  <c:v>0.52835227178806177</c:v>
                </c:pt>
                <c:pt idx="9" formatCode="0.0%">
                  <c:v>0.59968266605111109</c:v>
                </c:pt>
                <c:pt idx="10" formatCode="0.0%">
                  <c:v>0.6710130603141603</c:v>
                </c:pt>
                <c:pt idx="11" formatCode="0.0%">
                  <c:v>0.94000000000000006</c:v>
                </c:pt>
              </c:numCache>
            </c:numRef>
          </c:val>
          <c:smooth val="0"/>
        </c:ser>
        <c:ser>
          <c:idx val="3"/>
          <c:order val="3"/>
          <c:tx>
            <c:strRef>
              <c:f>PROYECCIONES!$B$10</c:f>
              <c:strCache>
                <c:ptCount val="1"/>
                <c:pt idx="0">
                  <c:v>OBLIGACIONES 2016</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PROYECCIONES!$C$6:$N$6</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PROYECCIONES!$C$10:$N$10</c:f>
              <c:numCache>
                <c:formatCode>0.0%</c:formatCode>
                <c:ptCount val="12"/>
                <c:pt idx="0">
                  <c:v>1.6063640920013899E-3</c:v>
                </c:pt>
                <c:pt idx="1">
                  <c:v>2.7251877844379387E-2</c:v>
                </c:pt>
                <c:pt idx="2">
                  <c:v>4.7869296401800834E-2</c:v>
                </c:pt>
                <c:pt idx="3">
                  <c:v>8.472596338506623E-2</c:v>
                </c:pt>
              </c:numCache>
            </c:numRef>
          </c:val>
          <c:smooth val="0"/>
        </c:ser>
        <c:dLbls>
          <c:dLblPos val="b"/>
          <c:showLegendKey val="0"/>
          <c:showVal val="1"/>
          <c:showCatName val="0"/>
          <c:showSerName val="0"/>
          <c:showPercent val="0"/>
          <c:showBubbleSize val="0"/>
        </c:dLbls>
        <c:marker val="1"/>
        <c:smooth val="0"/>
        <c:axId val="387585368"/>
        <c:axId val="386662664"/>
      </c:lineChart>
      <c:catAx>
        <c:axId val="387585368"/>
        <c:scaling>
          <c:orientation val="minMax"/>
        </c:scaling>
        <c:delete val="1"/>
        <c:axPos val="b"/>
        <c:numFmt formatCode="General" sourceLinked="1"/>
        <c:majorTickMark val="none"/>
        <c:minorTickMark val="none"/>
        <c:tickLblPos val="nextTo"/>
        <c:crossAx val="386662664"/>
        <c:crosses val="autoZero"/>
        <c:auto val="1"/>
        <c:lblAlgn val="ctr"/>
        <c:lblOffset val="100"/>
        <c:noMultiLvlLbl val="0"/>
      </c:catAx>
      <c:valAx>
        <c:axId val="386662664"/>
        <c:scaling>
          <c:orientation val="minMax"/>
        </c:scaling>
        <c:delete val="1"/>
        <c:axPos val="l"/>
        <c:numFmt formatCode="General" sourceLinked="1"/>
        <c:majorTickMark val="none"/>
        <c:minorTickMark val="none"/>
        <c:tickLblPos val="nextTo"/>
        <c:crossAx val="387585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noFill/>
      <a:round/>
    </a:ln>
    <a:effectLst/>
  </c:spPr>
  <c:txPr>
    <a:bodyPr/>
    <a:lstStyle/>
    <a:p>
      <a:pPr>
        <a:defRPr/>
      </a:pPr>
      <a:endParaRPr lang="es-ES"/>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EED76D-6B88-4499-BC9F-1B2C974F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2333</TotalTime>
  <Pages>14</Pages>
  <Words>2872</Words>
  <Characters>15802</Characters>
  <Application>Microsoft Office Word</Application>
  <DocSecurity>0</DocSecurity>
  <Lines>131</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18637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Jose de Jesus Gutierrez Villalba</cp:lastModifiedBy>
  <cp:revision>51</cp:revision>
  <cp:lastPrinted>2015-03-27T20:27:00Z</cp:lastPrinted>
  <dcterms:created xsi:type="dcterms:W3CDTF">2015-03-27T13:58:00Z</dcterms:created>
  <dcterms:modified xsi:type="dcterms:W3CDTF">2016-05-31T17:56:00Z</dcterms:modified>
</cp:coreProperties>
</file>