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7229DA"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25</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4561AA"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05</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4561AA"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037309">
              <w:rPr>
                <w:rFonts w:ascii="Arial Narrow" w:eastAsia="Times New Roman" w:hAnsi="Arial Narrow" w:cs="Arial"/>
                <w:sz w:val="20"/>
                <w:szCs w:val="20"/>
                <w:lang w:val="es-ES" w:eastAsia="es-ES"/>
              </w:rPr>
              <w:t>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4561AA">
        <w:trPr>
          <w:trHeight w:val="268"/>
        </w:trPr>
        <w:tc>
          <w:tcPr>
            <w:tcW w:w="3427" w:type="dxa"/>
            <w:shd w:val="clear" w:color="auto" w:fill="E0E0E0"/>
            <w:vAlign w:val="center"/>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vAlign w:val="center"/>
          </w:tcPr>
          <w:p w:rsidR="007C14BE" w:rsidRPr="00D17C3A" w:rsidRDefault="004561AA" w:rsidP="004F3EE5">
            <w:pPr>
              <w:spacing w:after="0"/>
              <w:rPr>
                <w:rFonts w:ascii="Arial" w:eastAsia="SimSun" w:hAnsi="Arial" w:cs="Arial"/>
                <w:sz w:val="20"/>
                <w:szCs w:val="20"/>
              </w:rPr>
            </w:pPr>
            <w:r>
              <w:rPr>
                <w:rFonts w:ascii="Arial" w:eastAsia="SimSun" w:hAnsi="Arial" w:cs="Arial"/>
                <w:sz w:val="20"/>
                <w:szCs w:val="20"/>
              </w:rPr>
              <w:t>S</w:t>
            </w:r>
            <w:r w:rsidR="00037309">
              <w:rPr>
                <w:rFonts w:ascii="Arial" w:eastAsia="SimSun" w:hAnsi="Arial" w:cs="Arial"/>
                <w:sz w:val="20"/>
                <w:szCs w:val="20"/>
              </w:rPr>
              <w:t>17</w:t>
            </w:r>
          </w:p>
        </w:tc>
      </w:tr>
      <w:tr w:rsidR="00E112D4" w:rsidRPr="00BC309A" w:rsidTr="004561AA">
        <w:tblPrEx>
          <w:tblCellMar>
            <w:left w:w="70" w:type="dxa"/>
            <w:right w:w="70" w:type="dxa"/>
          </w:tblCellMar>
          <w:tblLook w:val="0000" w:firstRow="0" w:lastRow="0" w:firstColumn="0" w:lastColumn="0" w:noHBand="0" w:noVBand="0"/>
        </w:tblPrEx>
        <w:trPr>
          <w:trHeight w:val="70"/>
        </w:trPr>
        <w:tc>
          <w:tcPr>
            <w:tcW w:w="3427" w:type="dxa"/>
            <w:shd w:val="clear" w:color="auto" w:fill="E0E0E0"/>
            <w:vAlign w:val="center"/>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vAlign w:val="center"/>
          </w:tcPr>
          <w:p w:rsidR="00E112D4" w:rsidRPr="00177755" w:rsidRDefault="004561AA" w:rsidP="00DD2063">
            <w:pPr>
              <w:spacing w:after="0"/>
              <w:jc w:val="both"/>
              <w:rPr>
                <w:rFonts w:ascii="Arial" w:eastAsia="PMingLiU" w:hAnsi="Arial" w:cs="Arial"/>
                <w:bCs/>
                <w:color w:val="0000FF"/>
                <w:sz w:val="20"/>
                <w:szCs w:val="20"/>
              </w:rPr>
            </w:pPr>
            <w:r w:rsidRPr="00F577A0">
              <w:rPr>
                <w:rFonts w:ascii="Century Gothic" w:hAnsi="Century Gothic"/>
                <w:sz w:val="20"/>
                <w:szCs w:val="20"/>
              </w:rPr>
              <w:t xml:space="preserve">Informe Austeridad en el Gasto </w:t>
            </w:r>
            <w:r>
              <w:rPr>
                <w:rFonts w:ascii="Century Gothic" w:hAnsi="Century Gothic"/>
                <w:sz w:val="20"/>
                <w:szCs w:val="20"/>
              </w:rPr>
              <w:t>Trimestre 1</w:t>
            </w:r>
            <w:r w:rsidRPr="00F577A0">
              <w:rPr>
                <w:rFonts w:ascii="Century Gothic" w:hAnsi="Century Gothic"/>
                <w:sz w:val="20"/>
                <w:szCs w:val="20"/>
              </w:rPr>
              <w:t xml:space="preserve"> de 201</w:t>
            </w:r>
            <w:r w:rsidR="00037309">
              <w:rPr>
                <w:rFonts w:ascii="Century Gothic" w:hAnsi="Century Gothic"/>
                <w:sz w:val="20"/>
                <w:szCs w:val="20"/>
              </w:rPr>
              <w:t>6</w:t>
            </w:r>
          </w:p>
        </w:tc>
      </w:tr>
      <w:tr w:rsidR="00DD2063" w:rsidRPr="00BC309A" w:rsidTr="004561AA">
        <w:tblPrEx>
          <w:tblCellMar>
            <w:left w:w="70" w:type="dxa"/>
            <w:right w:w="70" w:type="dxa"/>
          </w:tblCellMar>
          <w:tblLook w:val="0000" w:firstRow="0" w:lastRow="0" w:firstColumn="0" w:lastColumn="0" w:noHBand="0" w:noVBand="0"/>
        </w:tblPrEx>
        <w:trPr>
          <w:trHeight w:val="70"/>
        </w:trPr>
        <w:tc>
          <w:tcPr>
            <w:tcW w:w="3427" w:type="dxa"/>
            <w:shd w:val="clear" w:color="auto" w:fill="E0E0E0"/>
            <w:vAlign w:val="center"/>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vAlign w:val="center"/>
          </w:tcPr>
          <w:p w:rsidR="00DD2063" w:rsidRPr="00177755" w:rsidRDefault="004561AA" w:rsidP="00DD2063">
            <w:pPr>
              <w:spacing w:after="0"/>
              <w:jc w:val="both"/>
              <w:rPr>
                <w:rFonts w:ascii="Arial" w:eastAsia="PMingLiU" w:hAnsi="Arial" w:cs="Arial"/>
                <w:bCs/>
                <w:color w:val="0000FF"/>
                <w:sz w:val="20"/>
                <w:szCs w:val="20"/>
              </w:rPr>
            </w:pPr>
            <w:r w:rsidRPr="00F577A0">
              <w:rPr>
                <w:rFonts w:ascii="Century Gothic" w:hAnsi="Century Gothic" w:cs="Arial"/>
                <w:sz w:val="20"/>
                <w:szCs w:val="20"/>
              </w:rPr>
              <w:t>Verificar el cumplimiento de las medidas de Austeridad en el Gasto dictadas por el Gobierno Nacional, establecidas en los Decretos 26 y 1737 de 1998, en la Unidad para la Atención y Reparación Integral a las Víctimas, relacionando la situación actual de los mismos y realizando las recomendaciones a las que haya lugar.</w:t>
            </w:r>
          </w:p>
        </w:tc>
      </w:tr>
      <w:tr w:rsidR="00DD2063" w:rsidRPr="00BC309A" w:rsidTr="004561AA">
        <w:tblPrEx>
          <w:tblCellMar>
            <w:left w:w="70" w:type="dxa"/>
            <w:right w:w="70" w:type="dxa"/>
          </w:tblCellMar>
          <w:tblLook w:val="0000" w:firstRow="0" w:lastRow="0" w:firstColumn="0" w:lastColumn="0" w:noHBand="0" w:noVBand="0"/>
        </w:tblPrEx>
        <w:trPr>
          <w:trHeight w:val="70"/>
        </w:trPr>
        <w:tc>
          <w:tcPr>
            <w:tcW w:w="3427" w:type="dxa"/>
            <w:shd w:val="clear" w:color="auto" w:fill="E0E0E0"/>
            <w:vAlign w:val="center"/>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vAlign w:val="center"/>
          </w:tcPr>
          <w:p w:rsidR="00DD2063" w:rsidRPr="006603E4" w:rsidRDefault="004561AA" w:rsidP="003C4CA7">
            <w:pPr>
              <w:spacing w:after="0"/>
              <w:rPr>
                <w:rFonts w:ascii="Arial" w:hAnsi="Arial" w:cs="Arial"/>
                <w:sz w:val="20"/>
                <w:szCs w:val="22"/>
              </w:rPr>
            </w:pPr>
            <w:r w:rsidRPr="00F577A0">
              <w:rPr>
                <w:rFonts w:ascii="Century Gothic" w:hAnsi="Century Gothic" w:cs="Arial"/>
                <w:sz w:val="20"/>
                <w:szCs w:val="20"/>
                <w:lang w:eastAsia="es-CO"/>
              </w:rPr>
              <w:t xml:space="preserve">El presente informe compara el comportamiento de los conceptos de Austeridad en el Gasto del </w:t>
            </w:r>
            <w:r>
              <w:rPr>
                <w:rFonts w:ascii="Century Gothic" w:hAnsi="Century Gothic" w:cs="Arial"/>
                <w:sz w:val="20"/>
                <w:szCs w:val="20"/>
                <w:lang w:eastAsia="es-CO"/>
              </w:rPr>
              <w:t>primer trimestre de las vigencias 201</w:t>
            </w:r>
            <w:r w:rsidR="003C4CA7">
              <w:rPr>
                <w:rFonts w:ascii="Century Gothic" w:hAnsi="Century Gothic" w:cs="Arial"/>
                <w:sz w:val="20"/>
                <w:szCs w:val="20"/>
                <w:lang w:eastAsia="es-CO"/>
              </w:rPr>
              <w:t>5</w:t>
            </w:r>
            <w:r>
              <w:rPr>
                <w:rFonts w:ascii="Century Gothic" w:hAnsi="Century Gothic" w:cs="Arial"/>
                <w:sz w:val="20"/>
                <w:szCs w:val="20"/>
                <w:lang w:eastAsia="es-CO"/>
              </w:rPr>
              <w:t xml:space="preserve"> y 201</w:t>
            </w:r>
            <w:r w:rsidR="003C4CA7">
              <w:rPr>
                <w:rFonts w:ascii="Century Gothic" w:hAnsi="Century Gothic" w:cs="Arial"/>
                <w:sz w:val="20"/>
                <w:szCs w:val="20"/>
                <w:lang w:eastAsia="es-CO"/>
              </w:rPr>
              <w:t>6</w:t>
            </w:r>
            <w:r w:rsidRPr="00F577A0">
              <w:rPr>
                <w:rFonts w:ascii="Century Gothic" w:hAnsi="Century Gothic" w:cs="Arial"/>
                <w:sz w:val="20"/>
                <w:szCs w:val="20"/>
                <w:lang w:eastAsia="es-CO"/>
              </w:rPr>
              <w:t>.</w:t>
            </w:r>
          </w:p>
        </w:tc>
      </w:tr>
      <w:tr w:rsidR="00DD2063" w:rsidRPr="00BC309A" w:rsidTr="004561AA">
        <w:tblPrEx>
          <w:tblCellMar>
            <w:left w:w="70" w:type="dxa"/>
            <w:right w:w="70" w:type="dxa"/>
          </w:tblCellMar>
          <w:tblLook w:val="0000" w:firstRow="0" w:lastRow="0" w:firstColumn="0" w:lastColumn="0" w:noHBand="0" w:noVBand="0"/>
        </w:tblPrEx>
        <w:trPr>
          <w:trHeight w:val="74"/>
        </w:trPr>
        <w:tc>
          <w:tcPr>
            <w:tcW w:w="3427" w:type="dxa"/>
            <w:shd w:val="clear" w:color="auto" w:fill="E0E0E0"/>
            <w:vAlign w:val="center"/>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vAlign w:val="center"/>
          </w:tcPr>
          <w:p w:rsidR="004561AA" w:rsidRPr="00F577A0" w:rsidRDefault="004561AA" w:rsidP="004561AA">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1737 de 1998</w:t>
            </w:r>
          </w:p>
          <w:p w:rsidR="004561AA" w:rsidRPr="00F577A0" w:rsidRDefault="004561AA" w:rsidP="004561AA">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26 de 1998</w:t>
            </w:r>
          </w:p>
          <w:p w:rsidR="004561AA" w:rsidRPr="00F577A0" w:rsidRDefault="004561AA" w:rsidP="004561AA">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cs="Arial"/>
                <w:sz w:val="20"/>
                <w:szCs w:val="20"/>
              </w:rPr>
              <w:t>Decreto 984 de 2012</w:t>
            </w:r>
          </w:p>
          <w:p w:rsidR="004561AA" w:rsidRPr="00F577A0" w:rsidRDefault="004561AA" w:rsidP="004561AA">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Circular Nº 2 del 29 de marzo de 2004 del Alto concejero Presidencial y Director del Departamento Administrativo de la Función Pública.</w:t>
            </w:r>
          </w:p>
          <w:p w:rsidR="004561AA" w:rsidRPr="00F577A0" w:rsidRDefault="004561AA" w:rsidP="004561AA">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sz w:val="20"/>
                <w:szCs w:val="20"/>
              </w:rPr>
              <w:t>Circular Nº 002 del 03 de Octubre de 2008 Directores Departamento Administrativo de la Presidencia de la Republica y Departamento Administrativo de la Función Pública</w:t>
            </w:r>
          </w:p>
          <w:p w:rsidR="00DD2063" w:rsidRPr="00D7687A" w:rsidRDefault="004561AA" w:rsidP="00DD2063">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Directiva Presidencial Nº 10 de 20 de Agosto de 2002</w:t>
            </w:r>
          </w:p>
          <w:p w:rsidR="00D7687A" w:rsidRPr="00D7687A" w:rsidRDefault="00D7687A" w:rsidP="00D7687A">
            <w:pPr>
              <w:pStyle w:val="Prrafodelista"/>
              <w:numPr>
                <w:ilvl w:val="0"/>
                <w:numId w:val="22"/>
              </w:numPr>
              <w:spacing w:after="0"/>
              <w:ind w:hanging="720"/>
              <w:jc w:val="both"/>
              <w:rPr>
                <w:rFonts w:ascii="Century Gothic" w:hAnsi="Century Gothic"/>
                <w:sz w:val="20"/>
                <w:szCs w:val="20"/>
              </w:rPr>
            </w:pPr>
            <w:r>
              <w:rPr>
                <w:rFonts w:ascii="Century Gothic" w:hAnsi="Century Gothic" w:cs="Arial"/>
                <w:sz w:val="20"/>
                <w:szCs w:val="20"/>
              </w:rPr>
              <w:t>Directiva Presidencial Nº 02 de 03</w:t>
            </w:r>
            <w:r w:rsidRPr="00F577A0">
              <w:rPr>
                <w:rFonts w:ascii="Century Gothic" w:hAnsi="Century Gothic" w:cs="Arial"/>
                <w:sz w:val="20"/>
                <w:szCs w:val="20"/>
              </w:rPr>
              <w:t xml:space="preserve"> de </w:t>
            </w:r>
            <w:r>
              <w:rPr>
                <w:rFonts w:ascii="Century Gothic" w:hAnsi="Century Gothic" w:cs="Arial"/>
                <w:sz w:val="20"/>
                <w:szCs w:val="20"/>
              </w:rPr>
              <w:t xml:space="preserve">Diciembre de </w:t>
            </w:r>
            <w:r w:rsidRPr="00F577A0">
              <w:rPr>
                <w:rFonts w:ascii="Century Gothic" w:hAnsi="Century Gothic" w:cs="Arial"/>
                <w:sz w:val="20"/>
                <w:szCs w:val="20"/>
              </w:rPr>
              <w:t>20</w:t>
            </w:r>
            <w:r>
              <w:rPr>
                <w:rFonts w:ascii="Century Gothic" w:hAnsi="Century Gothic" w:cs="Arial"/>
                <w:sz w:val="20"/>
                <w:szCs w:val="20"/>
              </w:rPr>
              <w:t>15</w:t>
            </w:r>
          </w:p>
          <w:p w:rsidR="00D7687A" w:rsidRPr="00D7687A" w:rsidRDefault="00D7687A" w:rsidP="00D7687A">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 xml:space="preserve">Directiva Presidencial Nº </w:t>
            </w:r>
            <w:r>
              <w:rPr>
                <w:rFonts w:ascii="Century Gothic" w:hAnsi="Century Gothic" w:cs="Arial"/>
                <w:sz w:val="20"/>
                <w:szCs w:val="20"/>
              </w:rPr>
              <w:t>01</w:t>
            </w:r>
            <w:r w:rsidRPr="00F577A0">
              <w:rPr>
                <w:rFonts w:ascii="Century Gothic" w:hAnsi="Century Gothic" w:cs="Arial"/>
                <w:sz w:val="20"/>
                <w:szCs w:val="20"/>
              </w:rPr>
              <w:t xml:space="preserve"> de </w:t>
            </w:r>
            <w:r>
              <w:rPr>
                <w:rFonts w:ascii="Century Gothic" w:hAnsi="Century Gothic" w:cs="Arial"/>
                <w:sz w:val="20"/>
                <w:szCs w:val="20"/>
              </w:rPr>
              <w:t>10</w:t>
            </w:r>
            <w:r w:rsidRPr="00F577A0">
              <w:rPr>
                <w:rFonts w:ascii="Century Gothic" w:hAnsi="Century Gothic" w:cs="Arial"/>
                <w:sz w:val="20"/>
                <w:szCs w:val="20"/>
              </w:rPr>
              <w:t xml:space="preserve"> de </w:t>
            </w:r>
            <w:r>
              <w:rPr>
                <w:rFonts w:ascii="Century Gothic" w:hAnsi="Century Gothic" w:cs="Arial"/>
                <w:sz w:val="20"/>
                <w:szCs w:val="20"/>
              </w:rPr>
              <w:t>Febrero</w:t>
            </w:r>
            <w:r w:rsidRPr="00F577A0">
              <w:rPr>
                <w:rFonts w:ascii="Century Gothic" w:hAnsi="Century Gothic" w:cs="Arial"/>
                <w:sz w:val="20"/>
                <w:szCs w:val="20"/>
              </w:rPr>
              <w:t xml:space="preserve"> de 20</w:t>
            </w:r>
            <w:r>
              <w:rPr>
                <w:rFonts w:ascii="Century Gothic" w:hAnsi="Century Gothic" w:cs="Arial"/>
                <w:sz w:val="20"/>
                <w:szCs w:val="20"/>
              </w:rPr>
              <w:t>16</w:t>
            </w:r>
          </w:p>
        </w:tc>
      </w:tr>
    </w:tbl>
    <w:p w:rsidR="00DD2063"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632"/>
      </w:tblGrid>
      <w:tr w:rsidR="00DD2063" w:rsidRPr="006369FA" w:rsidTr="00E108C2">
        <w:tc>
          <w:tcPr>
            <w:tcW w:w="10632" w:type="dxa"/>
            <w:shd w:val="clear" w:color="auto" w:fill="D9D9D9"/>
            <w:vAlign w:val="center"/>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DD2063" w:rsidRPr="006369FA" w:rsidTr="00CC12F5">
        <w:tblPrEx>
          <w:tblCellMar>
            <w:left w:w="70" w:type="dxa"/>
            <w:right w:w="70" w:type="dxa"/>
          </w:tblCellMar>
        </w:tblPrEx>
        <w:tc>
          <w:tcPr>
            <w:tcW w:w="10632" w:type="dxa"/>
            <w:shd w:val="clear" w:color="auto" w:fill="auto"/>
            <w:vAlign w:val="center"/>
          </w:tcPr>
          <w:p w:rsidR="00F8093F" w:rsidRPr="00F577A0" w:rsidRDefault="00F8093F" w:rsidP="00F8093F">
            <w:pPr>
              <w:jc w:val="both"/>
              <w:rPr>
                <w:rFonts w:ascii="Century Gothic" w:hAnsi="Century Gothic" w:cs="Arial"/>
                <w:sz w:val="20"/>
                <w:szCs w:val="20"/>
                <w:lang w:eastAsia="es-CO"/>
              </w:rPr>
            </w:pPr>
            <w:r w:rsidRPr="00F577A0">
              <w:rPr>
                <w:rFonts w:ascii="Century Gothic" w:hAnsi="Century Gothic" w:cs="Arial"/>
                <w:sz w:val="20"/>
                <w:szCs w:val="20"/>
                <w:lang w:eastAsia="es-CO"/>
              </w:rPr>
              <w:t xml:space="preserve">A continuación se relacionaran por cada uno de los capítulos de los Decretos que reglamentan la Austeridad en el Gasto, las diferentes situaciones encontradas y las recomendaciones realizadas por esta Oficina. </w:t>
            </w:r>
          </w:p>
          <w:p w:rsidR="00F8093F" w:rsidRPr="00F577A0" w:rsidRDefault="00F8093F" w:rsidP="00F8093F">
            <w:pPr>
              <w:pStyle w:val="Ttulo1"/>
              <w:keepLines/>
              <w:numPr>
                <w:ilvl w:val="0"/>
                <w:numId w:val="23"/>
              </w:numPr>
              <w:spacing w:before="480"/>
              <w:jc w:val="left"/>
              <w:rPr>
                <w:rFonts w:ascii="Century Gothic" w:hAnsi="Century Gothic"/>
                <w:sz w:val="20"/>
                <w:szCs w:val="20"/>
              </w:rPr>
            </w:pPr>
            <w:r w:rsidRPr="00F577A0">
              <w:rPr>
                <w:rFonts w:ascii="Century Gothic" w:hAnsi="Century Gothic"/>
                <w:sz w:val="20"/>
                <w:szCs w:val="20"/>
              </w:rPr>
              <w:t>Personal – Capitulo II del Decreto 1737 de 1998</w:t>
            </w:r>
          </w:p>
          <w:p w:rsidR="00F8093F" w:rsidRPr="00F577A0" w:rsidRDefault="00F8093F" w:rsidP="00F8093F">
            <w:pPr>
              <w:rPr>
                <w:rFonts w:ascii="Century Gothic" w:eastAsia="PMingLiU" w:hAnsi="Century Gothic" w:cs="Arial"/>
                <w:bCs/>
                <w:color w:val="0000FF"/>
                <w:sz w:val="20"/>
                <w:szCs w:val="20"/>
                <w:lang w:val="es-ES"/>
              </w:rPr>
            </w:pPr>
          </w:p>
          <w:p w:rsidR="00F8093F" w:rsidRPr="00F577A0" w:rsidRDefault="00F8093F" w:rsidP="00F8093F">
            <w:pPr>
              <w:pStyle w:val="Prrafodelista"/>
              <w:ind w:left="0"/>
              <w:jc w:val="both"/>
              <w:rPr>
                <w:rFonts w:ascii="Century Gothic" w:hAnsi="Century Gothic" w:cs="Arial"/>
                <w:sz w:val="20"/>
                <w:szCs w:val="20"/>
                <w:lang w:val="es-MX" w:eastAsia="es-CO"/>
              </w:rPr>
            </w:pPr>
            <w:r w:rsidRPr="00F577A0">
              <w:rPr>
                <w:rFonts w:ascii="Century Gothic" w:hAnsi="Century Gothic" w:cs="Arial"/>
                <w:sz w:val="20"/>
                <w:szCs w:val="20"/>
                <w:lang w:eastAsia="es-CO"/>
              </w:rPr>
              <w:t>Se</w:t>
            </w:r>
            <w:r w:rsidRPr="00F577A0">
              <w:rPr>
                <w:rFonts w:ascii="Century Gothic" w:hAnsi="Century Gothic" w:cs="Arial"/>
                <w:sz w:val="20"/>
                <w:szCs w:val="20"/>
                <w:lang w:val="es-MX" w:eastAsia="es-CO"/>
              </w:rPr>
              <w:t xml:space="preserve"> observó la siguiente relación entre contratistas y profesionales de planta en la UARIV, evidenciando que la cantidad de contratistas de las áreas misionales y de apoyo es superior al personal de planta. </w:t>
            </w:r>
          </w:p>
          <w:p w:rsidR="00F8093F" w:rsidRPr="00F577A0" w:rsidRDefault="00F8093F" w:rsidP="00F8093F">
            <w:pPr>
              <w:pStyle w:val="Prrafodelista"/>
              <w:ind w:left="0"/>
              <w:jc w:val="both"/>
              <w:rPr>
                <w:rFonts w:ascii="Century Gothic" w:hAnsi="Century Gothic" w:cs="Arial"/>
                <w:sz w:val="20"/>
                <w:szCs w:val="20"/>
                <w:lang w:val="es-MX" w:eastAsia="es-CO"/>
              </w:rPr>
            </w:pPr>
          </w:p>
          <w:p w:rsidR="00F8093F" w:rsidRPr="00F577A0" w:rsidRDefault="00F8093F" w:rsidP="00F8093F">
            <w:pPr>
              <w:pStyle w:val="Prrafodelista"/>
              <w:numPr>
                <w:ilvl w:val="1"/>
                <w:numId w:val="23"/>
              </w:numPr>
              <w:spacing w:after="0"/>
              <w:jc w:val="both"/>
              <w:rPr>
                <w:rFonts w:ascii="Century Gothic" w:hAnsi="Century Gothic" w:cs="Arial"/>
                <w:b/>
                <w:sz w:val="20"/>
                <w:szCs w:val="20"/>
                <w:lang w:val="es-MX" w:eastAsia="es-CO"/>
              </w:rPr>
            </w:pPr>
            <w:r w:rsidRPr="00F577A0">
              <w:rPr>
                <w:rFonts w:ascii="Century Gothic" w:hAnsi="Century Gothic" w:cs="Arial"/>
                <w:b/>
                <w:sz w:val="20"/>
                <w:szCs w:val="20"/>
                <w:lang w:val="es-MX" w:eastAsia="es-CO"/>
              </w:rPr>
              <w:t>Talento Humano.</w:t>
            </w:r>
          </w:p>
          <w:p w:rsidR="00F8093F" w:rsidRDefault="00F8093F"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7229DA" w:rsidRDefault="007229DA"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8C4155" w:rsidRDefault="008C4155" w:rsidP="00F8093F">
            <w:pPr>
              <w:pStyle w:val="Prrafodelista"/>
              <w:ind w:left="0"/>
              <w:jc w:val="both"/>
              <w:rPr>
                <w:rFonts w:ascii="Century Gothic" w:hAnsi="Century Gothic" w:cs="Arial"/>
                <w:sz w:val="20"/>
                <w:szCs w:val="20"/>
                <w:lang w:val="es-MX" w:eastAsia="es-CO"/>
              </w:rPr>
            </w:pPr>
          </w:p>
          <w:p w:rsidR="008C4155" w:rsidRPr="00F577A0" w:rsidRDefault="008C4155" w:rsidP="00F8093F">
            <w:pPr>
              <w:pStyle w:val="Prrafodelista"/>
              <w:ind w:left="0"/>
              <w:jc w:val="both"/>
              <w:rPr>
                <w:rFonts w:ascii="Century Gothic" w:hAnsi="Century Gothic" w:cs="Arial"/>
                <w:sz w:val="20"/>
                <w:szCs w:val="20"/>
                <w:lang w:val="es-MX" w:eastAsia="es-CO"/>
              </w:rPr>
            </w:pPr>
          </w:p>
          <w:tbl>
            <w:tblPr>
              <w:tblStyle w:val="Tablaconcuadrcula"/>
              <w:tblW w:w="0" w:type="auto"/>
              <w:tblLayout w:type="fixed"/>
              <w:tblLook w:val="04A0" w:firstRow="1" w:lastRow="0" w:firstColumn="1" w:lastColumn="0" w:noHBand="0" w:noVBand="1"/>
            </w:tblPr>
            <w:tblGrid>
              <w:gridCol w:w="454"/>
              <w:gridCol w:w="1671"/>
              <w:gridCol w:w="1540"/>
              <w:gridCol w:w="1560"/>
              <w:gridCol w:w="1760"/>
              <w:gridCol w:w="3386"/>
            </w:tblGrid>
            <w:tr w:rsidR="008B7C4A" w:rsidRPr="008B7C4A" w:rsidTr="008C4155">
              <w:trPr>
                <w:trHeight w:val="300"/>
              </w:trPr>
              <w:tc>
                <w:tcPr>
                  <w:tcW w:w="454" w:type="dxa"/>
                  <w:noWrap/>
                  <w:vAlign w:val="center"/>
                  <w:hideMark/>
                </w:tcPr>
                <w:p w:rsidR="008B7C4A" w:rsidRPr="008B7C4A" w:rsidRDefault="008B7C4A" w:rsidP="008C4155">
                  <w:pPr>
                    <w:jc w:val="center"/>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lastRenderedPageBreak/>
                    <w:t>Nº</w:t>
                  </w:r>
                </w:p>
              </w:tc>
              <w:tc>
                <w:tcPr>
                  <w:tcW w:w="6531" w:type="dxa"/>
                  <w:gridSpan w:val="4"/>
                  <w:noWrap/>
                  <w:vAlign w:val="center"/>
                  <w:hideMark/>
                </w:tcPr>
                <w:p w:rsidR="008B7C4A" w:rsidRPr="008B7C4A" w:rsidRDefault="008B7C4A" w:rsidP="008C4155">
                  <w:pPr>
                    <w:jc w:val="center"/>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Aspectos cuantitativos</w:t>
                  </w:r>
                </w:p>
              </w:tc>
              <w:tc>
                <w:tcPr>
                  <w:tcW w:w="3386" w:type="dxa"/>
                  <w:noWrap/>
                  <w:vAlign w:val="center"/>
                  <w:hideMark/>
                </w:tcPr>
                <w:p w:rsidR="008B7C4A" w:rsidRPr="008B7C4A" w:rsidRDefault="008B7C4A" w:rsidP="008C4155">
                  <w:pPr>
                    <w:jc w:val="center"/>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Situaciones encontradas por la OCI</w:t>
                  </w:r>
                </w:p>
              </w:tc>
            </w:tr>
            <w:tr w:rsidR="008B7C4A" w:rsidRPr="008B7C4A" w:rsidTr="008C4155">
              <w:trPr>
                <w:trHeight w:val="1560"/>
              </w:trPr>
              <w:tc>
                <w:tcPr>
                  <w:tcW w:w="454" w:type="dxa"/>
                  <w:noWrap/>
                  <w:vAlign w:val="center"/>
                  <w:hideMark/>
                </w:tcPr>
                <w:p w:rsidR="008B7C4A" w:rsidRPr="008B7C4A" w:rsidRDefault="008B7C4A" w:rsidP="008C4155">
                  <w:pPr>
                    <w:jc w:val="center"/>
                    <w:rPr>
                      <w:rFonts w:ascii="Century Gothic" w:eastAsia="Times New Roman" w:hAnsi="Century Gothic"/>
                      <w:color w:val="000000"/>
                      <w:sz w:val="16"/>
                      <w:szCs w:val="16"/>
                      <w:lang w:val="es-CO" w:eastAsia="es-CO"/>
                    </w:rPr>
                  </w:pPr>
                  <w:r w:rsidRPr="008B7C4A">
                    <w:rPr>
                      <w:rFonts w:ascii="Century Gothic" w:eastAsia="Times New Roman" w:hAnsi="Century Gothic"/>
                      <w:color w:val="000000"/>
                      <w:sz w:val="16"/>
                      <w:szCs w:val="16"/>
                      <w:lang w:val="es-CO" w:eastAsia="es-CO"/>
                    </w:rPr>
                    <w:t> </w:t>
                  </w:r>
                </w:p>
              </w:tc>
              <w:tc>
                <w:tcPr>
                  <w:tcW w:w="1671" w:type="dxa"/>
                  <w:vAlign w:val="center"/>
                  <w:hideMark/>
                </w:tcPr>
                <w:p w:rsidR="008B7C4A" w:rsidRPr="008B7C4A" w:rsidRDefault="008B7C4A" w:rsidP="008C4155">
                  <w:pPr>
                    <w:jc w:val="center"/>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Concepto</w:t>
                  </w:r>
                </w:p>
              </w:tc>
              <w:tc>
                <w:tcPr>
                  <w:tcW w:w="1540" w:type="dxa"/>
                  <w:vAlign w:val="center"/>
                  <w:hideMark/>
                </w:tcPr>
                <w:p w:rsidR="008B7C4A" w:rsidRPr="008B7C4A" w:rsidRDefault="008B7C4A" w:rsidP="008C4155">
                  <w:pPr>
                    <w:jc w:val="center"/>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Valor pagado entre  Enero - Marzo de la vigencia 2015</w:t>
                  </w:r>
                </w:p>
              </w:tc>
              <w:tc>
                <w:tcPr>
                  <w:tcW w:w="1560" w:type="dxa"/>
                  <w:vAlign w:val="center"/>
                  <w:hideMark/>
                </w:tcPr>
                <w:p w:rsidR="008B7C4A" w:rsidRPr="008B7C4A" w:rsidRDefault="008B7C4A" w:rsidP="008C4155">
                  <w:pPr>
                    <w:jc w:val="center"/>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Valor pagado entre Enero - Marzo de la vigencia 2016</w:t>
                  </w:r>
                </w:p>
              </w:tc>
              <w:tc>
                <w:tcPr>
                  <w:tcW w:w="1760" w:type="dxa"/>
                  <w:vAlign w:val="center"/>
                  <w:hideMark/>
                </w:tcPr>
                <w:p w:rsidR="008B7C4A" w:rsidRPr="008B7C4A" w:rsidRDefault="008B7C4A" w:rsidP="008C4155">
                  <w:pPr>
                    <w:jc w:val="center"/>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 Variación del valor pagado entre Enero - Marzo de 2016 respecto al mismo periodo de la vigencia 2015</w:t>
                  </w:r>
                </w:p>
              </w:tc>
              <w:tc>
                <w:tcPr>
                  <w:tcW w:w="3386" w:type="dxa"/>
                  <w:vMerge w:val="restart"/>
                  <w:vAlign w:val="center"/>
                  <w:hideMark/>
                </w:tcPr>
                <w:p w:rsidR="006B359A" w:rsidRDefault="008B7C4A" w:rsidP="006B359A">
                  <w:pPr>
                    <w:jc w:val="both"/>
                    <w:rPr>
                      <w:rFonts w:ascii="Century Gothic" w:eastAsia="Times New Roman" w:hAnsi="Century Gothic"/>
                      <w:color w:val="000000"/>
                      <w:sz w:val="16"/>
                      <w:szCs w:val="16"/>
                      <w:lang w:val="es-CO" w:eastAsia="es-CO"/>
                    </w:rPr>
                  </w:pPr>
                  <w:r w:rsidRPr="008B7C4A">
                    <w:rPr>
                      <w:rFonts w:ascii="Century Gothic" w:eastAsia="Times New Roman" w:hAnsi="Century Gothic"/>
                      <w:color w:val="000000"/>
                      <w:sz w:val="16"/>
                      <w:szCs w:val="16"/>
                      <w:lang w:val="es-CO" w:eastAsia="es-CO"/>
                    </w:rPr>
                    <w:t>En los servicios perso</w:t>
                  </w:r>
                  <w:r w:rsidR="007229DA">
                    <w:rPr>
                      <w:rFonts w:ascii="Century Gothic" w:eastAsia="Times New Roman" w:hAnsi="Century Gothic"/>
                      <w:color w:val="000000"/>
                      <w:sz w:val="16"/>
                      <w:szCs w:val="16"/>
                      <w:lang w:val="es-CO" w:eastAsia="es-CO"/>
                    </w:rPr>
                    <w:t>nales de nómina se encuentra un</w:t>
                  </w:r>
                  <w:r w:rsidRPr="008B7C4A">
                    <w:rPr>
                      <w:rFonts w:ascii="Century Gothic" w:eastAsia="Times New Roman" w:hAnsi="Century Gothic"/>
                      <w:color w:val="000000"/>
                      <w:sz w:val="16"/>
                      <w:szCs w:val="16"/>
                      <w:lang w:val="es-CO" w:eastAsia="es-CO"/>
                    </w:rPr>
                    <w:t xml:space="preserve"> incremento del 15,28% en donde</w:t>
                  </w:r>
                  <w:r w:rsidR="006B359A">
                    <w:rPr>
                      <w:rFonts w:ascii="Century Gothic" w:eastAsia="Times New Roman" w:hAnsi="Century Gothic"/>
                      <w:color w:val="000000"/>
                      <w:sz w:val="16"/>
                      <w:szCs w:val="16"/>
                      <w:lang w:val="es-CO" w:eastAsia="es-CO"/>
                    </w:rPr>
                    <w:t xml:space="preserve"> </w:t>
                  </w:r>
                  <w:r w:rsidRPr="008B7C4A">
                    <w:rPr>
                      <w:rFonts w:ascii="Century Gothic" w:eastAsia="Times New Roman" w:hAnsi="Century Gothic"/>
                      <w:color w:val="000000"/>
                      <w:sz w:val="16"/>
                      <w:szCs w:val="16"/>
                      <w:lang w:val="es-CO" w:eastAsia="es-CO"/>
                    </w:rPr>
                    <w:t>se ve reflejado el incremento salarial de acuerdo con el decreto de salarial 299 del 12 de febrero de 2016 y el pago del retroactivo.</w:t>
                  </w:r>
                </w:p>
                <w:p w:rsidR="008B7C4A" w:rsidRPr="008B7C4A" w:rsidRDefault="008B7C4A" w:rsidP="006B359A">
                  <w:pPr>
                    <w:jc w:val="both"/>
                    <w:rPr>
                      <w:rFonts w:ascii="Century Gothic" w:eastAsia="Times New Roman" w:hAnsi="Century Gothic"/>
                      <w:color w:val="000000"/>
                      <w:sz w:val="16"/>
                      <w:szCs w:val="16"/>
                      <w:lang w:val="es-CO" w:eastAsia="es-CO"/>
                    </w:rPr>
                  </w:pPr>
                  <w:r w:rsidRPr="008B7C4A">
                    <w:rPr>
                      <w:rFonts w:ascii="Century Gothic" w:eastAsia="Times New Roman" w:hAnsi="Century Gothic"/>
                      <w:color w:val="000000"/>
                      <w:sz w:val="16"/>
                      <w:szCs w:val="16"/>
                      <w:lang w:val="es-CO" w:eastAsia="es-CO"/>
                    </w:rPr>
                    <w:t xml:space="preserve">Adicionalmente se </w:t>
                  </w:r>
                  <w:r w:rsidR="006B359A">
                    <w:rPr>
                      <w:rFonts w:ascii="Century Gothic" w:eastAsia="Times New Roman" w:hAnsi="Century Gothic"/>
                      <w:color w:val="000000"/>
                      <w:sz w:val="16"/>
                      <w:szCs w:val="16"/>
                      <w:lang w:val="es-CO" w:eastAsia="es-CO"/>
                    </w:rPr>
                    <w:t>ve reflejado un incremento de 2</w:t>
                  </w:r>
                  <w:r w:rsidRPr="008B7C4A">
                    <w:rPr>
                      <w:rFonts w:ascii="Century Gothic" w:eastAsia="Times New Roman" w:hAnsi="Century Gothic"/>
                      <w:color w:val="000000"/>
                      <w:sz w:val="16"/>
                      <w:szCs w:val="16"/>
                      <w:lang w:val="es-CO" w:eastAsia="es-CO"/>
                    </w:rPr>
                    <w:t>19,2% en el rubro de incapacidades y licencia de maternidad en comparación al año anterior.</w:t>
                  </w:r>
                  <w:r w:rsidRPr="008B7C4A">
                    <w:rPr>
                      <w:rFonts w:ascii="Century Gothic" w:eastAsia="Times New Roman" w:hAnsi="Century Gothic"/>
                      <w:color w:val="000000"/>
                      <w:sz w:val="16"/>
                      <w:szCs w:val="16"/>
                      <w:lang w:val="es-CO" w:eastAsia="es-CO"/>
                    </w:rPr>
                    <w:br/>
                  </w:r>
                  <w:r w:rsidRPr="008B7C4A">
                    <w:rPr>
                      <w:rFonts w:ascii="Century Gothic" w:eastAsia="Times New Roman" w:hAnsi="Century Gothic"/>
                      <w:color w:val="000000"/>
                      <w:sz w:val="16"/>
                      <w:szCs w:val="16"/>
                      <w:lang w:val="es-CO" w:eastAsia="es-CO"/>
                    </w:rPr>
                    <w:br/>
                    <w:t xml:space="preserve">Las contribuciones inherentes a la nómina sector privado y público refleja una disminución de 15,91% </w:t>
                  </w:r>
                  <w:r w:rsidR="00D14AD4">
                    <w:rPr>
                      <w:rFonts w:ascii="Century Gothic" w:eastAsia="Times New Roman" w:hAnsi="Century Gothic"/>
                      <w:color w:val="000000"/>
                      <w:sz w:val="16"/>
                      <w:szCs w:val="16"/>
                      <w:lang w:val="es-CO" w:eastAsia="es-CO"/>
                    </w:rPr>
                    <w:t>debido al primer trimestre 2015</w:t>
                  </w:r>
                  <w:r w:rsidRPr="008B7C4A">
                    <w:rPr>
                      <w:rFonts w:ascii="Century Gothic" w:eastAsia="Times New Roman" w:hAnsi="Century Gothic"/>
                      <w:color w:val="000000"/>
                      <w:sz w:val="16"/>
                      <w:szCs w:val="16"/>
                      <w:lang w:val="es-CO" w:eastAsia="es-CO"/>
                    </w:rPr>
                    <w:t xml:space="preserve"> se pagó lo referente a tres meses y para 2016 solo refleja el pago de 2 meses. </w:t>
                  </w:r>
                </w:p>
              </w:tc>
            </w:tr>
            <w:tr w:rsidR="008B7C4A" w:rsidRPr="008B7C4A" w:rsidTr="008C4155">
              <w:trPr>
                <w:trHeight w:val="805"/>
              </w:trPr>
              <w:tc>
                <w:tcPr>
                  <w:tcW w:w="454" w:type="dxa"/>
                  <w:noWrap/>
                  <w:vAlign w:val="center"/>
                  <w:hideMark/>
                </w:tcPr>
                <w:p w:rsidR="008B7C4A" w:rsidRPr="008B7C4A" w:rsidRDefault="008B7C4A" w:rsidP="008C4155">
                  <w:pPr>
                    <w:spacing w:after="0"/>
                    <w:jc w:val="center"/>
                    <w:rPr>
                      <w:rFonts w:ascii="Century Gothic" w:eastAsia="Times New Roman" w:hAnsi="Century Gothic"/>
                      <w:color w:val="000000"/>
                      <w:sz w:val="16"/>
                      <w:szCs w:val="16"/>
                      <w:lang w:val="es-CO" w:eastAsia="es-CO"/>
                    </w:rPr>
                  </w:pPr>
                  <w:r w:rsidRPr="008B7C4A">
                    <w:rPr>
                      <w:rFonts w:ascii="Century Gothic" w:eastAsia="Times New Roman" w:hAnsi="Century Gothic"/>
                      <w:color w:val="000000"/>
                      <w:sz w:val="16"/>
                      <w:szCs w:val="16"/>
                      <w:lang w:val="es-CO" w:eastAsia="es-CO"/>
                    </w:rPr>
                    <w:t>1</w:t>
                  </w:r>
                </w:p>
              </w:tc>
              <w:tc>
                <w:tcPr>
                  <w:tcW w:w="1671" w:type="dxa"/>
                  <w:vAlign w:val="center"/>
                  <w:hideMark/>
                </w:tcPr>
                <w:p w:rsidR="008B7C4A" w:rsidRPr="008B7C4A" w:rsidRDefault="008B7C4A" w:rsidP="008C4155">
                  <w:pPr>
                    <w:spacing w:after="0"/>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Servicios personales asociados a nomina</w:t>
                  </w:r>
                </w:p>
              </w:tc>
              <w:tc>
                <w:tcPr>
                  <w:tcW w:w="1540" w:type="dxa"/>
                  <w:noWrap/>
                  <w:vAlign w:val="center"/>
                  <w:hideMark/>
                </w:tcPr>
                <w:p w:rsidR="008B7C4A" w:rsidRPr="008B7C4A" w:rsidRDefault="008C4155" w:rsidP="008C4155">
                  <w:pPr>
                    <w:spacing w:after="0"/>
                    <w:jc w:val="right"/>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 xml:space="preserve">      </w:t>
                  </w:r>
                  <w:r w:rsidR="008B7C4A" w:rsidRPr="008B7C4A">
                    <w:rPr>
                      <w:rFonts w:ascii="Century Gothic" w:eastAsia="Times New Roman" w:hAnsi="Century Gothic"/>
                      <w:color w:val="000000"/>
                      <w:sz w:val="16"/>
                      <w:szCs w:val="16"/>
                      <w:lang w:val="es-CO" w:eastAsia="es-CO"/>
                    </w:rPr>
                    <w:t xml:space="preserve">8.196.639.418 </w:t>
                  </w:r>
                </w:p>
              </w:tc>
              <w:tc>
                <w:tcPr>
                  <w:tcW w:w="1560" w:type="dxa"/>
                  <w:noWrap/>
                  <w:vAlign w:val="center"/>
                  <w:hideMark/>
                </w:tcPr>
                <w:p w:rsidR="008B7C4A" w:rsidRPr="008B7C4A" w:rsidRDefault="008C4155" w:rsidP="008C4155">
                  <w:pPr>
                    <w:spacing w:after="0"/>
                    <w:jc w:val="right"/>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 xml:space="preserve">       </w:t>
                  </w:r>
                  <w:r w:rsidR="008B7C4A" w:rsidRPr="008B7C4A">
                    <w:rPr>
                      <w:rFonts w:ascii="Century Gothic" w:eastAsia="Times New Roman" w:hAnsi="Century Gothic"/>
                      <w:color w:val="000000"/>
                      <w:sz w:val="16"/>
                      <w:szCs w:val="16"/>
                      <w:lang w:val="es-CO" w:eastAsia="es-CO"/>
                    </w:rPr>
                    <w:t xml:space="preserve">9.449.279.343 </w:t>
                  </w:r>
                </w:p>
              </w:tc>
              <w:tc>
                <w:tcPr>
                  <w:tcW w:w="1760" w:type="dxa"/>
                  <w:noWrap/>
                  <w:vAlign w:val="center"/>
                  <w:hideMark/>
                </w:tcPr>
                <w:p w:rsidR="008B7C4A" w:rsidRPr="008B7C4A" w:rsidRDefault="008B7C4A" w:rsidP="008C4155">
                  <w:pPr>
                    <w:spacing w:after="0"/>
                    <w:jc w:val="right"/>
                    <w:rPr>
                      <w:rFonts w:ascii="Century Gothic" w:eastAsia="Times New Roman" w:hAnsi="Century Gothic"/>
                      <w:color w:val="000000"/>
                      <w:sz w:val="16"/>
                      <w:szCs w:val="16"/>
                      <w:lang w:val="es-CO" w:eastAsia="es-CO"/>
                    </w:rPr>
                  </w:pPr>
                  <w:r w:rsidRPr="008B7C4A">
                    <w:rPr>
                      <w:rFonts w:ascii="Century Gothic" w:eastAsia="Times New Roman" w:hAnsi="Century Gothic"/>
                      <w:color w:val="000000"/>
                      <w:sz w:val="16"/>
                      <w:szCs w:val="16"/>
                      <w:lang w:val="es-CO" w:eastAsia="es-CO"/>
                    </w:rPr>
                    <w:t>15,28%</w:t>
                  </w:r>
                </w:p>
              </w:tc>
              <w:tc>
                <w:tcPr>
                  <w:tcW w:w="3386" w:type="dxa"/>
                  <w:vMerge/>
                  <w:vAlign w:val="center"/>
                  <w:hideMark/>
                </w:tcPr>
                <w:p w:rsidR="008B7C4A" w:rsidRPr="008B7C4A" w:rsidRDefault="008B7C4A" w:rsidP="008C4155">
                  <w:pPr>
                    <w:spacing w:after="0"/>
                    <w:rPr>
                      <w:rFonts w:ascii="Century Gothic" w:eastAsia="Times New Roman" w:hAnsi="Century Gothic"/>
                      <w:color w:val="000000"/>
                      <w:sz w:val="16"/>
                      <w:szCs w:val="16"/>
                      <w:lang w:val="es-CO" w:eastAsia="es-CO"/>
                    </w:rPr>
                  </w:pPr>
                </w:p>
              </w:tc>
            </w:tr>
            <w:tr w:rsidR="008B7C4A" w:rsidRPr="008B7C4A" w:rsidTr="008C4155">
              <w:trPr>
                <w:trHeight w:val="792"/>
              </w:trPr>
              <w:tc>
                <w:tcPr>
                  <w:tcW w:w="454" w:type="dxa"/>
                  <w:noWrap/>
                  <w:vAlign w:val="center"/>
                  <w:hideMark/>
                </w:tcPr>
                <w:p w:rsidR="008B7C4A" w:rsidRPr="008B7C4A" w:rsidRDefault="008B7C4A" w:rsidP="008C4155">
                  <w:pPr>
                    <w:spacing w:after="0"/>
                    <w:jc w:val="center"/>
                    <w:rPr>
                      <w:rFonts w:ascii="Century Gothic" w:eastAsia="Times New Roman" w:hAnsi="Century Gothic"/>
                      <w:color w:val="000000"/>
                      <w:sz w:val="16"/>
                      <w:szCs w:val="16"/>
                      <w:lang w:val="es-CO" w:eastAsia="es-CO"/>
                    </w:rPr>
                  </w:pPr>
                  <w:r w:rsidRPr="008B7C4A">
                    <w:rPr>
                      <w:rFonts w:ascii="Century Gothic" w:eastAsia="Times New Roman" w:hAnsi="Century Gothic"/>
                      <w:color w:val="000000"/>
                      <w:sz w:val="16"/>
                      <w:szCs w:val="16"/>
                      <w:lang w:val="es-CO" w:eastAsia="es-CO"/>
                    </w:rPr>
                    <w:t>2</w:t>
                  </w:r>
                </w:p>
              </w:tc>
              <w:tc>
                <w:tcPr>
                  <w:tcW w:w="1671" w:type="dxa"/>
                  <w:vAlign w:val="center"/>
                  <w:hideMark/>
                </w:tcPr>
                <w:p w:rsidR="008B7C4A" w:rsidRPr="008B7C4A" w:rsidRDefault="008B7C4A" w:rsidP="008C4155">
                  <w:pPr>
                    <w:spacing w:after="0"/>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Contribuciones inherentes a la nómina sector privado y público</w:t>
                  </w:r>
                </w:p>
              </w:tc>
              <w:tc>
                <w:tcPr>
                  <w:tcW w:w="1540" w:type="dxa"/>
                  <w:noWrap/>
                  <w:vAlign w:val="center"/>
                  <w:hideMark/>
                </w:tcPr>
                <w:p w:rsidR="008B7C4A" w:rsidRPr="008B7C4A" w:rsidRDefault="008C4155" w:rsidP="008C4155">
                  <w:pPr>
                    <w:spacing w:after="0"/>
                    <w:jc w:val="right"/>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 xml:space="preserve">      </w:t>
                  </w:r>
                  <w:r w:rsidR="008B7C4A" w:rsidRPr="008B7C4A">
                    <w:rPr>
                      <w:rFonts w:ascii="Century Gothic" w:eastAsia="Times New Roman" w:hAnsi="Century Gothic"/>
                      <w:color w:val="000000"/>
                      <w:sz w:val="16"/>
                      <w:szCs w:val="16"/>
                      <w:lang w:val="es-CO" w:eastAsia="es-CO"/>
                    </w:rPr>
                    <w:t xml:space="preserve">3.287.975.442 </w:t>
                  </w:r>
                </w:p>
              </w:tc>
              <w:tc>
                <w:tcPr>
                  <w:tcW w:w="1560" w:type="dxa"/>
                  <w:noWrap/>
                  <w:vAlign w:val="center"/>
                  <w:hideMark/>
                </w:tcPr>
                <w:p w:rsidR="008B7C4A" w:rsidRPr="008B7C4A" w:rsidRDefault="008C4155" w:rsidP="008C4155">
                  <w:pPr>
                    <w:spacing w:after="0"/>
                    <w:jc w:val="right"/>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 xml:space="preserve">       </w:t>
                  </w:r>
                  <w:r w:rsidR="008B7C4A" w:rsidRPr="008B7C4A">
                    <w:rPr>
                      <w:rFonts w:ascii="Century Gothic" w:eastAsia="Times New Roman" w:hAnsi="Century Gothic"/>
                      <w:color w:val="000000"/>
                      <w:sz w:val="16"/>
                      <w:szCs w:val="16"/>
                      <w:lang w:val="es-CO" w:eastAsia="es-CO"/>
                    </w:rPr>
                    <w:t xml:space="preserve">2.764.780.584 </w:t>
                  </w:r>
                </w:p>
              </w:tc>
              <w:tc>
                <w:tcPr>
                  <w:tcW w:w="1760" w:type="dxa"/>
                  <w:noWrap/>
                  <w:vAlign w:val="center"/>
                  <w:hideMark/>
                </w:tcPr>
                <w:p w:rsidR="008B7C4A" w:rsidRPr="008B7C4A" w:rsidRDefault="008B7C4A" w:rsidP="008C4155">
                  <w:pPr>
                    <w:spacing w:after="0"/>
                    <w:jc w:val="right"/>
                    <w:rPr>
                      <w:rFonts w:ascii="Century Gothic" w:eastAsia="Times New Roman" w:hAnsi="Century Gothic"/>
                      <w:color w:val="000000"/>
                      <w:sz w:val="16"/>
                      <w:szCs w:val="16"/>
                      <w:lang w:val="es-CO" w:eastAsia="es-CO"/>
                    </w:rPr>
                  </w:pPr>
                  <w:r w:rsidRPr="008B7C4A">
                    <w:rPr>
                      <w:rFonts w:ascii="Century Gothic" w:eastAsia="Times New Roman" w:hAnsi="Century Gothic"/>
                      <w:color w:val="000000"/>
                      <w:sz w:val="16"/>
                      <w:szCs w:val="16"/>
                      <w:lang w:val="es-CO" w:eastAsia="es-CO"/>
                    </w:rPr>
                    <w:t>-15,91%</w:t>
                  </w:r>
                </w:p>
              </w:tc>
              <w:tc>
                <w:tcPr>
                  <w:tcW w:w="3386" w:type="dxa"/>
                  <w:vMerge/>
                  <w:vAlign w:val="center"/>
                  <w:hideMark/>
                </w:tcPr>
                <w:p w:rsidR="008B7C4A" w:rsidRPr="008B7C4A" w:rsidRDefault="008B7C4A" w:rsidP="008C4155">
                  <w:pPr>
                    <w:spacing w:after="0"/>
                    <w:rPr>
                      <w:rFonts w:ascii="Century Gothic" w:eastAsia="Times New Roman" w:hAnsi="Century Gothic"/>
                      <w:color w:val="000000"/>
                      <w:sz w:val="16"/>
                      <w:szCs w:val="16"/>
                      <w:lang w:val="es-CO" w:eastAsia="es-CO"/>
                    </w:rPr>
                  </w:pPr>
                </w:p>
              </w:tc>
            </w:tr>
            <w:tr w:rsidR="008B7C4A" w:rsidRPr="008B7C4A" w:rsidTr="008C4155">
              <w:trPr>
                <w:trHeight w:val="582"/>
              </w:trPr>
              <w:tc>
                <w:tcPr>
                  <w:tcW w:w="2125" w:type="dxa"/>
                  <w:gridSpan w:val="2"/>
                  <w:noWrap/>
                  <w:vAlign w:val="center"/>
                  <w:hideMark/>
                </w:tcPr>
                <w:p w:rsidR="008B7C4A" w:rsidRPr="008B7C4A" w:rsidRDefault="008B7C4A" w:rsidP="008C4155">
                  <w:pPr>
                    <w:spacing w:after="0"/>
                    <w:jc w:val="right"/>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Totales $</w:t>
                  </w:r>
                </w:p>
              </w:tc>
              <w:tc>
                <w:tcPr>
                  <w:tcW w:w="1540" w:type="dxa"/>
                  <w:noWrap/>
                  <w:vAlign w:val="center"/>
                  <w:hideMark/>
                </w:tcPr>
                <w:p w:rsidR="008B7C4A" w:rsidRPr="008B7C4A" w:rsidRDefault="008C4155" w:rsidP="008C4155">
                  <w:pPr>
                    <w:spacing w:after="0"/>
                    <w:jc w:val="right"/>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 xml:space="preserve">  </w:t>
                  </w:r>
                  <w:r w:rsidR="008B7C4A" w:rsidRPr="008B7C4A">
                    <w:rPr>
                      <w:rFonts w:ascii="Century Gothic" w:eastAsia="Times New Roman" w:hAnsi="Century Gothic"/>
                      <w:b/>
                      <w:bCs/>
                      <w:color w:val="000000"/>
                      <w:sz w:val="16"/>
                      <w:szCs w:val="16"/>
                      <w:lang w:val="es-CO" w:eastAsia="es-CO"/>
                    </w:rPr>
                    <w:t xml:space="preserve">11.484.614.860 </w:t>
                  </w:r>
                </w:p>
              </w:tc>
              <w:tc>
                <w:tcPr>
                  <w:tcW w:w="1560" w:type="dxa"/>
                  <w:noWrap/>
                  <w:vAlign w:val="center"/>
                  <w:hideMark/>
                </w:tcPr>
                <w:p w:rsidR="008B7C4A" w:rsidRPr="008B7C4A" w:rsidRDefault="008C4155" w:rsidP="008C4155">
                  <w:pPr>
                    <w:spacing w:after="0"/>
                    <w:jc w:val="right"/>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 xml:space="preserve">     </w:t>
                  </w:r>
                  <w:r w:rsidR="008B7C4A" w:rsidRPr="008B7C4A">
                    <w:rPr>
                      <w:rFonts w:ascii="Century Gothic" w:eastAsia="Times New Roman" w:hAnsi="Century Gothic"/>
                      <w:b/>
                      <w:bCs/>
                      <w:color w:val="000000"/>
                      <w:sz w:val="16"/>
                      <w:szCs w:val="16"/>
                      <w:lang w:val="es-CO" w:eastAsia="es-CO"/>
                    </w:rPr>
                    <w:t xml:space="preserve">12.214.059.927 </w:t>
                  </w:r>
                </w:p>
              </w:tc>
              <w:tc>
                <w:tcPr>
                  <w:tcW w:w="1760" w:type="dxa"/>
                  <w:noWrap/>
                  <w:vAlign w:val="center"/>
                  <w:hideMark/>
                </w:tcPr>
                <w:p w:rsidR="008B7C4A" w:rsidRPr="008B7C4A" w:rsidRDefault="008B7C4A" w:rsidP="008C4155">
                  <w:pPr>
                    <w:spacing w:after="0"/>
                    <w:jc w:val="right"/>
                    <w:rPr>
                      <w:rFonts w:ascii="Century Gothic" w:eastAsia="Times New Roman" w:hAnsi="Century Gothic"/>
                      <w:b/>
                      <w:bCs/>
                      <w:color w:val="000000"/>
                      <w:sz w:val="16"/>
                      <w:szCs w:val="16"/>
                      <w:lang w:val="es-CO" w:eastAsia="es-CO"/>
                    </w:rPr>
                  </w:pPr>
                  <w:r w:rsidRPr="008B7C4A">
                    <w:rPr>
                      <w:rFonts w:ascii="Century Gothic" w:eastAsia="Times New Roman" w:hAnsi="Century Gothic"/>
                      <w:b/>
                      <w:bCs/>
                      <w:color w:val="000000"/>
                      <w:sz w:val="16"/>
                      <w:szCs w:val="16"/>
                      <w:lang w:val="es-CO" w:eastAsia="es-CO"/>
                    </w:rPr>
                    <w:t>6,35%</w:t>
                  </w:r>
                </w:p>
              </w:tc>
              <w:tc>
                <w:tcPr>
                  <w:tcW w:w="3386" w:type="dxa"/>
                  <w:vMerge/>
                  <w:vAlign w:val="center"/>
                  <w:hideMark/>
                </w:tcPr>
                <w:p w:rsidR="008B7C4A" w:rsidRPr="008B7C4A" w:rsidRDefault="008B7C4A" w:rsidP="008C4155">
                  <w:pPr>
                    <w:spacing w:after="0"/>
                    <w:rPr>
                      <w:rFonts w:ascii="Century Gothic" w:eastAsia="Times New Roman" w:hAnsi="Century Gothic"/>
                      <w:color w:val="000000"/>
                      <w:sz w:val="16"/>
                      <w:szCs w:val="16"/>
                      <w:lang w:val="es-CO" w:eastAsia="es-CO"/>
                    </w:rPr>
                  </w:pPr>
                </w:p>
              </w:tc>
            </w:tr>
            <w:tr w:rsidR="008B7C4A" w:rsidRPr="008B7C4A" w:rsidTr="008C4155">
              <w:trPr>
                <w:trHeight w:val="1500"/>
              </w:trPr>
              <w:tc>
                <w:tcPr>
                  <w:tcW w:w="10371" w:type="dxa"/>
                  <w:gridSpan w:val="6"/>
                  <w:vMerge w:val="restart"/>
                  <w:vAlign w:val="center"/>
                  <w:hideMark/>
                </w:tcPr>
                <w:p w:rsidR="008B7C4A" w:rsidRDefault="008B7C4A" w:rsidP="008C4155">
                  <w:pPr>
                    <w:spacing w:after="0"/>
                    <w:jc w:val="both"/>
                    <w:rPr>
                      <w:rFonts w:ascii="Century Gothic" w:eastAsia="Times New Roman" w:hAnsi="Century Gothic"/>
                      <w:b/>
                      <w:bCs/>
                      <w:color w:val="000000"/>
                      <w:sz w:val="20"/>
                      <w:szCs w:val="20"/>
                      <w:lang w:val="es-CO" w:eastAsia="es-CO"/>
                    </w:rPr>
                  </w:pPr>
                  <w:r w:rsidRPr="008B7C4A">
                    <w:rPr>
                      <w:rFonts w:ascii="Century Gothic" w:eastAsia="Times New Roman" w:hAnsi="Century Gothic"/>
                      <w:b/>
                      <w:bCs/>
                      <w:color w:val="000000"/>
                      <w:sz w:val="20"/>
                      <w:szCs w:val="20"/>
                      <w:lang w:val="es-CO" w:eastAsia="es-CO"/>
                    </w:rPr>
                    <w:t>Información enviada por el proceso:</w:t>
                  </w:r>
                </w:p>
                <w:p w:rsidR="008B7C4A" w:rsidRDefault="008B7C4A" w:rsidP="008C4155">
                  <w:pPr>
                    <w:spacing w:after="0"/>
                    <w:jc w:val="both"/>
                    <w:rPr>
                      <w:rFonts w:ascii="Century Gothic" w:eastAsia="Times New Roman" w:hAnsi="Century Gothic"/>
                      <w:sz w:val="14"/>
                      <w:szCs w:val="14"/>
                      <w:lang w:val="es-CO" w:eastAsia="es-CO"/>
                    </w:rPr>
                  </w:pPr>
                  <w:r w:rsidRPr="008B7C4A">
                    <w:rPr>
                      <w:rFonts w:ascii="Century Gothic" w:eastAsia="Times New Roman" w:hAnsi="Century Gothic"/>
                      <w:b/>
                      <w:bCs/>
                      <w:sz w:val="14"/>
                      <w:szCs w:val="14"/>
                      <w:lang w:val="es-CO" w:eastAsia="es-CO"/>
                    </w:rPr>
                    <w:t>SERVICIOS PERSONALES ASOCIADOS A NOMINA:</w:t>
                  </w:r>
                  <w:r w:rsidRPr="008B7C4A">
                    <w:rPr>
                      <w:rFonts w:ascii="Century Gothic" w:eastAsia="Times New Roman" w:hAnsi="Century Gothic"/>
                      <w:sz w:val="14"/>
                      <w:szCs w:val="14"/>
                      <w:lang w:val="es-CO" w:eastAsia="es-CO"/>
                    </w:rPr>
                    <w:t xml:space="preserve"> El incremento del 15.28% entre el primer trimestre del 2016 frente al primer trimestre del 2015 es considerado normal teniendo en cuenta los siguientes aspectos:</w:t>
                  </w:r>
                </w:p>
                <w:p w:rsidR="00033FB4" w:rsidRDefault="00033FB4" w:rsidP="008C4155">
                  <w:pPr>
                    <w:spacing w:after="0"/>
                    <w:jc w:val="both"/>
                    <w:rPr>
                      <w:rFonts w:ascii="Century Gothic" w:eastAsia="Times New Roman" w:hAnsi="Century Gothic"/>
                      <w:sz w:val="14"/>
                      <w:szCs w:val="14"/>
                      <w:lang w:val="es-CO" w:eastAsia="es-CO"/>
                    </w:rPr>
                  </w:pPr>
                </w:p>
                <w:p w:rsidR="008C4155" w:rsidRDefault="008B7C4A" w:rsidP="008C4155">
                  <w:pPr>
                    <w:pStyle w:val="Prrafodelista"/>
                    <w:numPr>
                      <w:ilvl w:val="0"/>
                      <w:numId w:val="27"/>
                    </w:numPr>
                    <w:spacing w:after="0"/>
                    <w:jc w:val="both"/>
                    <w:rPr>
                      <w:rFonts w:ascii="Century Gothic" w:eastAsia="Times New Roman" w:hAnsi="Century Gothic"/>
                      <w:sz w:val="14"/>
                      <w:szCs w:val="14"/>
                      <w:lang w:val="es-CO" w:eastAsia="es-CO"/>
                    </w:rPr>
                  </w:pPr>
                  <w:r w:rsidRPr="008C4155">
                    <w:rPr>
                      <w:rFonts w:ascii="Century Gothic" w:eastAsia="Times New Roman" w:hAnsi="Century Gothic"/>
                      <w:sz w:val="14"/>
                      <w:szCs w:val="14"/>
                      <w:lang w:val="es-CO" w:eastAsia="es-CO"/>
                    </w:rPr>
                    <w:t>Los gastos de servicios personales por valor de $8.196.639.418 corresponde al pago de salarios del primer trimestre del 2015, pero con la escala salarial de la vigencia 2014, ya que el decreto del aumento salarial para el 2015 fue el 1101 que se expidió hasta el 26 de mayo de 2015.</w:t>
                  </w:r>
                </w:p>
                <w:p w:rsidR="008C4155" w:rsidRDefault="008B7C4A" w:rsidP="008C4155">
                  <w:pPr>
                    <w:pStyle w:val="Prrafodelista"/>
                    <w:numPr>
                      <w:ilvl w:val="0"/>
                      <w:numId w:val="27"/>
                    </w:numPr>
                    <w:spacing w:after="0"/>
                    <w:jc w:val="both"/>
                    <w:rPr>
                      <w:rFonts w:ascii="Century Gothic" w:eastAsia="Times New Roman" w:hAnsi="Century Gothic"/>
                      <w:sz w:val="14"/>
                      <w:szCs w:val="14"/>
                      <w:lang w:val="es-CO" w:eastAsia="es-CO"/>
                    </w:rPr>
                  </w:pPr>
                  <w:r w:rsidRPr="008C4155">
                    <w:rPr>
                      <w:rFonts w:ascii="Century Gothic" w:eastAsia="Times New Roman" w:hAnsi="Century Gothic"/>
                      <w:sz w:val="14"/>
                      <w:szCs w:val="14"/>
                      <w:lang w:val="es-CO" w:eastAsia="es-CO"/>
                    </w:rPr>
                    <w:t>Adicionalmente el incremento para el año 2016 se aplicó a partir de la nómina de febrero de 2016 y correspondió a un incremento del 7.77% de acuerdo con el decreto de salarial 299 del 12 de febrero de 2016.</w:t>
                  </w:r>
                </w:p>
                <w:p w:rsidR="008C4155" w:rsidRDefault="008B7C4A" w:rsidP="008C4155">
                  <w:pPr>
                    <w:pStyle w:val="Prrafodelista"/>
                    <w:numPr>
                      <w:ilvl w:val="0"/>
                      <w:numId w:val="27"/>
                    </w:numPr>
                    <w:spacing w:after="0"/>
                    <w:jc w:val="both"/>
                    <w:rPr>
                      <w:rFonts w:ascii="Century Gothic" w:eastAsia="Times New Roman" w:hAnsi="Century Gothic"/>
                      <w:sz w:val="14"/>
                      <w:szCs w:val="14"/>
                      <w:lang w:val="es-CO" w:eastAsia="es-CO"/>
                    </w:rPr>
                  </w:pPr>
                  <w:r w:rsidRPr="008C4155">
                    <w:rPr>
                      <w:rFonts w:ascii="Century Gothic" w:eastAsia="Times New Roman" w:hAnsi="Century Gothic"/>
                      <w:sz w:val="14"/>
                      <w:szCs w:val="14"/>
                      <w:lang w:val="es-CO" w:eastAsia="es-CO"/>
                    </w:rPr>
                    <w:t>Por último el retroactivo del año 2016 se canceló dentro del primer trimestre del año 2016, por lo que también contribuyo en el incremento del 15% entre el primer trimestre del 2015 y el 2016, hace que el valor pagado durante el 2016 sea superior a lo pagado en el primer trimestre del 2015.</w:t>
                  </w:r>
                </w:p>
                <w:p w:rsidR="008B7C4A" w:rsidRPr="008C4155" w:rsidRDefault="008B7C4A" w:rsidP="008C4155">
                  <w:pPr>
                    <w:spacing w:after="0"/>
                    <w:jc w:val="both"/>
                    <w:rPr>
                      <w:rFonts w:ascii="Century Gothic" w:eastAsia="Times New Roman" w:hAnsi="Century Gothic"/>
                      <w:sz w:val="14"/>
                      <w:szCs w:val="14"/>
                      <w:lang w:val="es-CO" w:eastAsia="es-CO"/>
                    </w:rPr>
                  </w:pPr>
                  <w:r w:rsidRPr="008C4155">
                    <w:rPr>
                      <w:rFonts w:ascii="Century Gothic" w:eastAsia="Times New Roman" w:hAnsi="Century Gothic"/>
                      <w:b/>
                      <w:bCs/>
                      <w:sz w:val="14"/>
                      <w:szCs w:val="14"/>
                      <w:lang w:val="es-CO" w:eastAsia="es-CO"/>
                    </w:rPr>
                    <w:t xml:space="preserve">CONTRIBUCIONES INHERENTES A LA NOMINA SECTOR PRIVADO Y PUBLICO: </w:t>
                  </w:r>
                  <w:r w:rsidRPr="008C4155">
                    <w:rPr>
                      <w:rFonts w:ascii="Century Gothic" w:eastAsia="Times New Roman" w:hAnsi="Century Gothic"/>
                      <w:sz w:val="14"/>
                      <w:szCs w:val="14"/>
                      <w:lang w:val="es-CO" w:eastAsia="es-CO"/>
                    </w:rPr>
                    <w:t xml:space="preserve"> La disminución del 15.91% de lo pagado en el primer trimestre del 2015 frente a lo pagado en el primer trimestre del 2016, obedece a que en el 2015 durante ese periodo se pagó la seguridad social correspondiente a los meses de Enero, Febrero y Marzo  y en el primer trimestre del 2016 solo se pagó la seguridad social correspondiente a los meses de Enero y Febrero, esta diferencia entre el número de meses hace que el valor pagado durante el 2016 sea inferior a lo pagado en el primer trimestre del 2015.</w:t>
                  </w:r>
                </w:p>
              </w:tc>
            </w:tr>
            <w:tr w:rsidR="008B7C4A" w:rsidRPr="008B7C4A" w:rsidTr="008C4155">
              <w:trPr>
                <w:trHeight w:val="1500"/>
              </w:trPr>
              <w:tc>
                <w:tcPr>
                  <w:tcW w:w="10371" w:type="dxa"/>
                  <w:gridSpan w:val="6"/>
                  <w:vMerge/>
                  <w:vAlign w:val="center"/>
                  <w:hideMark/>
                </w:tcPr>
                <w:p w:rsidR="008B7C4A" w:rsidRPr="008B7C4A" w:rsidRDefault="008B7C4A" w:rsidP="008C4155">
                  <w:pPr>
                    <w:rPr>
                      <w:rFonts w:ascii="Century Gothic" w:eastAsia="Times New Roman" w:hAnsi="Century Gothic"/>
                      <w:b/>
                      <w:bCs/>
                      <w:color w:val="000000"/>
                      <w:sz w:val="16"/>
                      <w:szCs w:val="16"/>
                      <w:lang w:val="es-CO" w:eastAsia="es-CO"/>
                    </w:rPr>
                  </w:pPr>
                </w:p>
              </w:tc>
            </w:tr>
          </w:tbl>
          <w:p w:rsidR="00F8093F" w:rsidRPr="00F577A0" w:rsidRDefault="00F8093F" w:rsidP="00E108C2">
            <w:pPr>
              <w:rPr>
                <w:rFonts w:ascii="Century Gothic" w:eastAsia="PMingLiU" w:hAnsi="Century Gothic" w:cs="Arial"/>
                <w:bCs/>
                <w:color w:val="0000FF"/>
                <w:sz w:val="20"/>
                <w:szCs w:val="20"/>
                <w:lang w:val="es-MX"/>
              </w:rPr>
            </w:pPr>
          </w:p>
          <w:p w:rsidR="00033FB4" w:rsidRPr="00F577A0" w:rsidRDefault="00F8093F" w:rsidP="00F8093F">
            <w:pPr>
              <w:pStyle w:val="Default"/>
              <w:jc w:val="both"/>
              <w:rPr>
                <w:rFonts w:ascii="Century Gothic" w:eastAsia="Times New Roman" w:hAnsi="Century Gothic"/>
                <w:color w:val="auto"/>
                <w:sz w:val="20"/>
                <w:szCs w:val="20"/>
                <w:lang w:val="es-ES_tradnl"/>
              </w:rPr>
            </w:pPr>
            <w:r w:rsidRPr="00F577A0">
              <w:rPr>
                <w:rFonts w:ascii="Century Gothic" w:eastAsia="Times New Roman" w:hAnsi="Century Gothic"/>
                <w:color w:val="auto"/>
                <w:sz w:val="20"/>
                <w:szCs w:val="20"/>
                <w:lang w:val="es-ES_tradnl"/>
              </w:rPr>
              <w:t xml:space="preserve"> </w:t>
            </w:r>
          </w:p>
          <w:tbl>
            <w:tblPr>
              <w:tblStyle w:val="Tablaconcuadrcula"/>
              <w:tblW w:w="0" w:type="auto"/>
              <w:tblLayout w:type="fixed"/>
              <w:tblLook w:val="04A0" w:firstRow="1" w:lastRow="0" w:firstColumn="1" w:lastColumn="0" w:noHBand="0" w:noVBand="1"/>
            </w:tblPr>
            <w:tblGrid>
              <w:gridCol w:w="454"/>
              <w:gridCol w:w="1671"/>
              <w:gridCol w:w="1540"/>
              <w:gridCol w:w="1560"/>
              <w:gridCol w:w="1760"/>
              <w:gridCol w:w="3386"/>
            </w:tblGrid>
            <w:tr w:rsidR="00033FB4" w:rsidRPr="00033FB4" w:rsidTr="00033FB4">
              <w:trPr>
                <w:trHeight w:val="300"/>
              </w:trPr>
              <w:tc>
                <w:tcPr>
                  <w:tcW w:w="454" w:type="dxa"/>
                  <w:noWrap/>
                  <w:vAlign w:val="center"/>
                  <w:hideMark/>
                </w:tcPr>
                <w:p w:rsidR="00033FB4" w:rsidRPr="00033FB4" w:rsidRDefault="00033FB4" w:rsidP="00033FB4">
                  <w:pPr>
                    <w:spacing w:after="0"/>
                    <w:jc w:val="center"/>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Nº</w:t>
                  </w:r>
                </w:p>
              </w:tc>
              <w:tc>
                <w:tcPr>
                  <w:tcW w:w="6531" w:type="dxa"/>
                  <w:gridSpan w:val="4"/>
                  <w:noWrap/>
                  <w:vAlign w:val="center"/>
                  <w:hideMark/>
                </w:tcPr>
                <w:p w:rsidR="00033FB4" w:rsidRPr="00033FB4" w:rsidRDefault="00033FB4" w:rsidP="00033FB4">
                  <w:pPr>
                    <w:spacing w:after="0"/>
                    <w:jc w:val="center"/>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Aspectos cuantitativos</w:t>
                  </w:r>
                </w:p>
              </w:tc>
              <w:tc>
                <w:tcPr>
                  <w:tcW w:w="3386" w:type="dxa"/>
                  <w:noWrap/>
                  <w:vAlign w:val="center"/>
                  <w:hideMark/>
                </w:tcPr>
                <w:p w:rsidR="00033FB4" w:rsidRPr="00033FB4" w:rsidRDefault="00033FB4" w:rsidP="00033FB4">
                  <w:pPr>
                    <w:spacing w:after="0"/>
                    <w:jc w:val="center"/>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Situaciones encontradas por la OCI</w:t>
                  </w:r>
                </w:p>
              </w:tc>
            </w:tr>
            <w:tr w:rsidR="00033FB4" w:rsidRPr="00033FB4" w:rsidTr="00033FB4">
              <w:trPr>
                <w:trHeight w:val="1530"/>
              </w:trPr>
              <w:tc>
                <w:tcPr>
                  <w:tcW w:w="454" w:type="dxa"/>
                  <w:noWrap/>
                  <w:vAlign w:val="center"/>
                  <w:hideMark/>
                </w:tcPr>
                <w:p w:rsidR="00033FB4" w:rsidRPr="00033FB4" w:rsidRDefault="00033FB4" w:rsidP="00033FB4">
                  <w:pPr>
                    <w:spacing w:after="0"/>
                    <w:jc w:val="center"/>
                    <w:rPr>
                      <w:rFonts w:ascii="Century Gothic" w:eastAsia="Times New Roman" w:hAnsi="Century Gothic"/>
                      <w:color w:val="000000"/>
                      <w:sz w:val="16"/>
                      <w:szCs w:val="16"/>
                      <w:lang w:val="es-CO" w:eastAsia="es-CO"/>
                    </w:rPr>
                  </w:pPr>
                  <w:r w:rsidRPr="00033FB4">
                    <w:rPr>
                      <w:rFonts w:ascii="Century Gothic" w:eastAsia="Times New Roman" w:hAnsi="Century Gothic"/>
                      <w:color w:val="000000"/>
                      <w:sz w:val="16"/>
                      <w:szCs w:val="16"/>
                      <w:lang w:val="es-CO" w:eastAsia="es-CO"/>
                    </w:rPr>
                    <w:t> </w:t>
                  </w:r>
                </w:p>
              </w:tc>
              <w:tc>
                <w:tcPr>
                  <w:tcW w:w="1671" w:type="dxa"/>
                  <w:vAlign w:val="center"/>
                  <w:hideMark/>
                </w:tcPr>
                <w:p w:rsidR="00033FB4" w:rsidRPr="00033FB4" w:rsidRDefault="00033FB4" w:rsidP="00033FB4">
                  <w:pPr>
                    <w:spacing w:after="0"/>
                    <w:jc w:val="center"/>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Cantidad personal</w:t>
                  </w:r>
                </w:p>
              </w:tc>
              <w:tc>
                <w:tcPr>
                  <w:tcW w:w="1540" w:type="dxa"/>
                  <w:vAlign w:val="center"/>
                  <w:hideMark/>
                </w:tcPr>
                <w:p w:rsidR="00033FB4" w:rsidRPr="00033FB4" w:rsidRDefault="00033FB4" w:rsidP="00033FB4">
                  <w:pPr>
                    <w:spacing w:after="0"/>
                    <w:jc w:val="center"/>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Entre Enero - Marzo de la vigencia 2015</w:t>
                  </w:r>
                </w:p>
              </w:tc>
              <w:tc>
                <w:tcPr>
                  <w:tcW w:w="1560" w:type="dxa"/>
                  <w:vAlign w:val="center"/>
                  <w:hideMark/>
                </w:tcPr>
                <w:p w:rsidR="00033FB4" w:rsidRPr="00033FB4" w:rsidRDefault="00033FB4" w:rsidP="00033FB4">
                  <w:pPr>
                    <w:spacing w:after="0"/>
                    <w:jc w:val="center"/>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Entre Enero - Marzo de la vigencia 2016</w:t>
                  </w:r>
                </w:p>
              </w:tc>
              <w:tc>
                <w:tcPr>
                  <w:tcW w:w="1760" w:type="dxa"/>
                  <w:vAlign w:val="center"/>
                  <w:hideMark/>
                </w:tcPr>
                <w:p w:rsidR="00033FB4" w:rsidRPr="00033FB4" w:rsidRDefault="00033FB4" w:rsidP="00033FB4">
                  <w:pPr>
                    <w:spacing w:after="0"/>
                    <w:jc w:val="center"/>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 xml:space="preserve">% </w:t>
                  </w:r>
                  <w:r w:rsidRPr="008115E2">
                    <w:rPr>
                      <w:rFonts w:ascii="Century Gothic" w:eastAsia="Times New Roman" w:hAnsi="Century Gothic"/>
                      <w:b/>
                      <w:bCs/>
                      <w:color w:val="000000"/>
                      <w:sz w:val="16"/>
                      <w:szCs w:val="16"/>
                      <w:lang w:val="es-CO" w:eastAsia="es-CO"/>
                    </w:rPr>
                    <w:t>Variación</w:t>
                  </w:r>
                  <w:r w:rsidRPr="00033FB4">
                    <w:rPr>
                      <w:rFonts w:ascii="Century Gothic" w:eastAsia="Times New Roman" w:hAnsi="Century Gothic"/>
                      <w:b/>
                      <w:bCs/>
                      <w:color w:val="000000"/>
                      <w:sz w:val="16"/>
                      <w:szCs w:val="16"/>
                      <w:lang w:val="es-CO" w:eastAsia="es-CO"/>
                    </w:rPr>
                    <w:t xml:space="preserve"> entre Enero - Marzo de la vigencia 2016 respecto al mismo periodo de la vigencia 2015</w:t>
                  </w:r>
                </w:p>
              </w:tc>
              <w:tc>
                <w:tcPr>
                  <w:tcW w:w="3386" w:type="dxa"/>
                  <w:vMerge w:val="restart"/>
                  <w:vAlign w:val="center"/>
                  <w:hideMark/>
                </w:tcPr>
                <w:p w:rsidR="00033FB4" w:rsidRPr="00033FB4" w:rsidRDefault="00033FB4" w:rsidP="00ED520D">
                  <w:pPr>
                    <w:spacing w:after="0"/>
                    <w:jc w:val="both"/>
                    <w:rPr>
                      <w:rFonts w:ascii="Century Gothic" w:eastAsia="Times New Roman" w:hAnsi="Century Gothic"/>
                      <w:color w:val="000000"/>
                      <w:sz w:val="16"/>
                      <w:szCs w:val="16"/>
                      <w:lang w:val="es-CO" w:eastAsia="es-CO"/>
                    </w:rPr>
                  </w:pPr>
                  <w:r w:rsidRPr="00033FB4">
                    <w:rPr>
                      <w:rFonts w:ascii="Century Gothic" w:eastAsia="Times New Roman" w:hAnsi="Century Gothic"/>
                      <w:color w:val="000000"/>
                      <w:sz w:val="16"/>
                      <w:szCs w:val="16"/>
                      <w:lang w:val="es-CO" w:eastAsia="es-CO"/>
                    </w:rPr>
                    <w:t xml:space="preserve">Se observa una disminución de 3 cargos provistos con respecto al año anterior, con una variación de - 0,37%. La Entidad cuenta con un tope de planta de 857 cargos, para el </w:t>
                  </w:r>
                  <w:r w:rsidR="00ED520D">
                    <w:rPr>
                      <w:rFonts w:ascii="Century Gothic" w:eastAsia="Times New Roman" w:hAnsi="Century Gothic"/>
                      <w:color w:val="000000"/>
                      <w:sz w:val="16"/>
                      <w:szCs w:val="16"/>
                      <w:lang w:val="es-CO" w:eastAsia="es-CO"/>
                    </w:rPr>
                    <w:t>primer trimestre de 2015 se utilizó</w:t>
                  </w:r>
                  <w:r w:rsidRPr="00033FB4">
                    <w:rPr>
                      <w:rFonts w:ascii="Century Gothic" w:eastAsia="Times New Roman" w:hAnsi="Century Gothic"/>
                      <w:color w:val="000000"/>
                      <w:sz w:val="16"/>
                      <w:szCs w:val="16"/>
                      <w:lang w:val="es-CO" w:eastAsia="es-CO"/>
                    </w:rPr>
                    <w:t xml:space="preserve"> 812 cargos, conta</w:t>
                  </w:r>
                  <w:r w:rsidR="00ED520D">
                    <w:rPr>
                      <w:rFonts w:ascii="Century Gothic" w:eastAsia="Times New Roman" w:hAnsi="Century Gothic"/>
                      <w:color w:val="000000"/>
                      <w:sz w:val="16"/>
                      <w:szCs w:val="16"/>
                      <w:lang w:val="es-CO" w:eastAsia="es-CO"/>
                    </w:rPr>
                    <w:t>ndo con una disponibilidad de 45</w:t>
                  </w:r>
                  <w:r w:rsidRPr="00033FB4">
                    <w:rPr>
                      <w:rFonts w:ascii="Century Gothic" w:eastAsia="Times New Roman" w:hAnsi="Century Gothic"/>
                      <w:color w:val="000000"/>
                      <w:sz w:val="16"/>
                      <w:szCs w:val="16"/>
                      <w:lang w:val="es-CO" w:eastAsia="es-CO"/>
                    </w:rPr>
                    <w:t xml:space="preserve"> cargos</w:t>
                  </w:r>
                  <w:r w:rsidR="00ED520D">
                    <w:rPr>
                      <w:rFonts w:ascii="Century Gothic" w:eastAsia="Times New Roman" w:hAnsi="Century Gothic"/>
                      <w:color w:val="000000"/>
                      <w:sz w:val="16"/>
                      <w:szCs w:val="16"/>
                      <w:lang w:val="es-CO" w:eastAsia="es-CO"/>
                    </w:rPr>
                    <w:t>, actualmente se cuenta con 48 cargos</w:t>
                  </w:r>
                  <w:r w:rsidRPr="00033FB4">
                    <w:rPr>
                      <w:rFonts w:ascii="Century Gothic" w:eastAsia="Times New Roman" w:hAnsi="Century Gothic"/>
                      <w:color w:val="000000"/>
                      <w:sz w:val="16"/>
                      <w:szCs w:val="16"/>
                      <w:lang w:val="es-CO" w:eastAsia="es-CO"/>
                    </w:rPr>
                    <w:t>.</w:t>
                  </w:r>
                </w:p>
              </w:tc>
            </w:tr>
            <w:tr w:rsidR="00033FB4" w:rsidRPr="00033FB4" w:rsidTr="00033FB4">
              <w:trPr>
                <w:trHeight w:val="525"/>
              </w:trPr>
              <w:tc>
                <w:tcPr>
                  <w:tcW w:w="454" w:type="dxa"/>
                  <w:noWrap/>
                  <w:vAlign w:val="center"/>
                  <w:hideMark/>
                </w:tcPr>
                <w:p w:rsidR="00033FB4" w:rsidRPr="00033FB4" w:rsidRDefault="00033FB4" w:rsidP="00033FB4">
                  <w:pPr>
                    <w:spacing w:after="0"/>
                    <w:jc w:val="center"/>
                    <w:rPr>
                      <w:rFonts w:ascii="Century Gothic" w:eastAsia="Times New Roman" w:hAnsi="Century Gothic"/>
                      <w:color w:val="000000"/>
                      <w:sz w:val="16"/>
                      <w:szCs w:val="16"/>
                      <w:lang w:val="es-CO" w:eastAsia="es-CO"/>
                    </w:rPr>
                  </w:pPr>
                  <w:r w:rsidRPr="00033FB4">
                    <w:rPr>
                      <w:rFonts w:ascii="Century Gothic" w:eastAsia="Times New Roman" w:hAnsi="Century Gothic"/>
                      <w:color w:val="000000"/>
                      <w:sz w:val="16"/>
                      <w:szCs w:val="16"/>
                      <w:lang w:val="es-CO" w:eastAsia="es-CO"/>
                    </w:rPr>
                    <w:t>3</w:t>
                  </w:r>
                </w:p>
              </w:tc>
              <w:tc>
                <w:tcPr>
                  <w:tcW w:w="1671" w:type="dxa"/>
                  <w:vAlign w:val="center"/>
                  <w:hideMark/>
                </w:tcPr>
                <w:p w:rsidR="00033FB4" w:rsidRPr="00033FB4" w:rsidRDefault="00033FB4" w:rsidP="00033FB4">
                  <w:pPr>
                    <w:spacing w:after="0"/>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Personal vinculado de planta</w:t>
                  </w:r>
                </w:p>
              </w:tc>
              <w:tc>
                <w:tcPr>
                  <w:tcW w:w="1540" w:type="dxa"/>
                  <w:noWrap/>
                  <w:vAlign w:val="center"/>
                  <w:hideMark/>
                </w:tcPr>
                <w:p w:rsidR="00033FB4" w:rsidRPr="00033FB4" w:rsidRDefault="00033FB4" w:rsidP="00033FB4">
                  <w:pPr>
                    <w:spacing w:after="0"/>
                    <w:jc w:val="right"/>
                    <w:rPr>
                      <w:rFonts w:ascii="Century Gothic" w:eastAsia="Times New Roman" w:hAnsi="Century Gothic"/>
                      <w:color w:val="000000"/>
                      <w:sz w:val="16"/>
                      <w:szCs w:val="16"/>
                      <w:lang w:val="es-CO" w:eastAsia="es-CO"/>
                    </w:rPr>
                  </w:pPr>
                  <w:r w:rsidRPr="00033FB4">
                    <w:rPr>
                      <w:rFonts w:ascii="Century Gothic" w:eastAsia="Times New Roman" w:hAnsi="Century Gothic"/>
                      <w:color w:val="000000"/>
                      <w:sz w:val="16"/>
                      <w:szCs w:val="16"/>
                      <w:lang w:val="es-CO" w:eastAsia="es-CO"/>
                    </w:rPr>
                    <w:t>812</w:t>
                  </w:r>
                </w:p>
              </w:tc>
              <w:tc>
                <w:tcPr>
                  <w:tcW w:w="1560" w:type="dxa"/>
                  <w:noWrap/>
                  <w:vAlign w:val="center"/>
                  <w:hideMark/>
                </w:tcPr>
                <w:p w:rsidR="00033FB4" w:rsidRPr="00033FB4" w:rsidRDefault="00033FB4" w:rsidP="00033FB4">
                  <w:pPr>
                    <w:spacing w:after="0"/>
                    <w:jc w:val="right"/>
                    <w:rPr>
                      <w:rFonts w:ascii="Century Gothic" w:eastAsia="Times New Roman" w:hAnsi="Century Gothic"/>
                      <w:color w:val="000000"/>
                      <w:sz w:val="16"/>
                      <w:szCs w:val="16"/>
                      <w:lang w:val="es-CO" w:eastAsia="es-CO"/>
                    </w:rPr>
                  </w:pPr>
                  <w:r w:rsidRPr="00033FB4">
                    <w:rPr>
                      <w:rFonts w:ascii="Century Gothic" w:eastAsia="Times New Roman" w:hAnsi="Century Gothic"/>
                      <w:color w:val="000000"/>
                      <w:sz w:val="16"/>
                      <w:szCs w:val="16"/>
                      <w:lang w:val="es-CO" w:eastAsia="es-CO"/>
                    </w:rPr>
                    <w:t>809</w:t>
                  </w:r>
                </w:p>
              </w:tc>
              <w:tc>
                <w:tcPr>
                  <w:tcW w:w="1760" w:type="dxa"/>
                  <w:noWrap/>
                  <w:vAlign w:val="center"/>
                  <w:hideMark/>
                </w:tcPr>
                <w:p w:rsidR="00033FB4" w:rsidRPr="00033FB4" w:rsidRDefault="00033FB4" w:rsidP="00033FB4">
                  <w:pPr>
                    <w:spacing w:after="0"/>
                    <w:jc w:val="right"/>
                    <w:rPr>
                      <w:rFonts w:ascii="Century Gothic" w:eastAsia="Times New Roman" w:hAnsi="Century Gothic"/>
                      <w:color w:val="000000"/>
                      <w:sz w:val="16"/>
                      <w:szCs w:val="16"/>
                      <w:lang w:val="es-CO" w:eastAsia="es-CO"/>
                    </w:rPr>
                  </w:pPr>
                  <w:r w:rsidRPr="00033FB4">
                    <w:rPr>
                      <w:rFonts w:ascii="Century Gothic" w:eastAsia="Times New Roman" w:hAnsi="Century Gothic"/>
                      <w:color w:val="000000"/>
                      <w:sz w:val="16"/>
                      <w:szCs w:val="16"/>
                      <w:lang w:val="es-CO" w:eastAsia="es-CO"/>
                    </w:rPr>
                    <w:t>-0,37%</w:t>
                  </w:r>
                </w:p>
              </w:tc>
              <w:tc>
                <w:tcPr>
                  <w:tcW w:w="3386" w:type="dxa"/>
                  <w:vMerge/>
                  <w:vAlign w:val="center"/>
                  <w:hideMark/>
                </w:tcPr>
                <w:p w:rsidR="00033FB4" w:rsidRPr="00033FB4" w:rsidRDefault="00033FB4" w:rsidP="00033FB4">
                  <w:pPr>
                    <w:spacing w:after="0"/>
                    <w:rPr>
                      <w:rFonts w:ascii="Century Gothic" w:eastAsia="Times New Roman" w:hAnsi="Century Gothic"/>
                      <w:color w:val="000000"/>
                      <w:sz w:val="16"/>
                      <w:szCs w:val="16"/>
                      <w:lang w:val="es-CO" w:eastAsia="es-CO"/>
                    </w:rPr>
                  </w:pPr>
                </w:p>
              </w:tc>
            </w:tr>
            <w:tr w:rsidR="00033FB4" w:rsidRPr="00033FB4" w:rsidTr="00033FB4">
              <w:trPr>
                <w:trHeight w:val="855"/>
              </w:trPr>
              <w:tc>
                <w:tcPr>
                  <w:tcW w:w="454" w:type="dxa"/>
                  <w:vAlign w:val="center"/>
                  <w:hideMark/>
                </w:tcPr>
                <w:p w:rsidR="00033FB4" w:rsidRPr="00033FB4" w:rsidRDefault="00033FB4" w:rsidP="00033FB4">
                  <w:pPr>
                    <w:spacing w:after="0"/>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 </w:t>
                  </w:r>
                </w:p>
              </w:tc>
              <w:tc>
                <w:tcPr>
                  <w:tcW w:w="9917" w:type="dxa"/>
                  <w:gridSpan w:val="5"/>
                  <w:vAlign w:val="center"/>
                  <w:hideMark/>
                </w:tcPr>
                <w:p w:rsidR="00033FB4" w:rsidRPr="00033FB4" w:rsidRDefault="00033FB4" w:rsidP="00033FB4">
                  <w:pPr>
                    <w:spacing w:after="0"/>
                    <w:rPr>
                      <w:rFonts w:ascii="Century Gothic" w:eastAsia="Times New Roman" w:hAnsi="Century Gothic"/>
                      <w:b/>
                      <w:bCs/>
                      <w:color w:val="000000"/>
                      <w:sz w:val="16"/>
                      <w:szCs w:val="16"/>
                      <w:lang w:val="es-CO" w:eastAsia="es-CO"/>
                    </w:rPr>
                  </w:pPr>
                  <w:r w:rsidRPr="00033FB4">
                    <w:rPr>
                      <w:rFonts w:ascii="Century Gothic" w:eastAsia="Times New Roman" w:hAnsi="Century Gothic"/>
                      <w:b/>
                      <w:bCs/>
                      <w:color w:val="000000"/>
                      <w:sz w:val="16"/>
                      <w:szCs w:val="16"/>
                      <w:lang w:val="es-CO" w:eastAsia="es-CO"/>
                    </w:rPr>
                    <w:t xml:space="preserve">Información </w:t>
                  </w:r>
                  <w:r w:rsidRPr="008115E2">
                    <w:rPr>
                      <w:rFonts w:ascii="Century Gothic" w:eastAsia="Times New Roman" w:hAnsi="Century Gothic"/>
                      <w:b/>
                      <w:bCs/>
                      <w:color w:val="000000"/>
                      <w:sz w:val="16"/>
                      <w:szCs w:val="16"/>
                      <w:lang w:val="es-CO" w:eastAsia="es-CO"/>
                    </w:rPr>
                    <w:t>enviada</w:t>
                  </w:r>
                  <w:r w:rsidRPr="00033FB4">
                    <w:rPr>
                      <w:rFonts w:ascii="Century Gothic" w:eastAsia="Times New Roman" w:hAnsi="Century Gothic"/>
                      <w:b/>
                      <w:bCs/>
                      <w:color w:val="000000"/>
                      <w:sz w:val="16"/>
                      <w:szCs w:val="16"/>
                      <w:lang w:val="es-CO" w:eastAsia="es-CO"/>
                    </w:rPr>
                    <w:t xml:space="preserve"> por el proceso:</w:t>
                  </w:r>
                  <w:r w:rsidRPr="00033FB4">
                    <w:rPr>
                      <w:rFonts w:ascii="Century Gothic" w:eastAsia="Times New Roman" w:hAnsi="Century Gothic"/>
                      <w:b/>
                      <w:bCs/>
                      <w:color w:val="000000"/>
                      <w:sz w:val="16"/>
                      <w:szCs w:val="16"/>
                      <w:lang w:val="es-CO" w:eastAsia="es-CO"/>
                    </w:rPr>
                    <w:br/>
                  </w:r>
                  <w:r w:rsidRPr="00033FB4">
                    <w:rPr>
                      <w:rFonts w:ascii="Century Gothic" w:eastAsia="Times New Roman" w:hAnsi="Century Gothic"/>
                      <w:b/>
                      <w:bCs/>
                      <w:color w:val="000000"/>
                      <w:sz w:val="16"/>
                      <w:szCs w:val="16"/>
                      <w:lang w:val="es-CO" w:eastAsia="es-CO"/>
                    </w:rPr>
                    <w:br/>
                  </w:r>
                  <w:r w:rsidRPr="00033FB4">
                    <w:rPr>
                      <w:rFonts w:ascii="Century Gothic" w:eastAsia="Times New Roman" w:hAnsi="Century Gothic"/>
                      <w:color w:val="000000"/>
                      <w:sz w:val="14"/>
                      <w:szCs w:val="14"/>
                      <w:lang w:val="es-CO" w:eastAsia="es-CO"/>
                    </w:rPr>
                    <w:t xml:space="preserve">La </w:t>
                  </w:r>
                  <w:r w:rsidRPr="008115E2">
                    <w:rPr>
                      <w:rFonts w:ascii="Century Gothic" w:eastAsia="Times New Roman" w:hAnsi="Century Gothic"/>
                      <w:color w:val="000000"/>
                      <w:sz w:val="14"/>
                      <w:szCs w:val="14"/>
                      <w:lang w:val="es-CO" w:eastAsia="es-CO"/>
                    </w:rPr>
                    <w:t>variación</w:t>
                  </w:r>
                  <w:r w:rsidRPr="00033FB4">
                    <w:rPr>
                      <w:rFonts w:ascii="Century Gothic" w:eastAsia="Times New Roman" w:hAnsi="Century Gothic"/>
                      <w:color w:val="000000"/>
                      <w:sz w:val="14"/>
                      <w:szCs w:val="14"/>
                      <w:lang w:val="es-CO" w:eastAsia="es-CO"/>
                    </w:rPr>
                    <w:t xml:space="preserve"> </w:t>
                  </w:r>
                  <w:r w:rsidRPr="008115E2">
                    <w:rPr>
                      <w:rFonts w:ascii="Century Gothic" w:eastAsia="Times New Roman" w:hAnsi="Century Gothic"/>
                      <w:color w:val="000000"/>
                      <w:sz w:val="14"/>
                      <w:szCs w:val="14"/>
                      <w:lang w:val="es-CO" w:eastAsia="es-CO"/>
                    </w:rPr>
                    <w:t>porcentual</w:t>
                  </w:r>
                  <w:r w:rsidRPr="00033FB4">
                    <w:rPr>
                      <w:rFonts w:ascii="Century Gothic" w:eastAsia="Times New Roman" w:hAnsi="Century Gothic"/>
                      <w:color w:val="000000"/>
                      <w:sz w:val="14"/>
                      <w:szCs w:val="14"/>
                      <w:lang w:val="es-CO" w:eastAsia="es-CO"/>
                    </w:rPr>
                    <w:t xml:space="preserve"> presentada entre el primer </w:t>
                  </w:r>
                  <w:r w:rsidRPr="008115E2">
                    <w:rPr>
                      <w:rFonts w:ascii="Century Gothic" w:eastAsia="Times New Roman" w:hAnsi="Century Gothic"/>
                      <w:color w:val="000000"/>
                      <w:sz w:val="14"/>
                      <w:szCs w:val="14"/>
                      <w:lang w:val="es-CO" w:eastAsia="es-CO"/>
                    </w:rPr>
                    <w:t>trimestre</w:t>
                  </w:r>
                  <w:r w:rsidRPr="00033FB4">
                    <w:rPr>
                      <w:rFonts w:ascii="Century Gothic" w:eastAsia="Times New Roman" w:hAnsi="Century Gothic"/>
                      <w:color w:val="000000"/>
                      <w:sz w:val="14"/>
                      <w:szCs w:val="14"/>
                      <w:lang w:val="es-CO" w:eastAsia="es-CO"/>
                    </w:rPr>
                    <w:t xml:space="preserve"> del 2015 </w:t>
                  </w:r>
                  <w:r w:rsidRPr="008115E2">
                    <w:rPr>
                      <w:rFonts w:ascii="Century Gothic" w:eastAsia="Times New Roman" w:hAnsi="Century Gothic"/>
                      <w:color w:val="000000"/>
                      <w:sz w:val="14"/>
                      <w:szCs w:val="14"/>
                      <w:lang w:val="es-CO" w:eastAsia="es-CO"/>
                    </w:rPr>
                    <w:t>frente</w:t>
                  </w:r>
                  <w:r w:rsidRPr="00033FB4">
                    <w:rPr>
                      <w:rFonts w:ascii="Century Gothic" w:eastAsia="Times New Roman" w:hAnsi="Century Gothic"/>
                      <w:color w:val="000000"/>
                      <w:sz w:val="14"/>
                      <w:szCs w:val="14"/>
                      <w:lang w:val="es-CO" w:eastAsia="es-CO"/>
                    </w:rPr>
                    <w:t xml:space="preserve"> al primer trimestre de 2016  es considerada normal y obedece a la dinámica de </w:t>
                  </w:r>
                  <w:r w:rsidRPr="008115E2">
                    <w:rPr>
                      <w:rFonts w:ascii="Century Gothic" w:eastAsia="Times New Roman" w:hAnsi="Century Gothic"/>
                      <w:color w:val="000000"/>
                      <w:sz w:val="14"/>
                      <w:szCs w:val="14"/>
                      <w:lang w:val="es-CO" w:eastAsia="es-CO"/>
                    </w:rPr>
                    <w:t>provisión</w:t>
                  </w:r>
                  <w:r w:rsidRPr="00033FB4">
                    <w:rPr>
                      <w:rFonts w:ascii="Century Gothic" w:eastAsia="Times New Roman" w:hAnsi="Century Gothic"/>
                      <w:color w:val="000000"/>
                      <w:sz w:val="14"/>
                      <w:szCs w:val="14"/>
                      <w:lang w:val="es-CO" w:eastAsia="es-CO"/>
                    </w:rPr>
                    <w:t xml:space="preserve"> de cargos de la Entidad</w:t>
                  </w:r>
                </w:p>
              </w:tc>
            </w:tr>
          </w:tbl>
          <w:p w:rsidR="00F8093F" w:rsidRPr="00F577A0" w:rsidRDefault="00F8093F" w:rsidP="00F8093F">
            <w:pPr>
              <w:pStyle w:val="Default"/>
              <w:jc w:val="both"/>
              <w:rPr>
                <w:rFonts w:ascii="Century Gothic" w:eastAsia="Times New Roman" w:hAnsi="Century Gothic"/>
                <w:color w:val="auto"/>
                <w:sz w:val="20"/>
                <w:szCs w:val="20"/>
                <w:lang w:val="es-ES_tradnl"/>
              </w:rPr>
            </w:pPr>
          </w:p>
          <w:p w:rsidR="00F8093F" w:rsidRPr="00F577A0" w:rsidRDefault="00F8093F" w:rsidP="00F8093F">
            <w:pPr>
              <w:pStyle w:val="Default"/>
              <w:jc w:val="both"/>
              <w:rPr>
                <w:rFonts w:ascii="Century Gothic" w:eastAsia="Times New Roman" w:hAnsi="Century Gothic"/>
                <w:color w:val="auto"/>
                <w:sz w:val="20"/>
                <w:szCs w:val="20"/>
                <w:lang w:val="es-ES_tradnl"/>
              </w:rPr>
            </w:pPr>
          </w:p>
          <w:p w:rsidR="00F8093F" w:rsidRDefault="00F8093F" w:rsidP="00F8093F">
            <w:pPr>
              <w:pStyle w:val="Default"/>
              <w:jc w:val="both"/>
              <w:rPr>
                <w:rFonts w:ascii="Century Gothic" w:eastAsia="Times New Roman" w:hAnsi="Century Gothic"/>
                <w:color w:val="auto"/>
                <w:sz w:val="20"/>
                <w:szCs w:val="20"/>
                <w:lang w:val="es-ES_tradnl"/>
              </w:rPr>
            </w:pPr>
          </w:p>
          <w:p w:rsidR="00FC23F7" w:rsidRDefault="00FC23F7" w:rsidP="00F8093F">
            <w:pPr>
              <w:pStyle w:val="Default"/>
              <w:jc w:val="both"/>
              <w:rPr>
                <w:rFonts w:ascii="Century Gothic" w:eastAsia="Times New Roman" w:hAnsi="Century Gothic"/>
                <w:color w:val="auto"/>
                <w:sz w:val="20"/>
                <w:szCs w:val="20"/>
                <w:lang w:val="es-ES_tradnl"/>
              </w:rPr>
            </w:pPr>
          </w:p>
          <w:p w:rsidR="00FC23F7" w:rsidRDefault="00FC23F7" w:rsidP="00F8093F">
            <w:pPr>
              <w:pStyle w:val="Default"/>
              <w:jc w:val="both"/>
              <w:rPr>
                <w:rFonts w:ascii="Century Gothic" w:eastAsia="Times New Roman" w:hAnsi="Century Gothic"/>
                <w:color w:val="auto"/>
                <w:sz w:val="20"/>
                <w:szCs w:val="20"/>
                <w:lang w:val="es-ES_tradnl"/>
              </w:rPr>
            </w:pPr>
          </w:p>
          <w:p w:rsidR="00FC23F7" w:rsidRDefault="00FC23F7" w:rsidP="00F8093F">
            <w:pPr>
              <w:pStyle w:val="Default"/>
              <w:jc w:val="both"/>
              <w:rPr>
                <w:rFonts w:ascii="Century Gothic" w:eastAsia="Times New Roman" w:hAnsi="Century Gothic"/>
                <w:color w:val="auto"/>
                <w:sz w:val="20"/>
                <w:szCs w:val="20"/>
                <w:lang w:val="es-ES_tradnl"/>
              </w:rPr>
            </w:pPr>
          </w:p>
          <w:p w:rsidR="00FC23F7" w:rsidRPr="00F577A0" w:rsidRDefault="00FC23F7" w:rsidP="00F8093F">
            <w:pPr>
              <w:pStyle w:val="Default"/>
              <w:jc w:val="both"/>
              <w:rPr>
                <w:rFonts w:ascii="Century Gothic" w:eastAsia="Times New Roman" w:hAnsi="Century Gothic"/>
                <w:color w:val="auto"/>
                <w:sz w:val="20"/>
                <w:szCs w:val="20"/>
                <w:lang w:val="es-ES_tradnl"/>
              </w:rPr>
            </w:pPr>
          </w:p>
          <w:p w:rsidR="00F8093F" w:rsidRPr="00FC23F7" w:rsidRDefault="00F8093F" w:rsidP="00FC23F7">
            <w:pPr>
              <w:pStyle w:val="Prrafodelista"/>
              <w:numPr>
                <w:ilvl w:val="1"/>
                <w:numId w:val="23"/>
              </w:numPr>
              <w:spacing w:after="0"/>
              <w:jc w:val="both"/>
              <w:rPr>
                <w:rFonts w:ascii="Century Gothic" w:hAnsi="Century Gothic" w:cs="Arial"/>
                <w:b/>
                <w:sz w:val="20"/>
                <w:szCs w:val="20"/>
                <w:lang w:val="es-MX" w:eastAsia="es-CO"/>
              </w:rPr>
            </w:pPr>
            <w:r w:rsidRPr="00FC23F7">
              <w:rPr>
                <w:rFonts w:ascii="Century Gothic" w:hAnsi="Century Gothic" w:cs="Arial"/>
                <w:b/>
                <w:sz w:val="20"/>
                <w:szCs w:val="20"/>
                <w:lang w:val="es-MX" w:eastAsia="es-CO"/>
              </w:rPr>
              <w:t>Contratos</w:t>
            </w:r>
          </w:p>
          <w:p w:rsidR="00F8093F" w:rsidRPr="00F577A0" w:rsidRDefault="00F8093F" w:rsidP="00F8093F">
            <w:pPr>
              <w:pStyle w:val="Default"/>
              <w:jc w:val="both"/>
              <w:rPr>
                <w:rFonts w:ascii="Century Gothic" w:eastAsia="Times New Roman" w:hAnsi="Century Gothic"/>
                <w:color w:val="auto"/>
                <w:sz w:val="20"/>
                <w:szCs w:val="20"/>
                <w:lang w:val="es-ES_tradnl"/>
              </w:rPr>
            </w:pPr>
          </w:p>
          <w:p w:rsidR="00F8093F" w:rsidRPr="00FC23F7" w:rsidRDefault="00FC23F7" w:rsidP="00FC23F7">
            <w:pPr>
              <w:pStyle w:val="Default"/>
              <w:numPr>
                <w:ilvl w:val="2"/>
                <w:numId w:val="23"/>
              </w:numPr>
              <w:jc w:val="both"/>
              <w:rPr>
                <w:rFonts w:ascii="Century Gothic" w:eastAsia="Times New Roman" w:hAnsi="Century Gothic"/>
                <w:b/>
                <w:color w:val="auto"/>
                <w:sz w:val="20"/>
                <w:szCs w:val="20"/>
                <w:lang w:val="es-ES_tradnl"/>
              </w:rPr>
            </w:pPr>
            <w:r w:rsidRPr="00FC23F7">
              <w:rPr>
                <w:rFonts w:ascii="Century Gothic" w:eastAsia="Times New Roman" w:hAnsi="Century Gothic"/>
                <w:b/>
                <w:color w:val="auto"/>
                <w:sz w:val="20"/>
                <w:szCs w:val="20"/>
                <w:lang w:val="es-ES_tradnl"/>
              </w:rPr>
              <w:t>Por funcionamiento</w:t>
            </w:r>
          </w:p>
          <w:p w:rsidR="006A06E8" w:rsidRDefault="006A06E8" w:rsidP="00F8093F">
            <w:pPr>
              <w:pStyle w:val="Default"/>
              <w:jc w:val="both"/>
              <w:rPr>
                <w:rFonts w:ascii="Century Gothic" w:eastAsia="Times New Roman" w:hAnsi="Century Gothic"/>
                <w:color w:val="auto"/>
                <w:sz w:val="20"/>
                <w:szCs w:val="20"/>
                <w:lang w:val="es-ES_tradnl"/>
              </w:rPr>
            </w:pPr>
          </w:p>
          <w:p w:rsidR="006A06E8" w:rsidRDefault="006A06E8" w:rsidP="00F8093F">
            <w:pPr>
              <w:pStyle w:val="Default"/>
              <w:jc w:val="both"/>
              <w:rPr>
                <w:rFonts w:ascii="Century Gothic" w:eastAsia="Times New Roman" w:hAnsi="Century Gothic"/>
                <w:color w:val="auto"/>
                <w:sz w:val="20"/>
                <w:szCs w:val="20"/>
                <w:lang w:val="es-ES_tradnl"/>
              </w:rPr>
            </w:pPr>
          </w:p>
          <w:tbl>
            <w:tblPr>
              <w:tblStyle w:val="Tablaconcuadrcula"/>
              <w:tblW w:w="10371" w:type="dxa"/>
              <w:tblLayout w:type="fixed"/>
              <w:tblLook w:val="04A0" w:firstRow="1" w:lastRow="0" w:firstColumn="1" w:lastColumn="0" w:noHBand="0" w:noVBand="1"/>
            </w:tblPr>
            <w:tblGrid>
              <w:gridCol w:w="465"/>
              <w:gridCol w:w="3817"/>
              <w:gridCol w:w="992"/>
              <w:gridCol w:w="1134"/>
              <w:gridCol w:w="1843"/>
              <w:gridCol w:w="2120"/>
            </w:tblGrid>
            <w:tr w:rsidR="003A37A9" w:rsidRPr="003A37A9" w:rsidTr="003A37A9">
              <w:trPr>
                <w:trHeight w:val="229"/>
              </w:trPr>
              <w:tc>
                <w:tcPr>
                  <w:tcW w:w="465" w:type="dxa"/>
                  <w:noWrap/>
                  <w:vAlign w:val="center"/>
                  <w:hideMark/>
                </w:tcPr>
                <w:p w:rsidR="003A37A9" w:rsidRPr="003A37A9" w:rsidRDefault="003A37A9" w:rsidP="003A37A9">
                  <w:pPr>
                    <w:spacing w:after="0"/>
                    <w:jc w:val="center"/>
                    <w:rPr>
                      <w:rFonts w:ascii="Calibri" w:eastAsia="Times New Roman" w:hAnsi="Calibri"/>
                      <w:color w:val="000000"/>
                      <w:sz w:val="22"/>
                      <w:szCs w:val="22"/>
                      <w:lang w:val="es-CO" w:eastAsia="es-CO"/>
                    </w:rPr>
                  </w:pPr>
                  <w:r w:rsidRPr="003A37A9">
                    <w:rPr>
                      <w:rFonts w:ascii="Calibri" w:eastAsia="Times New Roman" w:hAnsi="Calibri"/>
                      <w:color w:val="000000"/>
                      <w:sz w:val="22"/>
                      <w:szCs w:val="22"/>
                      <w:lang w:val="es-CO" w:eastAsia="es-CO"/>
                    </w:rPr>
                    <w:t>Nº</w:t>
                  </w:r>
                </w:p>
              </w:tc>
              <w:tc>
                <w:tcPr>
                  <w:tcW w:w="3817" w:type="dxa"/>
                  <w:noWrap/>
                  <w:vAlign w:val="center"/>
                  <w:hideMark/>
                </w:tcPr>
                <w:p w:rsidR="003A37A9" w:rsidRPr="003A37A9" w:rsidRDefault="003A37A9" w:rsidP="003A37A9">
                  <w:pPr>
                    <w:spacing w:after="0"/>
                    <w:jc w:val="center"/>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Aspectos cuantitativos</w:t>
                  </w:r>
                </w:p>
              </w:tc>
              <w:tc>
                <w:tcPr>
                  <w:tcW w:w="6089" w:type="dxa"/>
                  <w:gridSpan w:val="4"/>
                  <w:noWrap/>
                  <w:vAlign w:val="center"/>
                  <w:hideMark/>
                </w:tcPr>
                <w:p w:rsidR="003A37A9" w:rsidRPr="003A37A9" w:rsidRDefault="003A37A9" w:rsidP="003A37A9">
                  <w:pPr>
                    <w:spacing w:after="0"/>
                    <w:jc w:val="center"/>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Situaciones encontradas por la OCI</w:t>
                  </w:r>
                </w:p>
              </w:tc>
            </w:tr>
            <w:tr w:rsidR="003A37A9" w:rsidRPr="003A37A9" w:rsidTr="003A37A9">
              <w:trPr>
                <w:trHeight w:val="525"/>
              </w:trPr>
              <w:tc>
                <w:tcPr>
                  <w:tcW w:w="465" w:type="dxa"/>
                  <w:noWrap/>
                  <w:vAlign w:val="center"/>
                  <w:hideMark/>
                </w:tcPr>
                <w:p w:rsidR="003A37A9" w:rsidRPr="003A37A9" w:rsidRDefault="003A37A9" w:rsidP="003A37A9">
                  <w:pPr>
                    <w:spacing w:after="0"/>
                    <w:jc w:val="center"/>
                    <w:rPr>
                      <w:rFonts w:ascii="Calibri" w:eastAsia="Times New Roman" w:hAnsi="Calibri"/>
                      <w:color w:val="000000"/>
                      <w:sz w:val="22"/>
                      <w:szCs w:val="22"/>
                      <w:lang w:val="es-CO" w:eastAsia="es-CO"/>
                    </w:rPr>
                  </w:pPr>
                  <w:r w:rsidRPr="003A37A9">
                    <w:rPr>
                      <w:rFonts w:ascii="Calibri" w:eastAsia="Times New Roman" w:hAnsi="Calibri"/>
                      <w:color w:val="000000"/>
                      <w:sz w:val="22"/>
                      <w:szCs w:val="22"/>
                      <w:lang w:val="es-CO" w:eastAsia="es-CO"/>
                    </w:rPr>
                    <w:t> </w:t>
                  </w:r>
                </w:p>
              </w:tc>
              <w:tc>
                <w:tcPr>
                  <w:tcW w:w="3817" w:type="dxa"/>
                  <w:vAlign w:val="center"/>
                  <w:hideMark/>
                </w:tcPr>
                <w:p w:rsidR="003A37A9" w:rsidRPr="003A37A9" w:rsidRDefault="003A37A9" w:rsidP="003A37A9">
                  <w:pPr>
                    <w:spacing w:after="0"/>
                    <w:jc w:val="center"/>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Cantidad personal</w:t>
                  </w:r>
                </w:p>
              </w:tc>
              <w:tc>
                <w:tcPr>
                  <w:tcW w:w="992" w:type="dxa"/>
                  <w:vAlign w:val="center"/>
                  <w:hideMark/>
                </w:tcPr>
                <w:p w:rsidR="003A37A9" w:rsidRPr="003A37A9" w:rsidRDefault="003A37A9" w:rsidP="003A37A9">
                  <w:pPr>
                    <w:spacing w:after="0"/>
                    <w:jc w:val="center"/>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Cantidad entre Enero - Marzo de la vigencia 2015</w:t>
                  </w:r>
                </w:p>
              </w:tc>
              <w:tc>
                <w:tcPr>
                  <w:tcW w:w="1134" w:type="dxa"/>
                  <w:vAlign w:val="center"/>
                  <w:hideMark/>
                </w:tcPr>
                <w:p w:rsidR="003A37A9" w:rsidRPr="003A37A9" w:rsidRDefault="003A37A9" w:rsidP="003A37A9">
                  <w:pPr>
                    <w:spacing w:after="0"/>
                    <w:jc w:val="center"/>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Cantidad entre Enero - Marzo de la vigencia 2016</w:t>
                  </w:r>
                </w:p>
              </w:tc>
              <w:tc>
                <w:tcPr>
                  <w:tcW w:w="1843" w:type="dxa"/>
                  <w:vAlign w:val="center"/>
                  <w:hideMark/>
                </w:tcPr>
                <w:p w:rsidR="003A37A9" w:rsidRPr="003A37A9" w:rsidRDefault="003A37A9" w:rsidP="003A37A9">
                  <w:pPr>
                    <w:spacing w:after="0"/>
                    <w:jc w:val="center"/>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 Variación de la cantidad entre</w:t>
                  </w:r>
                  <w:r>
                    <w:rPr>
                      <w:rFonts w:ascii="Century Gothic" w:eastAsia="Times New Roman" w:hAnsi="Century Gothic"/>
                      <w:b/>
                      <w:bCs/>
                      <w:color w:val="000000"/>
                      <w:sz w:val="14"/>
                      <w:szCs w:val="14"/>
                      <w:lang w:val="es-CO" w:eastAsia="es-CO"/>
                    </w:rPr>
                    <w:t xml:space="preserve"> </w:t>
                  </w:r>
                  <w:r w:rsidRPr="003A37A9">
                    <w:rPr>
                      <w:rFonts w:ascii="Century Gothic" w:eastAsia="Times New Roman" w:hAnsi="Century Gothic"/>
                      <w:b/>
                      <w:bCs/>
                      <w:color w:val="000000"/>
                      <w:sz w:val="14"/>
                      <w:szCs w:val="14"/>
                      <w:lang w:val="es-CO" w:eastAsia="es-CO"/>
                    </w:rPr>
                    <w:t>Enero - Marzo de 2016 respecto al mismo periodo de la vigencia 2015</w:t>
                  </w:r>
                </w:p>
              </w:tc>
              <w:tc>
                <w:tcPr>
                  <w:tcW w:w="2120" w:type="dxa"/>
                  <w:vMerge w:val="restart"/>
                  <w:noWrap/>
                  <w:vAlign w:val="center"/>
                  <w:hideMark/>
                </w:tcPr>
                <w:p w:rsidR="003A37A9" w:rsidRPr="003A37A9" w:rsidRDefault="003A37A9" w:rsidP="003A37A9">
                  <w:pPr>
                    <w:spacing w:after="0"/>
                    <w:jc w:val="both"/>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 xml:space="preserve">Se observa un incremento en la cantidad de personal contratado para las áreas misionales, estratégicos y seguimiento y control. Para el personal contratado de las </w:t>
                  </w:r>
                  <w:r w:rsidR="00ED520D">
                    <w:rPr>
                      <w:rFonts w:ascii="Century Gothic" w:eastAsia="Times New Roman" w:hAnsi="Century Gothic"/>
                      <w:color w:val="000000"/>
                      <w:sz w:val="14"/>
                      <w:szCs w:val="14"/>
                      <w:lang w:val="es-CO" w:eastAsia="es-CO"/>
                    </w:rPr>
                    <w:t>áreas de apoyo disminuye el 52,</w:t>
                  </w:r>
                  <w:r w:rsidRPr="003A37A9">
                    <w:rPr>
                      <w:rFonts w:ascii="Century Gothic" w:eastAsia="Times New Roman" w:hAnsi="Century Gothic"/>
                      <w:color w:val="000000"/>
                      <w:sz w:val="14"/>
                      <w:szCs w:val="14"/>
                      <w:lang w:val="es-CO" w:eastAsia="es-CO"/>
                    </w:rPr>
                    <w:t>27%. Resultando un incremento del total personal contratado de 52,6% en comparación del trimestre de 2015.</w:t>
                  </w:r>
                </w:p>
              </w:tc>
            </w:tr>
            <w:tr w:rsidR="003A37A9" w:rsidRPr="003A37A9" w:rsidTr="003A37A9">
              <w:trPr>
                <w:trHeight w:val="218"/>
              </w:trPr>
              <w:tc>
                <w:tcPr>
                  <w:tcW w:w="465" w:type="dxa"/>
                  <w:noWrap/>
                  <w:vAlign w:val="center"/>
                  <w:hideMark/>
                </w:tcPr>
                <w:p w:rsidR="003A37A9" w:rsidRPr="003A37A9" w:rsidRDefault="003A37A9" w:rsidP="003A37A9">
                  <w:pPr>
                    <w:spacing w:after="0"/>
                    <w:jc w:val="center"/>
                    <w:rPr>
                      <w:rFonts w:ascii="Calibri" w:eastAsia="Times New Roman" w:hAnsi="Calibri"/>
                      <w:color w:val="000000"/>
                      <w:sz w:val="22"/>
                      <w:szCs w:val="22"/>
                      <w:lang w:val="es-CO" w:eastAsia="es-CO"/>
                    </w:rPr>
                  </w:pPr>
                  <w:r w:rsidRPr="003A37A9">
                    <w:rPr>
                      <w:rFonts w:ascii="Calibri" w:eastAsia="Times New Roman" w:hAnsi="Calibri"/>
                      <w:color w:val="000000"/>
                      <w:sz w:val="22"/>
                      <w:szCs w:val="22"/>
                      <w:lang w:val="es-CO" w:eastAsia="es-CO"/>
                    </w:rPr>
                    <w:t>1</w:t>
                  </w:r>
                </w:p>
              </w:tc>
              <w:tc>
                <w:tcPr>
                  <w:tcW w:w="3817" w:type="dxa"/>
                  <w:noWrap/>
                  <w:vAlign w:val="center"/>
                  <w:hideMark/>
                </w:tcPr>
                <w:p w:rsidR="003A37A9" w:rsidRPr="003A37A9" w:rsidRDefault="003A37A9" w:rsidP="003A37A9">
                  <w:pPr>
                    <w:spacing w:after="0"/>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Personal contratado Procesos Misionales</w:t>
                  </w:r>
                </w:p>
              </w:tc>
              <w:tc>
                <w:tcPr>
                  <w:tcW w:w="992"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59</w:t>
                  </w:r>
                </w:p>
              </w:tc>
              <w:tc>
                <w:tcPr>
                  <w:tcW w:w="1134"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173</w:t>
                  </w:r>
                </w:p>
              </w:tc>
              <w:tc>
                <w:tcPr>
                  <w:tcW w:w="1843"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193,22%</w:t>
                  </w:r>
                </w:p>
              </w:tc>
              <w:tc>
                <w:tcPr>
                  <w:tcW w:w="2120" w:type="dxa"/>
                  <w:vMerge/>
                  <w:vAlign w:val="center"/>
                  <w:hideMark/>
                </w:tcPr>
                <w:p w:rsidR="003A37A9" w:rsidRPr="003A37A9" w:rsidRDefault="003A37A9" w:rsidP="003A37A9">
                  <w:pPr>
                    <w:spacing w:after="0"/>
                    <w:rPr>
                      <w:rFonts w:ascii="Century Gothic" w:eastAsia="Times New Roman" w:hAnsi="Century Gothic"/>
                      <w:color w:val="000000"/>
                      <w:sz w:val="14"/>
                      <w:szCs w:val="14"/>
                      <w:lang w:val="es-CO" w:eastAsia="es-CO"/>
                    </w:rPr>
                  </w:pPr>
                </w:p>
              </w:tc>
            </w:tr>
            <w:tr w:rsidR="003A37A9" w:rsidRPr="003A37A9" w:rsidTr="003A37A9">
              <w:trPr>
                <w:trHeight w:val="218"/>
              </w:trPr>
              <w:tc>
                <w:tcPr>
                  <w:tcW w:w="465" w:type="dxa"/>
                  <w:noWrap/>
                  <w:vAlign w:val="center"/>
                  <w:hideMark/>
                </w:tcPr>
                <w:p w:rsidR="003A37A9" w:rsidRPr="003A37A9" w:rsidRDefault="003A37A9" w:rsidP="003A37A9">
                  <w:pPr>
                    <w:spacing w:after="0"/>
                    <w:jc w:val="center"/>
                    <w:rPr>
                      <w:rFonts w:ascii="Calibri" w:eastAsia="Times New Roman" w:hAnsi="Calibri"/>
                      <w:color w:val="000000"/>
                      <w:sz w:val="22"/>
                      <w:szCs w:val="22"/>
                      <w:lang w:val="es-CO" w:eastAsia="es-CO"/>
                    </w:rPr>
                  </w:pPr>
                  <w:r w:rsidRPr="003A37A9">
                    <w:rPr>
                      <w:rFonts w:ascii="Calibri" w:eastAsia="Times New Roman" w:hAnsi="Calibri"/>
                      <w:color w:val="000000"/>
                      <w:sz w:val="22"/>
                      <w:szCs w:val="22"/>
                      <w:lang w:val="es-CO" w:eastAsia="es-CO"/>
                    </w:rPr>
                    <w:t>2</w:t>
                  </w:r>
                </w:p>
              </w:tc>
              <w:tc>
                <w:tcPr>
                  <w:tcW w:w="3817" w:type="dxa"/>
                  <w:noWrap/>
                  <w:vAlign w:val="center"/>
                  <w:hideMark/>
                </w:tcPr>
                <w:p w:rsidR="003A37A9" w:rsidRPr="003A37A9" w:rsidRDefault="003A37A9" w:rsidP="003A37A9">
                  <w:pPr>
                    <w:spacing w:after="0"/>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Personal contratado Procesos Apoyo</w:t>
                  </w:r>
                </w:p>
              </w:tc>
              <w:tc>
                <w:tcPr>
                  <w:tcW w:w="992"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88</w:t>
                  </w:r>
                </w:p>
              </w:tc>
              <w:tc>
                <w:tcPr>
                  <w:tcW w:w="1134"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42</w:t>
                  </w:r>
                </w:p>
              </w:tc>
              <w:tc>
                <w:tcPr>
                  <w:tcW w:w="1843"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-52,27%</w:t>
                  </w:r>
                </w:p>
              </w:tc>
              <w:tc>
                <w:tcPr>
                  <w:tcW w:w="2120" w:type="dxa"/>
                  <w:vMerge/>
                  <w:vAlign w:val="center"/>
                  <w:hideMark/>
                </w:tcPr>
                <w:p w:rsidR="003A37A9" w:rsidRPr="003A37A9" w:rsidRDefault="003A37A9" w:rsidP="003A37A9">
                  <w:pPr>
                    <w:spacing w:after="0"/>
                    <w:rPr>
                      <w:rFonts w:ascii="Century Gothic" w:eastAsia="Times New Roman" w:hAnsi="Century Gothic"/>
                      <w:color w:val="000000"/>
                      <w:sz w:val="14"/>
                      <w:szCs w:val="14"/>
                      <w:lang w:val="es-CO" w:eastAsia="es-CO"/>
                    </w:rPr>
                  </w:pPr>
                </w:p>
              </w:tc>
            </w:tr>
            <w:tr w:rsidR="003A37A9" w:rsidRPr="003A37A9" w:rsidTr="003A37A9">
              <w:trPr>
                <w:trHeight w:val="218"/>
              </w:trPr>
              <w:tc>
                <w:tcPr>
                  <w:tcW w:w="465" w:type="dxa"/>
                  <w:noWrap/>
                  <w:vAlign w:val="center"/>
                  <w:hideMark/>
                </w:tcPr>
                <w:p w:rsidR="003A37A9" w:rsidRPr="003A37A9" w:rsidRDefault="003A37A9" w:rsidP="003A37A9">
                  <w:pPr>
                    <w:spacing w:after="0"/>
                    <w:jc w:val="center"/>
                    <w:rPr>
                      <w:rFonts w:ascii="Calibri" w:eastAsia="Times New Roman" w:hAnsi="Calibri"/>
                      <w:color w:val="000000"/>
                      <w:sz w:val="22"/>
                      <w:szCs w:val="22"/>
                      <w:lang w:val="es-CO" w:eastAsia="es-CO"/>
                    </w:rPr>
                  </w:pPr>
                  <w:r w:rsidRPr="003A37A9">
                    <w:rPr>
                      <w:rFonts w:ascii="Calibri" w:eastAsia="Times New Roman" w:hAnsi="Calibri"/>
                      <w:color w:val="000000"/>
                      <w:sz w:val="22"/>
                      <w:szCs w:val="22"/>
                      <w:lang w:val="es-CO" w:eastAsia="es-CO"/>
                    </w:rPr>
                    <w:t>3</w:t>
                  </w:r>
                </w:p>
              </w:tc>
              <w:tc>
                <w:tcPr>
                  <w:tcW w:w="3817" w:type="dxa"/>
                  <w:noWrap/>
                  <w:vAlign w:val="center"/>
                  <w:hideMark/>
                </w:tcPr>
                <w:p w:rsidR="003A37A9" w:rsidRPr="003A37A9" w:rsidRDefault="003A37A9" w:rsidP="003A37A9">
                  <w:pPr>
                    <w:spacing w:after="0"/>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Personal contratado Procesos Estratégicos</w:t>
                  </w:r>
                </w:p>
              </w:tc>
              <w:tc>
                <w:tcPr>
                  <w:tcW w:w="992"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5</w:t>
                  </w:r>
                </w:p>
              </w:tc>
              <w:tc>
                <w:tcPr>
                  <w:tcW w:w="1134"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14</w:t>
                  </w:r>
                </w:p>
              </w:tc>
              <w:tc>
                <w:tcPr>
                  <w:tcW w:w="1843"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180,00%</w:t>
                  </w:r>
                </w:p>
              </w:tc>
              <w:tc>
                <w:tcPr>
                  <w:tcW w:w="2120" w:type="dxa"/>
                  <w:vMerge/>
                  <w:vAlign w:val="center"/>
                  <w:hideMark/>
                </w:tcPr>
                <w:p w:rsidR="003A37A9" w:rsidRPr="003A37A9" w:rsidRDefault="003A37A9" w:rsidP="003A37A9">
                  <w:pPr>
                    <w:spacing w:after="0"/>
                    <w:rPr>
                      <w:rFonts w:ascii="Century Gothic" w:eastAsia="Times New Roman" w:hAnsi="Century Gothic"/>
                      <w:color w:val="000000"/>
                      <w:sz w:val="14"/>
                      <w:szCs w:val="14"/>
                      <w:lang w:val="es-CO" w:eastAsia="es-CO"/>
                    </w:rPr>
                  </w:pPr>
                </w:p>
              </w:tc>
            </w:tr>
            <w:tr w:rsidR="003A37A9" w:rsidRPr="003A37A9" w:rsidTr="003A37A9">
              <w:trPr>
                <w:trHeight w:val="218"/>
              </w:trPr>
              <w:tc>
                <w:tcPr>
                  <w:tcW w:w="465" w:type="dxa"/>
                  <w:noWrap/>
                  <w:vAlign w:val="center"/>
                  <w:hideMark/>
                </w:tcPr>
                <w:p w:rsidR="003A37A9" w:rsidRPr="003A37A9" w:rsidRDefault="003A37A9" w:rsidP="003A37A9">
                  <w:pPr>
                    <w:spacing w:after="0"/>
                    <w:jc w:val="center"/>
                    <w:rPr>
                      <w:rFonts w:ascii="Calibri" w:eastAsia="Times New Roman" w:hAnsi="Calibri"/>
                      <w:color w:val="000000"/>
                      <w:sz w:val="22"/>
                      <w:szCs w:val="22"/>
                      <w:lang w:val="es-CO" w:eastAsia="es-CO"/>
                    </w:rPr>
                  </w:pPr>
                  <w:r w:rsidRPr="003A37A9">
                    <w:rPr>
                      <w:rFonts w:ascii="Calibri" w:eastAsia="Times New Roman" w:hAnsi="Calibri"/>
                      <w:color w:val="000000"/>
                      <w:sz w:val="22"/>
                      <w:szCs w:val="22"/>
                      <w:lang w:val="es-CO" w:eastAsia="es-CO"/>
                    </w:rPr>
                    <w:t>4</w:t>
                  </w:r>
                </w:p>
              </w:tc>
              <w:tc>
                <w:tcPr>
                  <w:tcW w:w="3817" w:type="dxa"/>
                  <w:noWrap/>
                  <w:vAlign w:val="center"/>
                  <w:hideMark/>
                </w:tcPr>
                <w:p w:rsidR="003A37A9" w:rsidRPr="003A37A9" w:rsidRDefault="003A37A9" w:rsidP="003A37A9">
                  <w:pPr>
                    <w:spacing w:after="0"/>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Personal contratado Procesos Seguimiento y Control</w:t>
                  </w:r>
                </w:p>
              </w:tc>
              <w:tc>
                <w:tcPr>
                  <w:tcW w:w="992"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2</w:t>
                  </w:r>
                </w:p>
              </w:tc>
              <w:tc>
                <w:tcPr>
                  <w:tcW w:w="1134"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6</w:t>
                  </w:r>
                </w:p>
              </w:tc>
              <w:tc>
                <w:tcPr>
                  <w:tcW w:w="1843" w:type="dxa"/>
                  <w:noWrap/>
                  <w:vAlign w:val="center"/>
                  <w:hideMark/>
                </w:tcPr>
                <w:p w:rsidR="003A37A9" w:rsidRPr="003A37A9" w:rsidRDefault="003A37A9" w:rsidP="003A37A9">
                  <w:pPr>
                    <w:spacing w:after="0"/>
                    <w:jc w:val="right"/>
                    <w:rPr>
                      <w:rFonts w:ascii="Century Gothic" w:eastAsia="Times New Roman" w:hAnsi="Century Gothic"/>
                      <w:color w:val="000000"/>
                      <w:sz w:val="14"/>
                      <w:szCs w:val="14"/>
                      <w:lang w:val="es-CO" w:eastAsia="es-CO"/>
                    </w:rPr>
                  </w:pPr>
                  <w:r w:rsidRPr="003A37A9">
                    <w:rPr>
                      <w:rFonts w:ascii="Century Gothic" w:eastAsia="Times New Roman" w:hAnsi="Century Gothic"/>
                      <w:color w:val="000000"/>
                      <w:sz w:val="14"/>
                      <w:szCs w:val="14"/>
                      <w:lang w:val="es-CO" w:eastAsia="es-CO"/>
                    </w:rPr>
                    <w:t>200,00%</w:t>
                  </w:r>
                </w:p>
              </w:tc>
              <w:tc>
                <w:tcPr>
                  <w:tcW w:w="2120" w:type="dxa"/>
                  <w:vMerge/>
                  <w:vAlign w:val="center"/>
                  <w:hideMark/>
                </w:tcPr>
                <w:p w:rsidR="003A37A9" w:rsidRPr="003A37A9" w:rsidRDefault="003A37A9" w:rsidP="003A37A9">
                  <w:pPr>
                    <w:spacing w:after="0"/>
                    <w:rPr>
                      <w:rFonts w:ascii="Century Gothic" w:eastAsia="Times New Roman" w:hAnsi="Century Gothic"/>
                      <w:color w:val="000000"/>
                      <w:sz w:val="14"/>
                      <w:szCs w:val="14"/>
                      <w:lang w:val="es-CO" w:eastAsia="es-CO"/>
                    </w:rPr>
                  </w:pPr>
                </w:p>
              </w:tc>
            </w:tr>
            <w:tr w:rsidR="003A37A9" w:rsidRPr="003A37A9" w:rsidTr="003A37A9">
              <w:trPr>
                <w:trHeight w:val="229"/>
              </w:trPr>
              <w:tc>
                <w:tcPr>
                  <w:tcW w:w="465" w:type="dxa"/>
                  <w:noWrap/>
                  <w:vAlign w:val="center"/>
                  <w:hideMark/>
                </w:tcPr>
                <w:p w:rsidR="003A37A9" w:rsidRPr="003A37A9" w:rsidRDefault="003A37A9" w:rsidP="003A37A9">
                  <w:pPr>
                    <w:spacing w:after="0"/>
                    <w:jc w:val="center"/>
                    <w:rPr>
                      <w:rFonts w:ascii="Calibri" w:eastAsia="Times New Roman" w:hAnsi="Calibri"/>
                      <w:color w:val="000000"/>
                      <w:sz w:val="22"/>
                      <w:szCs w:val="22"/>
                      <w:lang w:val="es-CO" w:eastAsia="es-CO"/>
                    </w:rPr>
                  </w:pPr>
                  <w:r w:rsidRPr="003A37A9">
                    <w:rPr>
                      <w:rFonts w:ascii="Calibri" w:eastAsia="Times New Roman" w:hAnsi="Calibri"/>
                      <w:color w:val="000000"/>
                      <w:sz w:val="22"/>
                      <w:szCs w:val="22"/>
                      <w:lang w:val="es-CO" w:eastAsia="es-CO"/>
                    </w:rPr>
                    <w:t> </w:t>
                  </w:r>
                </w:p>
              </w:tc>
              <w:tc>
                <w:tcPr>
                  <w:tcW w:w="3817" w:type="dxa"/>
                  <w:noWrap/>
                  <w:vAlign w:val="center"/>
                  <w:hideMark/>
                </w:tcPr>
                <w:p w:rsidR="003A37A9" w:rsidRPr="003A37A9" w:rsidRDefault="003A37A9" w:rsidP="003A37A9">
                  <w:pPr>
                    <w:spacing w:after="0"/>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Total de personal Contratado</w:t>
                  </w:r>
                </w:p>
              </w:tc>
              <w:tc>
                <w:tcPr>
                  <w:tcW w:w="992" w:type="dxa"/>
                  <w:noWrap/>
                  <w:vAlign w:val="center"/>
                  <w:hideMark/>
                </w:tcPr>
                <w:p w:rsidR="003A37A9" w:rsidRPr="003A37A9" w:rsidRDefault="003A37A9" w:rsidP="003A37A9">
                  <w:pPr>
                    <w:spacing w:after="0"/>
                    <w:jc w:val="right"/>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154</w:t>
                  </w:r>
                </w:p>
              </w:tc>
              <w:tc>
                <w:tcPr>
                  <w:tcW w:w="1134" w:type="dxa"/>
                  <w:noWrap/>
                  <w:vAlign w:val="center"/>
                  <w:hideMark/>
                </w:tcPr>
                <w:p w:rsidR="003A37A9" w:rsidRPr="003A37A9" w:rsidRDefault="003A37A9" w:rsidP="003A37A9">
                  <w:pPr>
                    <w:spacing w:after="0"/>
                    <w:jc w:val="right"/>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235</w:t>
                  </w:r>
                </w:p>
              </w:tc>
              <w:tc>
                <w:tcPr>
                  <w:tcW w:w="1843" w:type="dxa"/>
                  <w:noWrap/>
                  <w:vAlign w:val="center"/>
                  <w:hideMark/>
                </w:tcPr>
                <w:p w:rsidR="003A37A9" w:rsidRPr="003A37A9" w:rsidRDefault="003A37A9" w:rsidP="003A37A9">
                  <w:pPr>
                    <w:spacing w:after="0"/>
                    <w:jc w:val="right"/>
                    <w:rPr>
                      <w:rFonts w:ascii="Century Gothic" w:eastAsia="Times New Roman" w:hAnsi="Century Gothic"/>
                      <w:b/>
                      <w:bCs/>
                      <w:color w:val="000000"/>
                      <w:sz w:val="14"/>
                      <w:szCs w:val="14"/>
                      <w:lang w:val="es-CO" w:eastAsia="es-CO"/>
                    </w:rPr>
                  </w:pPr>
                  <w:r w:rsidRPr="003A37A9">
                    <w:rPr>
                      <w:rFonts w:ascii="Century Gothic" w:eastAsia="Times New Roman" w:hAnsi="Century Gothic"/>
                      <w:b/>
                      <w:bCs/>
                      <w:color w:val="000000"/>
                      <w:sz w:val="14"/>
                      <w:szCs w:val="14"/>
                      <w:lang w:val="es-CO" w:eastAsia="es-CO"/>
                    </w:rPr>
                    <w:t>52,60%</w:t>
                  </w:r>
                </w:p>
              </w:tc>
              <w:tc>
                <w:tcPr>
                  <w:tcW w:w="2120" w:type="dxa"/>
                  <w:vMerge/>
                  <w:vAlign w:val="center"/>
                  <w:hideMark/>
                </w:tcPr>
                <w:p w:rsidR="003A37A9" w:rsidRPr="003A37A9" w:rsidRDefault="003A37A9" w:rsidP="003A37A9">
                  <w:pPr>
                    <w:spacing w:after="0"/>
                    <w:rPr>
                      <w:rFonts w:ascii="Century Gothic" w:eastAsia="Times New Roman" w:hAnsi="Century Gothic"/>
                      <w:color w:val="000000"/>
                      <w:sz w:val="14"/>
                      <w:szCs w:val="14"/>
                      <w:lang w:val="es-CO" w:eastAsia="es-CO"/>
                    </w:rPr>
                  </w:pPr>
                </w:p>
              </w:tc>
            </w:tr>
          </w:tbl>
          <w:p w:rsidR="006A06E8" w:rsidRDefault="006A06E8" w:rsidP="00F8093F">
            <w:pPr>
              <w:pStyle w:val="Default"/>
              <w:jc w:val="both"/>
              <w:rPr>
                <w:rFonts w:ascii="Century Gothic" w:eastAsia="Times New Roman" w:hAnsi="Century Gothic"/>
                <w:color w:val="auto"/>
                <w:sz w:val="20"/>
                <w:szCs w:val="20"/>
                <w:lang w:val="es-ES_tradnl"/>
              </w:rPr>
            </w:pPr>
          </w:p>
          <w:p w:rsidR="006A06E8" w:rsidRDefault="006A06E8" w:rsidP="00F8093F">
            <w:pPr>
              <w:pStyle w:val="Default"/>
              <w:jc w:val="both"/>
              <w:rPr>
                <w:rFonts w:ascii="Century Gothic" w:eastAsia="Times New Roman" w:hAnsi="Century Gothic"/>
                <w:color w:val="auto"/>
                <w:sz w:val="20"/>
                <w:szCs w:val="20"/>
                <w:lang w:val="es-ES_tradnl"/>
              </w:rPr>
            </w:pPr>
          </w:p>
          <w:p w:rsidR="006A06E8" w:rsidRDefault="006A06E8" w:rsidP="00F8093F">
            <w:pPr>
              <w:pStyle w:val="Default"/>
              <w:jc w:val="both"/>
              <w:rPr>
                <w:rFonts w:ascii="Century Gothic" w:eastAsia="Times New Roman" w:hAnsi="Century Gothic"/>
                <w:color w:val="auto"/>
                <w:sz w:val="20"/>
                <w:szCs w:val="20"/>
                <w:lang w:val="es-ES_tradnl"/>
              </w:rPr>
            </w:pPr>
          </w:p>
          <w:tbl>
            <w:tblPr>
              <w:tblStyle w:val="Tablaconcuadrcula"/>
              <w:tblW w:w="0" w:type="auto"/>
              <w:tblLayout w:type="fixed"/>
              <w:tblLook w:val="04A0" w:firstRow="1" w:lastRow="0" w:firstColumn="1" w:lastColumn="0" w:noHBand="0" w:noVBand="1"/>
            </w:tblPr>
            <w:tblGrid>
              <w:gridCol w:w="465"/>
              <w:gridCol w:w="2116"/>
              <w:gridCol w:w="1701"/>
              <w:gridCol w:w="2126"/>
              <w:gridCol w:w="1843"/>
              <w:gridCol w:w="2120"/>
            </w:tblGrid>
            <w:tr w:rsidR="008115E2" w:rsidRPr="008115E2" w:rsidTr="008115E2">
              <w:trPr>
                <w:trHeight w:val="390"/>
              </w:trPr>
              <w:tc>
                <w:tcPr>
                  <w:tcW w:w="465" w:type="dxa"/>
                  <w:noWrap/>
                  <w:vAlign w:val="center"/>
                  <w:hideMark/>
                </w:tcPr>
                <w:p w:rsidR="008115E2" w:rsidRPr="008115E2" w:rsidRDefault="008115E2" w:rsidP="008115E2">
                  <w:pPr>
                    <w:spacing w:after="0"/>
                    <w:jc w:val="center"/>
                    <w:rPr>
                      <w:rFonts w:ascii="Century Gothic" w:eastAsia="Times New Roman" w:hAnsi="Century Gothic"/>
                      <w:color w:val="000000"/>
                      <w:sz w:val="16"/>
                      <w:szCs w:val="16"/>
                      <w:lang w:val="es-CO" w:eastAsia="es-CO"/>
                    </w:rPr>
                  </w:pPr>
                  <w:r w:rsidRPr="008115E2">
                    <w:rPr>
                      <w:rFonts w:ascii="Century Gothic" w:eastAsia="Times New Roman" w:hAnsi="Century Gothic"/>
                      <w:color w:val="000000"/>
                      <w:sz w:val="16"/>
                      <w:szCs w:val="16"/>
                      <w:lang w:val="es-CO" w:eastAsia="es-CO"/>
                    </w:rPr>
                    <w:t>Nº</w:t>
                  </w:r>
                </w:p>
              </w:tc>
              <w:tc>
                <w:tcPr>
                  <w:tcW w:w="7786" w:type="dxa"/>
                  <w:gridSpan w:val="4"/>
                  <w:noWrap/>
                  <w:vAlign w:val="center"/>
                  <w:hideMark/>
                </w:tcPr>
                <w:p w:rsidR="008115E2" w:rsidRPr="008115E2" w:rsidRDefault="008115E2" w:rsidP="008115E2">
                  <w:pPr>
                    <w:spacing w:after="0"/>
                    <w:jc w:val="center"/>
                    <w:rPr>
                      <w:rFonts w:ascii="Century Gothic" w:eastAsia="Times New Roman" w:hAnsi="Century Gothic"/>
                      <w:b/>
                      <w:bCs/>
                      <w:color w:val="000000"/>
                      <w:sz w:val="16"/>
                      <w:szCs w:val="16"/>
                      <w:lang w:val="es-CO" w:eastAsia="es-CO"/>
                    </w:rPr>
                  </w:pPr>
                  <w:r w:rsidRPr="008115E2">
                    <w:rPr>
                      <w:rFonts w:ascii="Century Gothic" w:eastAsia="Times New Roman" w:hAnsi="Century Gothic"/>
                      <w:b/>
                      <w:bCs/>
                      <w:color w:val="000000"/>
                      <w:sz w:val="16"/>
                      <w:szCs w:val="16"/>
                      <w:lang w:val="es-CO" w:eastAsia="es-CO"/>
                    </w:rPr>
                    <w:t>Aspectos cuantitativos</w:t>
                  </w:r>
                </w:p>
              </w:tc>
              <w:tc>
                <w:tcPr>
                  <w:tcW w:w="2120" w:type="dxa"/>
                  <w:noWrap/>
                  <w:vAlign w:val="center"/>
                  <w:hideMark/>
                </w:tcPr>
                <w:p w:rsidR="008115E2" w:rsidRPr="008115E2" w:rsidRDefault="008115E2" w:rsidP="008115E2">
                  <w:pPr>
                    <w:spacing w:after="0"/>
                    <w:jc w:val="center"/>
                    <w:rPr>
                      <w:rFonts w:ascii="Century Gothic" w:eastAsia="Times New Roman" w:hAnsi="Century Gothic"/>
                      <w:b/>
                      <w:bCs/>
                      <w:color w:val="000000"/>
                      <w:sz w:val="16"/>
                      <w:szCs w:val="16"/>
                      <w:lang w:val="es-CO" w:eastAsia="es-CO"/>
                    </w:rPr>
                  </w:pPr>
                  <w:r w:rsidRPr="008115E2">
                    <w:rPr>
                      <w:rFonts w:ascii="Century Gothic" w:eastAsia="Times New Roman" w:hAnsi="Century Gothic"/>
                      <w:b/>
                      <w:bCs/>
                      <w:color w:val="000000"/>
                      <w:sz w:val="16"/>
                      <w:szCs w:val="16"/>
                      <w:lang w:val="es-CO" w:eastAsia="es-CO"/>
                    </w:rPr>
                    <w:t>Situaciones encontradas por la OCI</w:t>
                  </w:r>
                </w:p>
              </w:tc>
            </w:tr>
            <w:tr w:rsidR="008115E2" w:rsidRPr="008115E2" w:rsidTr="008115E2">
              <w:trPr>
                <w:trHeight w:val="765"/>
              </w:trPr>
              <w:tc>
                <w:tcPr>
                  <w:tcW w:w="465" w:type="dxa"/>
                  <w:noWrap/>
                  <w:vAlign w:val="center"/>
                  <w:hideMark/>
                </w:tcPr>
                <w:p w:rsidR="008115E2" w:rsidRPr="008115E2" w:rsidRDefault="008115E2" w:rsidP="008115E2">
                  <w:pPr>
                    <w:spacing w:after="0"/>
                    <w:jc w:val="center"/>
                    <w:rPr>
                      <w:rFonts w:ascii="Century Gothic" w:eastAsia="Times New Roman" w:hAnsi="Century Gothic"/>
                      <w:color w:val="000000"/>
                      <w:sz w:val="16"/>
                      <w:szCs w:val="16"/>
                      <w:lang w:val="es-CO" w:eastAsia="es-CO"/>
                    </w:rPr>
                  </w:pPr>
                  <w:r w:rsidRPr="008115E2">
                    <w:rPr>
                      <w:rFonts w:ascii="Century Gothic" w:eastAsia="Times New Roman" w:hAnsi="Century Gothic"/>
                      <w:color w:val="000000"/>
                      <w:sz w:val="16"/>
                      <w:szCs w:val="16"/>
                      <w:lang w:val="es-CO" w:eastAsia="es-CO"/>
                    </w:rPr>
                    <w:t> </w:t>
                  </w:r>
                </w:p>
              </w:tc>
              <w:tc>
                <w:tcPr>
                  <w:tcW w:w="2116" w:type="dxa"/>
                  <w:vAlign w:val="center"/>
                  <w:hideMark/>
                </w:tcPr>
                <w:p w:rsidR="008115E2" w:rsidRPr="008115E2" w:rsidRDefault="008115E2" w:rsidP="008115E2">
                  <w:pPr>
                    <w:spacing w:after="0"/>
                    <w:jc w:val="center"/>
                    <w:rPr>
                      <w:rFonts w:ascii="Century Gothic" w:eastAsia="Times New Roman" w:hAnsi="Century Gothic"/>
                      <w:b/>
                      <w:bCs/>
                      <w:color w:val="000000"/>
                      <w:sz w:val="16"/>
                      <w:szCs w:val="16"/>
                      <w:lang w:val="es-CO" w:eastAsia="es-CO"/>
                    </w:rPr>
                  </w:pPr>
                  <w:r w:rsidRPr="008115E2">
                    <w:rPr>
                      <w:rFonts w:ascii="Century Gothic" w:eastAsia="Times New Roman" w:hAnsi="Century Gothic"/>
                      <w:b/>
                      <w:bCs/>
                      <w:color w:val="000000"/>
                      <w:sz w:val="16"/>
                      <w:szCs w:val="16"/>
                      <w:lang w:val="es-CO" w:eastAsia="es-CO"/>
                    </w:rPr>
                    <w:t>Concepto</w:t>
                  </w:r>
                </w:p>
              </w:tc>
              <w:tc>
                <w:tcPr>
                  <w:tcW w:w="1701" w:type="dxa"/>
                  <w:vAlign w:val="center"/>
                  <w:hideMark/>
                </w:tcPr>
                <w:p w:rsidR="008115E2" w:rsidRPr="008115E2" w:rsidRDefault="008115E2" w:rsidP="008115E2">
                  <w:pPr>
                    <w:spacing w:after="0"/>
                    <w:jc w:val="center"/>
                    <w:rPr>
                      <w:rFonts w:ascii="Century Gothic" w:eastAsia="Times New Roman" w:hAnsi="Century Gothic"/>
                      <w:b/>
                      <w:bCs/>
                      <w:color w:val="000000"/>
                      <w:sz w:val="16"/>
                      <w:szCs w:val="16"/>
                      <w:lang w:val="es-CO" w:eastAsia="es-CO"/>
                    </w:rPr>
                  </w:pPr>
                  <w:r w:rsidRPr="008115E2">
                    <w:rPr>
                      <w:rFonts w:ascii="Century Gothic" w:eastAsia="Times New Roman" w:hAnsi="Century Gothic"/>
                      <w:b/>
                      <w:bCs/>
                      <w:color w:val="000000"/>
                      <w:sz w:val="16"/>
                      <w:szCs w:val="16"/>
                      <w:lang w:val="es-CO" w:eastAsia="es-CO"/>
                    </w:rPr>
                    <w:t>Valor pagado entre Enero - Marzo de la vigencia 2015</w:t>
                  </w:r>
                </w:p>
              </w:tc>
              <w:tc>
                <w:tcPr>
                  <w:tcW w:w="2126" w:type="dxa"/>
                  <w:vAlign w:val="center"/>
                  <w:hideMark/>
                </w:tcPr>
                <w:p w:rsidR="008115E2" w:rsidRPr="008115E2" w:rsidRDefault="008115E2" w:rsidP="008115E2">
                  <w:pPr>
                    <w:spacing w:after="0"/>
                    <w:jc w:val="center"/>
                    <w:rPr>
                      <w:rFonts w:ascii="Century Gothic" w:eastAsia="Times New Roman" w:hAnsi="Century Gothic"/>
                      <w:b/>
                      <w:bCs/>
                      <w:color w:val="000000"/>
                      <w:sz w:val="16"/>
                      <w:szCs w:val="16"/>
                      <w:lang w:val="es-CO" w:eastAsia="es-CO"/>
                    </w:rPr>
                  </w:pPr>
                  <w:r w:rsidRPr="008115E2">
                    <w:rPr>
                      <w:rFonts w:ascii="Century Gothic" w:eastAsia="Times New Roman" w:hAnsi="Century Gothic"/>
                      <w:b/>
                      <w:bCs/>
                      <w:color w:val="000000"/>
                      <w:sz w:val="16"/>
                      <w:szCs w:val="16"/>
                      <w:lang w:val="es-CO" w:eastAsia="es-CO"/>
                    </w:rPr>
                    <w:t>Valor pagado entre Enero - Marzo de la vigencia 2016</w:t>
                  </w:r>
                </w:p>
              </w:tc>
              <w:tc>
                <w:tcPr>
                  <w:tcW w:w="1843" w:type="dxa"/>
                  <w:vAlign w:val="center"/>
                  <w:hideMark/>
                </w:tcPr>
                <w:p w:rsidR="008115E2" w:rsidRPr="008115E2" w:rsidRDefault="008115E2" w:rsidP="008115E2">
                  <w:pPr>
                    <w:spacing w:after="0"/>
                    <w:jc w:val="center"/>
                    <w:rPr>
                      <w:rFonts w:ascii="Century Gothic" w:eastAsia="Times New Roman" w:hAnsi="Century Gothic"/>
                      <w:b/>
                      <w:bCs/>
                      <w:color w:val="000000"/>
                      <w:sz w:val="16"/>
                      <w:szCs w:val="16"/>
                      <w:lang w:val="es-CO" w:eastAsia="es-CO"/>
                    </w:rPr>
                  </w:pPr>
                  <w:r w:rsidRPr="008115E2">
                    <w:rPr>
                      <w:rFonts w:ascii="Century Gothic" w:eastAsia="Times New Roman" w:hAnsi="Century Gothic"/>
                      <w:b/>
                      <w:bCs/>
                      <w:color w:val="000000"/>
                      <w:sz w:val="16"/>
                      <w:szCs w:val="16"/>
                      <w:lang w:val="es-CO" w:eastAsia="es-CO"/>
                    </w:rPr>
                    <w:t>% Variación del valor pagado entre Enero - Marzo de 2016 respecto al mismo periodo de la vigencia 2015</w:t>
                  </w:r>
                </w:p>
              </w:tc>
              <w:tc>
                <w:tcPr>
                  <w:tcW w:w="2120" w:type="dxa"/>
                  <w:vMerge w:val="restart"/>
                  <w:vAlign w:val="center"/>
                  <w:hideMark/>
                </w:tcPr>
                <w:p w:rsidR="008115E2" w:rsidRPr="008115E2" w:rsidRDefault="008115E2" w:rsidP="008115E2">
                  <w:pPr>
                    <w:spacing w:after="0"/>
                    <w:jc w:val="both"/>
                    <w:rPr>
                      <w:rFonts w:ascii="Century Gothic" w:eastAsia="Times New Roman" w:hAnsi="Century Gothic"/>
                      <w:color w:val="000000"/>
                      <w:sz w:val="16"/>
                      <w:szCs w:val="16"/>
                      <w:lang w:val="es-CO" w:eastAsia="es-CO"/>
                    </w:rPr>
                  </w:pPr>
                  <w:r w:rsidRPr="008115E2">
                    <w:rPr>
                      <w:rFonts w:ascii="Century Gothic" w:eastAsia="Times New Roman" w:hAnsi="Century Gothic"/>
                      <w:color w:val="000000"/>
                      <w:sz w:val="16"/>
                      <w:szCs w:val="16"/>
                      <w:lang w:val="es-CO" w:eastAsia="es-CO"/>
                    </w:rPr>
                    <w:t>Para el rubro de servicios personales indirectos se encuentra un aumento de 34,2% respecto al año anterior.</w:t>
                  </w:r>
                </w:p>
              </w:tc>
            </w:tr>
            <w:tr w:rsidR="008115E2" w:rsidRPr="008115E2" w:rsidTr="008115E2">
              <w:trPr>
                <w:trHeight w:val="495"/>
              </w:trPr>
              <w:tc>
                <w:tcPr>
                  <w:tcW w:w="465" w:type="dxa"/>
                  <w:noWrap/>
                  <w:vAlign w:val="center"/>
                  <w:hideMark/>
                </w:tcPr>
                <w:p w:rsidR="008115E2" w:rsidRPr="008115E2" w:rsidRDefault="008115E2" w:rsidP="008115E2">
                  <w:pPr>
                    <w:spacing w:after="0"/>
                    <w:jc w:val="center"/>
                    <w:rPr>
                      <w:rFonts w:ascii="Century Gothic" w:eastAsia="Times New Roman" w:hAnsi="Century Gothic"/>
                      <w:b/>
                      <w:color w:val="000000"/>
                      <w:sz w:val="16"/>
                      <w:szCs w:val="16"/>
                      <w:lang w:val="es-CO" w:eastAsia="es-CO"/>
                    </w:rPr>
                  </w:pPr>
                  <w:r w:rsidRPr="008115E2">
                    <w:rPr>
                      <w:rFonts w:ascii="Century Gothic" w:eastAsia="Times New Roman" w:hAnsi="Century Gothic"/>
                      <w:b/>
                      <w:color w:val="000000"/>
                      <w:sz w:val="16"/>
                      <w:szCs w:val="16"/>
                      <w:lang w:val="es-CO" w:eastAsia="es-CO"/>
                    </w:rPr>
                    <w:t>5</w:t>
                  </w:r>
                </w:p>
              </w:tc>
              <w:tc>
                <w:tcPr>
                  <w:tcW w:w="2116" w:type="dxa"/>
                  <w:vAlign w:val="center"/>
                  <w:hideMark/>
                </w:tcPr>
                <w:p w:rsidR="008115E2" w:rsidRPr="008115E2" w:rsidRDefault="008115E2" w:rsidP="008115E2">
                  <w:pPr>
                    <w:spacing w:after="0"/>
                    <w:rPr>
                      <w:rFonts w:ascii="Century Gothic" w:eastAsia="Times New Roman" w:hAnsi="Century Gothic"/>
                      <w:b/>
                      <w:bCs/>
                      <w:color w:val="000000"/>
                      <w:sz w:val="16"/>
                      <w:szCs w:val="16"/>
                      <w:lang w:val="es-CO" w:eastAsia="es-CO"/>
                    </w:rPr>
                  </w:pPr>
                  <w:r w:rsidRPr="008115E2">
                    <w:rPr>
                      <w:rFonts w:ascii="Century Gothic" w:eastAsia="Times New Roman" w:hAnsi="Century Gothic"/>
                      <w:b/>
                      <w:bCs/>
                      <w:color w:val="000000"/>
                      <w:sz w:val="16"/>
                      <w:szCs w:val="16"/>
                      <w:lang w:val="es-CO" w:eastAsia="es-CO"/>
                    </w:rPr>
                    <w:t>SERVICIOS PERSONALES INDIRECTOS</w:t>
                  </w:r>
                </w:p>
              </w:tc>
              <w:tc>
                <w:tcPr>
                  <w:tcW w:w="1701" w:type="dxa"/>
                  <w:noWrap/>
                  <w:vAlign w:val="center"/>
                  <w:hideMark/>
                </w:tcPr>
                <w:p w:rsidR="008115E2" w:rsidRPr="008115E2" w:rsidRDefault="008115E2" w:rsidP="008115E2">
                  <w:pPr>
                    <w:spacing w:after="0"/>
                    <w:jc w:val="right"/>
                    <w:rPr>
                      <w:rFonts w:ascii="Century Gothic" w:eastAsia="Times New Roman" w:hAnsi="Century Gothic"/>
                      <w:bCs/>
                      <w:color w:val="000000"/>
                      <w:sz w:val="16"/>
                      <w:szCs w:val="16"/>
                      <w:lang w:val="es-CO" w:eastAsia="es-CO"/>
                    </w:rPr>
                  </w:pPr>
                  <w:r w:rsidRPr="003E78BD">
                    <w:rPr>
                      <w:rFonts w:ascii="Century Gothic" w:eastAsia="Times New Roman" w:hAnsi="Century Gothic"/>
                      <w:bCs/>
                      <w:color w:val="000000"/>
                      <w:sz w:val="16"/>
                      <w:szCs w:val="16"/>
                      <w:lang w:val="es-CO" w:eastAsia="es-CO"/>
                    </w:rPr>
                    <w:t xml:space="preserve">$ </w:t>
                  </w:r>
                  <w:r w:rsidRPr="008115E2">
                    <w:rPr>
                      <w:rFonts w:ascii="Century Gothic" w:eastAsia="Times New Roman" w:hAnsi="Century Gothic"/>
                      <w:bCs/>
                      <w:color w:val="000000"/>
                      <w:sz w:val="16"/>
                      <w:szCs w:val="16"/>
                      <w:lang w:val="es-CO" w:eastAsia="es-CO"/>
                    </w:rPr>
                    <w:t>723.342.578</w:t>
                  </w:r>
                </w:p>
              </w:tc>
              <w:tc>
                <w:tcPr>
                  <w:tcW w:w="2126" w:type="dxa"/>
                  <w:noWrap/>
                  <w:vAlign w:val="center"/>
                  <w:hideMark/>
                </w:tcPr>
                <w:p w:rsidR="008115E2" w:rsidRPr="008115E2" w:rsidRDefault="008115E2" w:rsidP="008115E2">
                  <w:pPr>
                    <w:spacing w:after="0"/>
                    <w:jc w:val="right"/>
                    <w:rPr>
                      <w:rFonts w:ascii="Century Gothic" w:eastAsia="Times New Roman" w:hAnsi="Century Gothic"/>
                      <w:bCs/>
                      <w:color w:val="000000"/>
                      <w:sz w:val="16"/>
                      <w:szCs w:val="16"/>
                      <w:lang w:val="es-CO" w:eastAsia="es-CO"/>
                    </w:rPr>
                  </w:pPr>
                  <w:r w:rsidRPr="003E78BD">
                    <w:rPr>
                      <w:rFonts w:ascii="Century Gothic" w:eastAsia="Times New Roman" w:hAnsi="Century Gothic"/>
                      <w:bCs/>
                      <w:color w:val="000000"/>
                      <w:sz w:val="16"/>
                      <w:szCs w:val="16"/>
                      <w:lang w:val="es-CO" w:eastAsia="es-CO"/>
                    </w:rPr>
                    <w:t>$ 970.761.704</w:t>
                  </w:r>
                </w:p>
              </w:tc>
              <w:tc>
                <w:tcPr>
                  <w:tcW w:w="1843" w:type="dxa"/>
                  <w:noWrap/>
                  <w:vAlign w:val="center"/>
                  <w:hideMark/>
                </w:tcPr>
                <w:p w:rsidR="008115E2" w:rsidRPr="008115E2" w:rsidRDefault="008115E2" w:rsidP="008115E2">
                  <w:pPr>
                    <w:spacing w:after="0"/>
                    <w:jc w:val="right"/>
                    <w:rPr>
                      <w:rFonts w:ascii="Century Gothic" w:eastAsia="Times New Roman" w:hAnsi="Century Gothic"/>
                      <w:color w:val="000000"/>
                      <w:sz w:val="16"/>
                      <w:szCs w:val="16"/>
                      <w:lang w:val="es-CO" w:eastAsia="es-CO"/>
                    </w:rPr>
                  </w:pPr>
                  <w:r w:rsidRPr="008115E2">
                    <w:rPr>
                      <w:rFonts w:ascii="Century Gothic" w:eastAsia="Times New Roman" w:hAnsi="Century Gothic"/>
                      <w:color w:val="000000"/>
                      <w:sz w:val="16"/>
                      <w:szCs w:val="16"/>
                      <w:lang w:val="es-CO" w:eastAsia="es-CO"/>
                    </w:rPr>
                    <w:t>34,20%</w:t>
                  </w:r>
                </w:p>
              </w:tc>
              <w:tc>
                <w:tcPr>
                  <w:tcW w:w="2120" w:type="dxa"/>
                  <w:vMerge/>
                  <w:vAlign w:val="center"/>
                  <w:hideMark/>
                </w:tcPr>
                <w:p w:rsidR="008115E2" w:rsidRPr="008115E2" w:rsidRDefault="008115E2" w:rsidP="008115E2">
                  <w:pPr>
                    <w:spacing w:after="0"/>
                    <w:rPr>
                      <w:rFonts w:ascii="Century Gothic" w:eastAsia="Times New Roman" w:hAnsi="Century Gothic"/>
                      <w:color w:val="000000"/>
                      <w:sz w:val="16"/>
                      <w:szCs w:val="16"/>
                      <w:lang w:val="es-CO" w:eastAsia="es-CO"/>
                    </w:rPr>
                  </w:pPr>
                </w:p>
              </w:tc>
            </w:tr>
            <w:tr w:rsidR="008115E2" w:rsidRPr="008115E2" w:rsidTr="008115E2">
              <w:trPr>
                <w:trHeight w:val="390"/>
              </w:trPr>
              <w:tc>
                <w:tcPr>
                  <w:tcW w:w="465" w:type="dxa"/>
                  <w:noWrap/>
                  <w:vAlign w:val="center"/>
                  <w:hideMark/>
                </w:tcPr>
                <w:p w:rsidR="008115E2" w:rsidRPr="008115E2" w:rsidRDefault="008115E2" w:rsidP="008115E2">
                  <w:pPr>
                    <w:spacing w:after="0"/>
                    <w:jc w:val="center"/>
                    <w:rPr>
                      <w:rFonts w:ascii="Century Gothic" w:eastAsia="Times New Roman" w:hAnsi="Century Gothic"/>
                      <w:color w:val="000000"/>
                      <w:sz w:val="16"/>
                      <w:szCs w:val="16"/>
                      <w:lang w:val="es-CO" w:eastAsia="es-CO"/>
                    </w:rPr>
                  </w:pPr>
                  <w:r w:rsidRPr="008115E2">
                    <w:rPr>
                      <w:rFonts w:ascii="Century Gothic" w:eastAsia="Times New Roman" w:hAnsi="Century Gothic"/>
                      <w:color w:val="000000"/>
                      <w:sz w:val="16"/>
                      <w:szCs w:val="16"/>
                      <w:lang w:val="es-CO" w:eastAsia="es-CO"/>
                    </w:rPr>
                    <w:t> </w:t>
                  </w:r>
                </w:p>
              </w:tc>
              <w:tc>
                <w:tcPr>
                  <w:tcW w:w="2116" w:type="dxa"/>
                  <w:noWrap/>
                  <w:vAlign w:val="center"/>
                  <w:hideMark/>
                </w:tcPr>
                <w:p w:rsidR="008115E2" w:rsidRPr="008115E2" w:rsidRDefault="008115E2" w:rsidP="008115E2">
                  <w:pPr>
                    <w:spacing w:after="0"/>
                    <w:rPr>
                      <w:rFonts w:ascii="Century Gothic" w:eastAsia="Times New Roman" w:hAnsi="Century Gothic"/>
                      <w:b/>
                      <w:bCs/>
                      <w:color w:val="000000"/>
                      <w:sz w:val="16"/>
                      <w:szCs w:val="16"/>
                      <w:lang w:val="es-CO" w:eastAsia="es-CO"/>
                    </w:rPr>
                  </w:pPr>
                  <w:r w:rsidRPr="008115E2">
                    <w:rPr>
                      <w:rFonts w:ascii="Century Gothic" w:eastAsia="Times New Roman" w:hAnsi="Century Gothic"/>
                      <w:b/>
                      <w:bCs/>
                      <w:color w:val="000000"/>
                      <w:sz w:val="16"/>
                      <w:szCs w:val="16"/>
                      <w:lang w:val="es-CO" w:eastAsia="es-CO"/>
                    </w:rPr>
                    <w:t>TOTALES $</w:t>
                  </w:r>
                </w:p>
              </w:tc>
              <w:tc>
                <w:tcPr>
                  <w:tcW w:w="1701" w:type="dxa"/>
                  <w:noWrap/>
                  <w:vAlign w:val="center"/>
                  <w:hideMark/>
                </w:tcPr>
                <w:p w:rsidR="008115E2" w:rsidRPr="008115E2" w:rsidRDefault="008115E2" w:rsidP="008115E2">
                  <w:pPr>
                    <w:spacing w:after="0"/>
                    <w:jc w:val="right"/>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$ 723.342.578</w:t>
                  </w:r>
                </w:p>
              </w:tc>
              <w:tc>
                <w:tcPr>
                  <w:tcW w:w="2126" w:type="dxa"/>
                  <w:noWrap/>
                  <w:vAlign w:val="center"/>
                  <w:hideMark/>
                </w:tcPr>
                <w:p w:rsidR="008115E2" w:rsidRPr="008115E2" w:rsidRDefault="008115E2" w:rsidP="008115E2">
                  <w:pPr>
                    <w:spacing w:after="0"/>
                    <w:jc w:val="right"/>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$ 970.761.704</w:t>
                  </w:r>
                </w:p>
              </w:tc>
              <w:tc>
                <w:tcPr>
                  <w:tcW w:w="1843" w:type="dxa"/>
                  <w:noWrap/>
                  <w:vAlign w:val="center"/>
                  <w:hideMark/>
                </w:tcPr>
                <w:p w:rsidR="008115E2" w:rsidRPr="008115E2" w:rsidRDefault="008115E2" w:rsidP="008115E2">
                  <w:pPr>
                    <w:spacing w:after="0"/>
                    <w:jc w:val="right"/>
                    <w:rPr>
                      <w:rFonts w:ascii="Century Gothic" w:eastAsia="Times New Roman" w:hAnsi="Century Gothic"/>
                      <w:b/>
                      <w:color w:val="000000"/>
                      <w:sz w:val="16"/>
                      <w:szCs w:val="16"/>
                      <w:lang w:val="es-CO" w:eastAsia="es-CO"/>
                    </w:rPr>
                  </w:pPr>
                  <w:r w:rsidRPr="008115E2">
                    <w:rPr>
                      <w:rFonts w:ascii="Century Gothic" w:eastAsia="Times New Roman" w:hAnsi="Century Gothic"/>
                      <w:b/>
                      <w:color w:val="000000"/>
                      <w:sz w:val="16"/>
                      <w:szCs w:val="16"/>
                      <w:lang w:val="es-CO" w:eastAsia="es-CO"/>
                    </w:rPr>
                    <w:t>34,20%</w:t>
                  </w:r>
                </w:p>
              </w:tc>
              <w:tc>
                <w:tcPr>
                  <w:tcW w:w="2120" w:type="dxa"/>
                  <w:vMerge/>
                  <w:vAlign w:val="center"/>
                  <w:hideMark/>
                </w:tcPr>
                <w:p w:rsidR="008115E2" w:rsidRPr="008115E2" w:rsidRDefault="008115E2" w:rsidP="008115E2">
                  <w:pPr>
                    <w:spacing w:after="0"/>
                    <w:rPr>
                      <w:rFonts w:ascii="Century Gothic" w:eastAsia="Times New Roman" w:hAnsi="Century Gothic"/>
                      <w:color w:val="000000"/>
                      <w:sz w:val="16"/>
                      <w:szCs w:val="16"/>
                      <w:lang w:val="es-CO" w:eastAsia="es-CO"/>
                    </w:rPr>
                  </w:pPr>
                </w:p>
              </w:tc>
            </w:tr>
          </w:tbl>
          <w:p w:rsidR="006A06E8" w:rsidRDefault="006A06E8" w:rsidP="00F8093F">
            <w:pPr>
              <w:pStyle w:val="Default"/>
              <w:jc w:val="both"/>
              <w:rPr>
                <w:rFonts w:ascii="Century Gothic" w:eastAsia="Times New Roman" w:hAnsi="Century Gothic"/>
                <w:color w:val="auto"/>
                <w:sz w:val="20"/>
                <w:szCs w:val="20"/>
                <w:lang w:val="es-ES_tradnl"/>
              </w:rPr>
            </w:pPr>
          </w:p>
          <w:p w:rsidR="00FC23F7" w:rsidRDefault="00FC23F7" w:rsidP="00FC23F7">
            <w:pPr>
              <w:spacing w:after="0"/>
              <w:jc w:val="both"/>
              <w:rPr>
                <w:rFonts w:ascii="Century Gothic" w:eastAsia="Times New Roman" w:hAnsi="Century Gothic" w:cs="Arial"/>
                <w:sz w:val="20"/>
                <w:szCs w:val="20"/>
                <w:lang w:eastAsia="es-ES"/>
              </w:rPr>
            </w:pPr>
          </w:p>
          <w:p w:rsidR="00FC23F7" w:rsidRDefault="00FC23F7" w:rsidP="00FC23F7">
            <w:pPr>
              <w:spacing w:after="0"/>
              <w:jc w:val="both"/>
              <w:rPr>
                <w:rFonts w:ascii="Century Gothic" w:eastAsia="Times New Roman" w:hAnsi="Century Gothic" w:cs="Arial"/>
                <w:sz w:val="20"/>
                <w:szCs w:val="20"/>
                <w:lang w:eastAsia="es-ES"/>
              </w:rPr>
            </w:pPr>
          </w:p>
          <w:p w:rsidR="00F8093F" w:rsidRPr="00FC23F7" w:rsidRDefault="00F8093F" w:rsidP="00FC23F7">
            <w:pPr>
              <w:pStyle w:val="Prrafodelista"/>
              <w:numPr>
                <w:ilvl w:val="2"/>
                <w:numId w:val="23"/>
              </w:numPr>
              <w:spacing w:after="0"/>
              <w:jc w:val="both"/>
              <w:rPr>
                <w:rFonts w:ascii="Century Gothic" w:hAnsi="Century Gothic"/>
                <w:b/>
                <w:sz w:val="20"/>
                <w:szCs w:val="20"/>
              </w:rPr>
            </w:pPr>
            <w:r w:rsidRPr="00FC23F7">
              <w:rPr>
                <w:rFonts w:ascii="Century Gothic" w:hAnsi="Century Gothic" w:cs="Arial"/>
                <w:b/>
                <w:sz w:val="20"/>
                <w:szCs w:val="20"/>
                <w:lang w:val="es-MX" w:eastAsia="es-CO"/>
              </w:rPr>
              <w:t>Servicios personales por inversión</w:t>
            </w:r>
          </w:p>
          <w:p w:rsidR="00F8093F" w:rsidRPr="00F577A0" w:rsidRDefault="00F8093F" w:rsidP="00F8093F">
            <w:pPr>
              <w:pStyle w:val="Default"/>
              <w:jc w:val="both"/>
              <w:rPr>
                <w:rFonts w:ascii="Century Gothic" w:eastAsia="Times New Roman" w:hAnsi="Century Gothic"/>
                <w:color w:val="auto"/>
                <w:sz w:val="20"/>
                <w:szCs w:val="20"/>
                <w:lang w:val="es-ES_tradnl"/>
              </w:rPr>
            </w:pPr>
          </w:p>
          <w:p w:rsidR="00F8093F" w:rsidRPr="00F577A0" w:rsidRDefault="00F8093F" w:rsidP="00F8093F">
            <w:pPr>
              <w:pStyle w:val="Default"/>
              <w:jc w:val="both"/>
              <w:rPr>
                <w:rFonts w:ascii="Century Gothic" w:eastAsia="Times New Roman" w:hAnsi="Century Gothic"/>
                <w:color w:val="auto"/>
                <w:sz w:val="20"/>
                <w:szCs w:val="20"/>
                <w:lang w:val="es-ES_tradnl"/>
              </w:rPr>
            </w:pPr>
          </w:p>
          <w:tbl>
            <w:tblPr>
              <w:tblStyle w:val="Tablaconcuadrcula"/>
              <w:tblW w:w="0" w:type="auto"/>
              <w:tblLayout w:type="fixed"/>
              <w:tblLook w:val="04A0" w:firstRow="1" w:lastRow="0" w:firstColumn="1" w:lastColumn="0" w:noHBand="0" w:noVBand="1"/>
            </w:tblPr>
            <w:tblGrid>
              <w:gridCol w:w="465"/>
              <w:gridCol w:w="3250"/>
              <w:gridCol w:w="992"/>
              <w:gridCol w:w="992"/>
              <w:gridCol w:w="1418"/>
              <w:gridCol w:w="3254"/>
            </w:tblGrid>
            <w:tr w:rsidR="000B4A01" w:rsidRPr="000B4A01" w:rsidTr="000B4A01">
              <w:trPr>
                <w:trHeight w:val="315"/>
              </w:trPr>
              <w:tc>
                <w:tcPr>
                  <w:tcW w:w="465" w:type="dxa"/>
                  <w:noWrap/>
                  <w:vAlign w:val="center"/>
                  <w:hideMark/>
                </w:tcPr>
                <w:p w:rsidR="000B4A01" w:rsidRPr="000B4A01" w:rsidRDefault="000B4A01" w:rsidP="000B4A01">
                  <w:pPr>
                    <w:spacing w:after="0"/>
                    <w:jc w:val="center"/>
                    <w:rPr>
                      <w:rFonts w:ascii="Calibri" w:eastAsia="Times New Roman" w:hAnsi="Calibri"/>
                      <w:color w:val="000000"/>
                      <w:sz w:val="22"/>
                      <w:szCs w:val="22"/>
                      <w:lang w:val="es-CO" w:eastAsia="es-CO"/>
                    </w:rPr>
                  </w:pPr>
                  <w:r w:rsidRPr="000B4A01">
                    <w:rPr>
                      <w:rFonts w:ascii="Calibri" w:eastAsia="Times New Roman" w:hAnsi="Calibri"/>
                      <w:color w:val="000000"/>
                      <w:sz w:val="22"/>
                      <w:szCs w:val="22"/>
                      <w:lang w:val="es-CO" w:eastAsia="es-CO"/>
                    </w:rPr>
                    <w:t>Nº</w:t>
                  </w:r>
                </w:p>
              </w:tc>
              <w:tc>
                <w:tcPr>
                  <w:tcW w:w="6652" w:type="dxa"/>
                  <w:gridSpan w:val="4"/>
                  <w:noWrap/>
                  <w:vAlign w:val="center"/>
                  <w:hideMark/>
                </w:tcPr>
                <w:p w:rsidR="000B4A01" w:rsidRPr="000B4A01" w:rsidRDefault="000B4A01" w:rsidP="000B4A01">
                  <w:pPr>
                    <w:spacing w:after="0"/>
                    <w:jc w:val="center"/>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Aspectos cuantitativos</w:t>
                  </w:r>
                </w:p>
              </w:tc>
              <w:tc>
                <w:tcPr>
                  <w:tcW w:w="3254" w:type="dxa"/>
                  <w:noWrap/>
                  <w:vAlign w:val="center"/>
                  <w:hideMark/>
                </w:tcPr>
                <w:p w:rsidR="000B4A01" w:rsidRPr="000B4A01" w:rsidRDefault="000B4A01" w:rsidP="000B4A01">
                  <w:pPr>
                    <w:spacing w:after="0"/>
                    <w:jc w:val="center"/>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Situaciones encontradas por la OCI</w:t>
                  </w:r>
                </w:p>
              </w:tc>
            </w:tr>
            <w:tr w:rsidR="000B4A01" w:rsidRPr="000B4A01" w:rsidTr="000B4A01">
              <w:trPr>
                <w:trHeight w:val="720"/>
              </w:trPr>
              <w:tc>
                <w:tcPr>
                  <w:tcW w:w="465" w:type="dxa"/>
                  <w:noWrap/>
                  <w:vAlign w:val="center"/>
                  <w:hideMark/>
                </w:tcPr>
                <w:p w:rsidR="000B4A01" w:rsidRPr="000B4A01" w:rsidRDefault="000B4A01" w:rsidP="000B4A01">
                  <w:pPr>
                    <w:spacing w:after="0"/>
                    <w:jc w:val="center"/>
                    <w:rPr>
                      <w:rFonts w:ascii="Calibri" w:eastAsia="Times New Roman" w:hAnsi="Calibri"/>
                      <w:color w:val="000000"/>
                      <w:sz w:val="22"/>
                      <w:szCs w:val="22"/>
                      <w:lang w:val="es-CO" w:eastAsia="es-CO"/>
                    </w:rPr>
                  </w:pPr>
                  <w:r w:rsidRPr="000B4A01">
                    <w:rPr>
                      <w:rFonts w:ascii="Calibri" w:eastAsia="Times New Roman" w:hAnsi="Calibri"/>
                      <w:color w:val="000000"/>
                      <w:sz w:val="22"/>
                      <w:szCs w:val="22"/>
                      <w:lang w:val="es-CO" w:eastAsia="es-CO"/>
                    </w:rPr>
                    <w:t> </w:t>
                  </w:r>
                </w:p>
              </w:tc>
              <w:tc>
                <w:tcPr>
                  <w:tcW w:w="3250" w:type="dxa"/>
                  <w:vAlign w:val="center"/>
                  <w:hideMark/>
                </w:tcPr>
                <w:p w:rsidR="000B4A01" w:rsidRPr="000B4A01" w:rsidRDefault="000B4A01" w:rsidP="000B4A01">
                  <w:pPr>
                    <w:spacing w:after="0"/>
                    <w:jc w:val="center"/>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Cantidad personal</w:t>
                  </w:r>
                </w:p>
              </w:tc>
              <w:tc>
                <w:tcPr>
                  <w:tcW w:w="992" w:type="dxa"/>
                  <w:vAlign w:val="center"/>
                  <w:hideMark/>
                </w:tcPr>
                <w:p w:rsidR="000B4A01" w:rsidRPr="000B4A01" w:rsidRDefault="000B4A01" w:rsidP="000B4A01">
                  <w:pPr>
                    <w:spacing w:after="0"/>
                    <w:jc w:val="center"/>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Cantidad entre Enero - Marzo de la vigencia 2015</w:t>
                  </w:r>
                </w:p>
              </w:tc>
              <w:tc>
                <w:tcPr>
                  <w:tcW w:w="992" w:type="dxa"/>
                  <w:vAlign w:val="center"/>
                  <w:hideMark/>
                </w:tcPr>
                <w:p w:rsidR="000B4A01" w:rsidRPr="000B4A01" w:rsidRDefault="000B4A01" w:rsidP="000B4A01">
                  <w:pPr>
                    <w:spacing w:after="0"/>
                    <w:jc w:val="center"/>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Cantidad entre Enero - Marzo de la vigencia 2016</w:t>
                  </w:r>
                </w:p>
              </w:tc>
              <w:tc>
                <w:tcPr>
                  <w:tcW w:w="1418" w:type="dxa"/>
                  <w:vAlign w:val="center"/>
                  <w:hideMark/>
                </w:tcPr>
                <w:p w:rsidR="000B4A01" w:rsidRPr="000B4A01" w:rsidRDefault="000B4A01" w:rsidP="000B4A01">
                  <w:pPr>
                    <w:spacing w:after="0"/>
                    <w:jc w:val="center"/>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 Variación de la cantidad entre</w:t>
                  </w:r>
                  <w:r>
                    <w:rPr>
                      <w:rFonts w:ascii="Century Gothic" w:eastAsia="Times New Roman" w:hAnsi="Century Gothic"/>
                      <w:b/>
                      <w:bCs/>
                      <w:color w:val="000000"/>
                      <w:sz w:val="14"/>
                      <w:szCs w:val="14"/>
                      <w:lang w:val="es-CO" w:eastAsia="es-CO"/>
                    </w:rPr>
                    <w:t xml:space="preserve"> </w:t>
                  </w:r>
                  <w:r w:rsidRPr="000B4A01">
                    <w:rPr>
                      <w:rFonts w:ascii="Century Gothic" w:eastAsia="Times New Roman" w:hAnsi="Century Gothic"/>
                      <w:b/>
                      <w:bCs/>
                      <w:color w:val="000000"/>
                      <w:sz w:val="14"/>
                      <w:szCs w:val="14"/>
                      <w:lang w:val="es-CO" w:eastAsia="es-CO"/>
                    </w:rPr>
                    <w:t>Enero - Marzo de 2016 respecto al mismo periodo de la vigencia 2015</w:t>
                  </w:r>
                </w:p>
              </w:tc>
              <w:tc>
                <w:tcPr>
                  <w:tcW w:w="3254" w:type="dxa"/>
                  <w:vMerge w:val="restart"/>
                  <w:noWrap/>
                  <w:vAlign w:val="center"/>
                  <w:hideMark/>
                </w:tcPr>
                <w:p w:rsidR="000B4A01" w:rsidRPr="000B4A01" w:rsidRDefault="000B4A01" w:rsidP="000B4A01">
                  <w:pPr>
                    <w:spacing w:after="0"/>
                    <w:jc w:val="both"/>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Se observa en el periodo evaluado un porcentaje de variación de 11,21% en el número total de contratistas de prestación de servicios y de apoyo a la gestión. Representado para la vigencia 2015 en 103 contratistas más.</w:t>
                  </w:r>
                </w:p>
              </w:tc>
            </w:tr>
            <w:tr w:rsidR="000B4A01" w:rsidRPr="000B4A01" w:rsidTr="000B4A01">
              <w:trPr>
                <w:trHeight w:val="300"/>
              </w:trPr>
              <w:tc>
                <w:tcPr>
                  <w:tcW w:w="465" w:type="dxa"/>
                  <w:noWrap/>
                  <w:vAlign w:val="center"/>
                  <w:hideMark/>
                </w:tcPr>
                <w:p w:rsidR="000B4A01" w:rsidRPr="000B4A01" w:rsidRDefault="00E23353" w:rsidP="000B4A01">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6</w:t>
                  </w:r>
                </w:p>
              </w:tc>
              <w:tc>
                <w:tcPr>
                  <w:tcW w:w="3250" w:type="dxa"/>
                  <w:noWrap/>
                  <w:vAlign w:val="center"/>
                  <w:hideMark/>
                </w:tcPr>
                <w:p w:rsidR="000B4A01" w:rsidRPr="000B4A01" w:rsidRDefault="000B4A01" w:rsidP="000B4A01">
                  <w:pPr>
                    <w:spacing w:after="0"/>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Personal contratado Procesos Misionales</w:t>
                  </w:r>
                </w:p>
              </w:tc>
              <w:tc>
                <w:tcPr>
                  <w:tcW w:w="992"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733</w:t>
                  </w:r>
                </w:p>
              </w:tc>
              <w:tc>
                <w:tcPr>
                  <w:tcW w:w="992"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804</w:t>
                  </w:r>
                </w:p>
              </w:tc>
              <w:tc>
                <w:tcPr>
                  <w:tcW w:w="1418"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9,69%</w:t>
                  </w:r>
                </w:p>
              </w:tc>
              <w:tc>
                <w:tcPr>
                  <w:tcW w:w="3254" w:type="dxa"/>
                  <w:vMerge/>
                  <w:vAlign w:val="center"/>
                  <w:hideMark/>
                </w:tcPr>
                <w:p w:rsidR="000B4A01" w:rsidRPr="000B4A01" w:rsidRDefault="000B4A01" w:rsidP="000B4A01">
                  <w:pPr>
                    <w:spacing w:after="0"/>
                    <w:rPr>
                      <w:rFonts w:ascii="Century Gothic" w:eastAsia="Times New Roman" w:hAnsi="Century Gothic"/>
                      <w:color w:val="000000"/>
                      <w:sz w:val="14"/>
                      <w:szCs w:val="14"/>
                      <w:lang w:val="es-CO" w:eastAsia="es-CO"/>
                    </w:rPr>
                  </w:pPr>
                </w:p>
              </w:tc>
            </w:tr>
            <w:tr w:rsidR="000B4A01" w:rsidRPr="000B4A01" w:rsidTr="000B4A01">
              <w:trPr>
                <w:trHeight w:val="300"/>
              </w:trPr>
              <w:tc>
                <w:tcPr>
                  <w:tcW w:w="465" w:type="dxa"/>
                  <w:noWrap/>
                  <w:vAlign w:val="center"/>
                  <w:hideMark/>
                </w:tcPr>
                <w:p w:rsidR="000B4A01" w:rsidRPr="000B4A01" w:rsidRDefault="00E23353" w:rsidP="000B4A01">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7</w:t>
                  </w:r>
                </w:p>
              </w:tc>
              <w:tc>
                <w:tcPr>
                  <w:tcW w:w="3250" w:type="dxa"/>
                  <w:noWrap/>
                  <w:vAlign w:val="center"/>
                  <w:hideMark/>
                </w:tcPr>
                <w:p w:rsidR="000B4A01" w:rsidRPr="000B4A01" w:rsidRDefault="000B4A01" w:rsidP="000B4A01">
                  <w:pPr>
                    <w:spacing w:after="0"/>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Personal contratado Procesos Apoyo</w:t>
                  </w:r>
                </w:p>
              </w:tc>
              <w:tc>
                <w:tcPr>
                  <w:tcW w:w="992"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161</w:t>
                  </w:r>
                </w:p>
              </w:tc>
              <w:tc>
                <w:tcPr>
                  <w:tcW w:w="992"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189</w:t>
                  </w:r>
                </w:p>
              </w:tc>
              <w:tc>
                <w:tcPr>
                  <w:tcW w:w="1418"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17,39%</w:t>
                  </w:r>
                </w:p>
              </w:tc>
              <w:tc>
                <w:tcPr>
                  <w:tcW w:w="3254" w:type="dxa"/>
                  <w:vMerge/>
                  <w:vAlign w:val="center"/>
                  <w:hideMark/>
                </w:tcPr>
                <w:p w:rsidR="000B4A01" w:rsidRPr="000B4A01" w:rsidRDefault="000B4A01" w:rsidP="000B4A01">
                  <w:pPr>
                    <w:spacing w:after="0"/>
                    <w:rPr>
                      <w:rFonts w:ascii="Century Gothic" w:eastAsia="Times New Roman" w:hAnsi="Century Gothic"/>
                      <w:color w:val="000000"/>
                      <w:sz w:val="14"/>
                      <w:szCs w:val="14"/>
                      <w:lang w:val="es-CO" w:eastAsia="es-CO"/>
                    </w:rPr>
                  </w:pPr>
                </w:p>
              </w:tc>
            </w:tr>
            <w:tr w:rsidR="000B4A01" w:rsidRPr="000B4A01" w:rsidTr="000B4A01">
              <w:trPr>
                <w:trHeight w:val="300"/>
              </w:trPr>
              <w:tc>
                <w:tcPr>
                  <w:tcW w:w="465" w:type="dxa"/>
                  <w:noWrap/>
                  <w:vAlign w:val="center"/>
                  <w:hideMark/>
                </w:tcPr>
                <w:p w:rsidR="000B4A01" w:rsidRPr="000B4A01" w:rsidRDefault="00E23353" w:rsidP="000B4A01">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8</w:t>
                  </w:r>
                </w:p>
              </w:tc>
              <w:tc>
                <w:tcPr>
                  <w:tcW w:w="3250" w:type="dxa"/>
                  <w:noWrap/>
                  <w:vAlign w:val="center"/>
                  <w:hideMark/>
                </w:tcPr>
                <w:p w:rsidR="000B4A01" w:rsidRPr="000B4A01" w:rsidRDefault="000B4A01" w:rsidP="000B4A01">
                  <w:pPr>
                    <w:spacing w:after="0"/>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Personal contratado Procesos Estratégicos</w:t>
                  </w:r>
                </w:p>
              </w:tc>
              <w:tc>
                <w:tcPr>
                  <w:tcW w:w="992"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21</w:t>
                  </w:r>
                </w:p>
              </w:tc>
              <w:tc>
                <w:tcPr>
                  <w:tcW w:w="992"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29</w:t>
                  </w:r>
                </w:p>
              </w:tc>
              <w:tc>
                <w:tcPr>
                  <w:tcW w:w="1418"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38,10%</w:t>
                  </w:r>
                </w:p>
              </w:tc>
              <w:tc>
                <w:tcPr>
                  <w:tcW w:w="3254" w:type="dxa"/>
                  <w:vMerge/>
                  <w:vAlign w:val="center"/>
                  <w:hideMark/>
                </w:tcPr>
                <w:p w:rsidR="000B4A01" w:rsidRPr="000B4A01" w:rsidRDefault="000B4A01" w:rsidP="000B4A01">
                  <w:pPr>
                    <w:spacing w:after="0"/>
                    <w:rPr>
                      <w:rFonts w:ascii="Century Gothic" w:eastAsia="Times New Roman" w:hAnsi="Century Gothic"/>
                      <w:color w:val="000000"/>
                      <w:sz w:val="14"/>
                      <w:szCs w:val="14"/>
                      <w:lang w:val="es-CO" w:eastAsia="es-CO"/>
                    </w:rPr>
                  </w:pPr>
                </w:p>
              </w:tc>
            </w:tr>
            <w:tr w:rsidR="000B4A01" w:rsidRPr="000B4A01" w:rsidTr="000B4A01">
              <w:trPr>
                <w:trHeight w:val="300"/>
              </w:trPr>
              <w:tc>
                <w:tcPr>
                  <w:tcW w:w="465" w:type="dxa"/>
                  <w:noWrap/>
                  <w:vAlign w:val="center"/>
                  <w:hideMark/>
                </w:tcPr>
                <w:p w:rsidR="000B4A01" w:rsidRPr="000B4A01" w:rsidRDefault="00E23353" w:rsidP="000B4A01">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w:t>
                  </w:r>
                </w:p>
              </w:tc>
              <w:tc>
                <w:tcPr>
                  <w:tcW w:w="3250" w:type="dxa"/>
                  <w:noWrap/>
                  <w:vAlign w:val="center"/>
                  <w:hideMark/>
                </w:tcPr>
                <w:p w:rsidR="000B4A01" w:rsidRPr="000B4A01" w:rsidRDefault="000B4A01" w:rsidP="000B4A01">
                  <w:pPr>
                    <w:spacing w:after="0"/>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Personal contratado Procesos Seguimiento y Control</w:t>
                  </w:r>
                </w:p>
              </w:tc>
              <w:tc>
                <w:tcPr>
                  <w:tcW w:w="992"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4</w:t>
                  </w:r>
                </w:p>
              </w:tc>
              <w:tc>
                <w:tcPr>
                  <w:tcW w:w="992"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 </w:t>
                  </w:r>
                </w:p>
              </w:tc>
              <w:tc>
                <w:tcPr>
                  <w:tcW w:w="1418" w:type="dxa"/>
                  <w:noWrap/>
                  <w:vAlign w:val="center"/>
                  <w:hideMark/>
                </w:tcPr>
                <w:p w:rsidR="000B4A01" w:rsidRPr="000B4A01" w:rsidRDefault="000B4A01" w:rsidP="000B4A01">
                  <w:pPr>
                    <w:spacing w:after="0"/>
                    <w:jc w:val="right"/>
                    <w:rPr>
                      <w:rFonts w:ascii="Century Gothic" w:eastAsia="Times New Roman" w:hAnsi="Century Gothic"/>
                      <w:color w:val="000000"/>
                      <w:sz w:val="14"/>
                      <w:szCs w:val="14"/>
                      <w:lang w:val="es-CO" w:eastAsia="es-CO"/>
                    </w:rPr>
                  </w:pPr>
                  <w:r w:rsidRPr="000B4A01">
                    <w:rPr>
                      <w:rFonts w:ascii="Century Gothic" w:eastAsia="Times New Roman" w:hAnsi="Century Gothic"/>
                      <w:color w:val="000000"/>
                      <w:sz w:val="14"/>
                      <w:szCs w:val="14"/>
                      <w:lang w:val="es-CO" w:eastAsia="es-CO"/>
                    </w:rPr>
                    <w:t>-100,00%</w:t>
                  </w:r>
                </w:p>
              </w:tc>
              <w:tc>
                <w:tcPr>
                  <w:tcW w:w="3254" w:type="dxa"/>
                  <w:vMerge/>
                  <w:vAlign w:val="center"/>
                  <w:hideMark/>
                </w:tcPr>
                <w:p w:rsidR="000B4A01" w:rsidRPr="000B4A01" w:rsidRDefault="000B4A01" w:rsidP="000B4A01">
                  <w:pPr>
                    <w:spacing w:after="0"/>
                    <w:rPr>
                      <w:rFonts w:ascii="Century Gothic" w:eastAsia="Times New Roman" w:hAnsi="Century Gothic"/>
                      <w:color w:val="000000"/>
                      <w:sz w:val="14"/>
                      <w:szCs w:val="14"/>
                      <w:lang w:val="es-CO" w:eastAsia="es-CO"/>
                    </w:rPr>
                  </w:pPr>
                </w:p>
              </w:tc>
            </w:tr>
            <w:tr w:rsidR="000B4A01" w:rsidRPr="000B4A01" w:rsidTr="000B4A01">
              <w:trPr>
                <w:trHeight w:val="315"/>
              </w:trPr>
              <w:tc>
                <w:tcPr>
                  <w:tcW w:w="3715" w:type="dxa"/>
                  <w:gridSpan w:val="2"/>
                  <w:noWrap/>
                  <w:vAlign w:val="center"/>
                  <w:hideMark/>
                </w:tcPr>
                <w:p w:rsidR="000B4A01" w:rsidRPr="000B4A01" w:rsidRDefault="000B4A01" w:rsidP="000B4A01">
                  <w:pPr>
                    <w:spacing w:after="0"/>
                    <w:jc w:val="right"/>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Total de personal Contratado</w:t>
                  </w:r>
                </w:p>
              </w:tc>
              <w:tc>
                <w:tcPr>
                  <w:tcW w:w="992" w:type="dxa"/>
                  <w:noWrap/>
                  <w:vAlign w:val="center"/>
                  <w:hideMark/>
                </w:tcPr>
                <w:p w:rsidR="000B4A01" w:rsidRPr="000B4A01" w:rsidRDefault="000B4A01" w:rsidP="000B4A01">
                  <w:pPr>
                    <w:spacing w:after="0"/>
                    <w:jc w:val="right"/>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919</w:t>
                  </w:r>
                </w:p>
              </w:tc>
              <w:tc>
                <w:tcPr>
                  <w:tcW w:w="992" w:type="dxa"/>
                  <w:noWrap/>
                  <w:vAlign w:val="center"/>
                  <w:hideMark/>
                </w:tcPr>
                <w:p w:rsidR="000B4A01" w:rsidRPr="000B4A01" w:rsidRDefault="000B4A01" w:rsidP="000B4A01">
                  <w:pPr>
                    <w:spacing w:after="0"/>
                    <w:jc w:val="right"/>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1022</w:t>
                  </w:r>
                </w:p>
              </w:tc>
              <w:tc>
                <w:tcPr>
                  <w:tcW w:w="1418" w:type="dxa"/>
                  <w:noWrap/>
                  <w:vAlign w:val="center"/>
                  <w:hideMark/>
                </w:tcPr>
                <w:p w:rsidR="000B4A01" w:rsidRPr="000B4A01" w:rsidRDefault="000B4A01" w:rsidP="000B4A01">
                  <w:pPr>
                    <w:spacing w:after="0"/>
                    <w:jc w:val="right"/>
                    <w:rPr>
                      <w:rFonts w:ascii="Century Gothic" w:eastAsia="Times New Roman" w:hAnsi="Century Gothic"/>
                      <w:b/>
                      <w:bCs/>
                      <w:color w:val="000000"/>
                      <w:sz w:val="14"/>
                      <w:szCs w:val="14"/>
                      <w:lang w:val="es-CO" w:eastAsia="es-CO"/>
                    </w:rPr>
                  </w:pPr>
                  <w:r w:rsidRPr="000B4A01">
                    <w:rPr>
                      <w:rFonts w:ascii="Century Gothic" w:eastAsia="Times New Roman" w:hAnsi="Century Gothic"/>
                      <w:b/>
                      <w:bCs/>
                      <w:color w:val="000000"/>
                      <w:sz w:val="14"/>
                      <w:szCs w:val="14"/>
                      <w:lang w:val="es-CO" w:eastAsia="es-CO"/>
                    </w:rPr>
                    <w:t>11,21%</w:t>
                  </w:r>
                </w:p>
              </w:tc>
              <w:tc>
                <w:tcPr>
                  <w:tcW w:w="3254" w:type="dxa"/>
                  <w:vMerge/>
                  <w:vAlign w:val="center"/>
                  <w:hideMark/>
                </w:tcPr>
                <w:p w:rsidR="000B4A01" w:rsidRPr="000B4A01" w:rsidRDefault="000B4A01" w:rsidP="000B4A01">
                  <w:pPr>
                    <w:spacing w:after="0"/>
                    <w:rPr>
                      <w:rFonts w:ascii="Century Gothic" w:eastAsia="Times New Roman" w:hAnsi="Century Gothic"/>
                      <w:color w:val="000000"/>
                      <w:sz w:val="14"/>
                      <w:szCs w:val="14"/>
                      <w:lang w:val="es-CO" w:eastAsia="es-CO"/>
                    </w:rPr>
                  </w:pPr>
                </w:p>
              </w:tc>
            </w:tr>
          </w:tbl>
          <w:p w:rsidR="00F8093F" w:rsidRPr="00F577A0" w:rsidRDefault="00F8093F" w:rsidP="00F8093F">
            <w:pPr>
              <w:pStyle w:val="Default"/>
              <w:jc w:val="both"/>
              <w:rPr>
                <w:rFonts w:ascii="Century Gothic" w:eastAsia="Times New Roman" w:hAnsi="Century Gothic"/>
                <w:color w:val="auto"/>
                <w:sz w:val="20"/>
                <w:szCs w:val="20"/>
                <w:lang w:val="es-ES_tradnl"/>
              </w:rPr>
            </w:pPr>
          </w:p>
          <w:p w:rsidR="00F8093F" w:rsidRPr="00F577A0" w:rsidRDefault="00F8093F" w:rsidP="00F8093F">
            <w:pPr>
              <w:pStyle w:val="Default"/>
              <w:jc w:val="both"/>
              <w:rPr>
                <w:rFonts w:ascii="Century Gothic" w:eastAsia="Times New Roman" w:hAnsi="Century Gothic"/>
                <w:color w:val="auto"/>
                <w:sz w:val="20"/>
                <w:szCs w:val="20"/>
                <w:lang w:val="es-ES_tradnl"/>
              </w:rPr>
            </w:pPr>
          </w:p>
          <w:tbl>
            <w:tblPr>
              <w:tblStyle w:val="Tablaconcuadrcula"/>
              <w:tblW w:w="0" w:type="auto"/>
              <w:tblLayout w:type="fixed"/>
              <w:tblLook w:val="04A0" w:firstRow="1" w:lastRow="0" w:firstColumn="1" w:lastColumn="0" w:noHBand="0" w:noVBand="1"/>
            </w:tblPr>
            <w:tblGrid>
              <w:gridCol w:w="465"/>
              <w:gridCol w:w="2110"/>
              <w:gridCol w:w="1275"/>
              <w:gridCol w:w="1418"/>
              <w:gridCol w:w="1843"/>
              <w:gridCol w:w="3260"/>
            </w:tblGrid>
            <w:tr w:rsidR="00E23CF9" w:rsidRPr="00E23CF9" w:rsidTr="009572B0">
              <w:trPr>
                <w:trHeight w:val="390"/>
              </w:trPr>
              <w:tc>
                <w:tcPr>
                  <w:tcW w:w="465" w:type="dxa"/>
                  <w:noWrap/>
                  <w:vAlign w:val="center"/>
                  <w:hideMark/>
                </w:tcPr>
                <w:p w:rsidR="00E23CF9" w:rsidRPr="00E23CF9" w:rsidRDefault="00E23CF9" w:rsidP="00E23CF9">
                  <w:pPr>
                    <w:spacing w:after="0"/>
                    <w:jc w:val="center"/>
                    <w:rPr>
                      <w:rFonts w:ascii="Calibri" w:eastAsia="Times New Roman" w:hAnsi="Calibri"/>
                      <w:color w:val="000000"/>
                      <w:sz w:val="22"/>
                      <w:szCs w:val="22"/>
                      <w:lang w:val="es-CO" w:eastAsia="es-CO"/>
                    </w:rPr>
                  </w:pPr>
                  <w:r w:rsidRPr="00E23CF9">
                    <w:rPr>
                      <w:rFonts w:ascii="Calibri" w:eastAsia="Times New Roman" w:hAnsi="Calibri"/>
                      <w:color w:val="000000"/>
                      <w:sz w:val="22"/>
                      <w:szCs w:val="22"/>
                      <w:lang w:val="es-CO" w:eastAsia="es-CO"/>
                    </w:rPr>
                    <w:lastRenderedPageBreak/>
                    <w:t>Nº</w:t>
                  </w:r>
                </w:p>
              </w:tc>
              <w:tc>
                <w:tcPr>
                  <w:tcW w:w="6646" w:type="dxa"/>
                  <w:gridSpan w:val="4"/>
                  <w:noWrap/>
                  <w:vAlign w:val="center"/>
                  <w:hideMark/>
                </w:tcPr>
                <w:p w:rsidR="00E23CF9" w:rsidRPr="00E23CF9" w:rsidRDefault="00E23CF9" w:rsidP="00E23CF9">
                  <w:pPr>
                    <w:spacing w:after="0"/>
                    <w:jc w:val="center"/>
                    <w:rPr>
                      <w:rFonts w:ascii="Century Gothic" w:eastAsia="Times New Roman" w:hAnsi="Century Gothic"/>
                      <w:b/>
                      <w:bCs/>
                      <w:color w:val="000000"/>
                      <w:sz w:val="16"/>
                      <w:szCs w:val="16"/>
                      <w:lang w:val="es-CO" w:eastAsia="es-CO"/>
                    </w:rPr>
                  </w:pPr>
                  <w:r w:rsidRPr="00E23CF9">
                    <w:rPr>
                      <w:rFonts w:ascii="Century Gothic" w:eastAsia="Times New Roman" w:hAnsi="Century Gothic"/>
                      <w:b/>
                      <w:bCs/>
                      <w:color w:val="000000"/>
                      <w:sz w:val="16"/>
                      <w:szCs w:val="16"/>
                      <w:lang w:val="es-CO" w:eastAsia="es-CO"/>
                    </w:rPr>
                    <w:t>Aspectos cuantitativos</w:t>
                  </w:r>
                </w:p>
              </w:tc>
              <w:tc>
                <w:tcPr>
                  <w:tcW w:w="3260" w:type="dxa"/>
                  <w:noWrap/>
                  <w:vAlign w:val="center"/>
                  <w:hideMark/>
                </w:tcPr>
                <w:p w:rsidR="00E23CF9" w:rsidRPr="00E23CF9" w:rsidRDefault="00E23CF9" w:rsidP="00E23CF9">
                  <w:pPr>
                    <w:spacing w:after="0"/>
                    <w:jc w:val="center"/>
                    <w:rPr>
                      <w:rFonts w:ascii="Century Gothic" w:eastAsia="Times New Roman" w:hAnsi="Century Gothic"/>
                      <w:b/>
                      <w:bCs/>
                      <w:color w:val="000000"/>
                      <w:sz w:val="16"/>
                      <w:szCs w:val="16"/>
                      <w:lang w:val="es-CO" w:eastAsia="es-CO"/>
                    </w:rPr>
                  </w:pPr>
                  <w:r w:rsidRPr="00E23CF9">
                    <w:rPr>
                      <w:rFonts w:ascii="Century Gothic" w:eastAsia="Times New Roman" w:hAnsi="Century Gothic"/>
                      <w:b/>
                      <w:bCs/>
                      <w:color w:val="000000"/>
                      <w:sz w:val="16"/>
                      <w:szCs w:val="16"/>
                      <w:lang w:val="es-CO" w:eastAsia="es-CO"/>
                    </w:rPr>
                    <w:t>Situaciones encontradas por la OCI</w:t>
                  </w:r>
                </w:p>
              </w:tc>
            </w:tr>
            <w:tr w:rsidR="00E23CF9" w:rsidRPr="00E23CF9" w:rsidTr="009572B0">
              <w:trPr>
                <w:trHeight w:val="765"/>
              </w:trPr>
              <w:tc>
                <w:tcPr>
                  <w:tcW w:w="465" w:type="dxa"/>
                  <w:noWrap/>
                  <w:vAlign w:val="center"/>
                  <w:hideMark/>
                </w:tcPr>
                <w:p w:rsidR="00E23CF9" w:rsidRPr="00E23CF9" w:rsidRDefault="00E23CF9" w:rsidP="00E23CF9">
                  <w:pPr>
                    <w:spacing w:after="0"/>
                    <w:jc w:val="center"/>
                    <w:rPr>
                      <w:rFonts w:ascii="Calibri" w:eastAsia="Times New Roman" w:hAnsi="Calibri"/>
                      <w:color w:val="000000"/>
                      <w:sz w:val="22"/>
                      <w:szCs w:val="22"/>
                      <w:lang w:val="es-CO" w:eastAsia="es-CO"/>
                    </w:rPr>
                  </w:pPr>
                  <w:r w:rsidRPr="00E23CF9">
                    <w:rPr>
                      <w:rFonts w:ascii="Calibri" w:eastAsia="Times New Roman" w:hAnsi="Calibri"/>
                      <w:color w:val="000000"/>
                      <w:sz w:val="22"/>
                      <w:szCs w:val="22"/>
                      <w:lang w:val="es-CO" w:eastAsia="es-CO"/>
                    </w:rPr>
                    <w:t> </w:t>
                  </w:r>
                </w:p>
              </w:tc>
              <w:tc>
                <w:tcPr>
                  <w:tcW w:w="2110" w:type="dxa"/>
                  <w:vAlign w:val="center"/>
                  <w:hideMark/>
                </w:tcPr>
                <w:p w:rsidR="00E23CF9" w:rsidRPr="00E23CF9" w:rsidRDefault="00E23CF9" w:rsidP="00E23CF9">
                  <w:pPr>
                    <w:spacing w:after="0"/>
                    <w:jc w:val="center"/>
                    <w:rPr>
                      <w:rFonts w:ascii="Century Gothic" w:eastAsia="Times New Roman" w:hAnsi="Century Gothic"/>
                      <w:b/>
                      <w:bCs/>
                      <w:color w:val="000000"/>
                      <w:sz w:val="14"/>
                      <w:szCs w:val="14"/>
                      <w:lang w:val="es-CO" w:eastAsia="es-CO"/>
                    </w:rPr>
                  </w:pPr>
                  <w:r w:rsidRPr="00E23CF9">
                    <w:rPr>
                      <w:rFonts w:ascii="Century Gothic" w:eastAsia="Times New Roman" w:hAnsi="Century Gothic"/>
                      <w:b/>
                      <w:bCs/>
                      <w:color w:val="000000"/>
                      <w:sz w:val="14"/>
                      <w:szCs w:val="14"/>
                      <w:lang w:val="es-CO" w:eastAsia="es-CO"/>
                    </w:rPr>
                    <w:t>Concepto</w:t>
                  </w:r>
                </w:p>
              </w:tc>
              <w:tc>
                <w:tcPr>
                  <w:tcW w:w="1275" w:type="dxa"/>
                  <w:vAlign w:val="center"/>
                  <w:hideMark/>
                </w:tcPr>
                <w:p w:rsidR="00E23CF9" w:rsidRPr="00E23CF9" w:rsidRDefault="00E23CF9" w:rsidP="00E23CF9">
                  <w:pPr>
                    <w:spacing w:after="0"/>
                    <w:jc w:val="center"/>
                    <w:rPr>
                      <w:rFonts w:ascii="Century Gothic" w:eastAsia="Times New Roman" w:hAnsi="Century Gothic"/>
                      <w:b/>
                      <w:bCs/>
                      <w:color w:val="000000"/>
                      <w:sz w:val="14"/>
                      <w:szCs w:val="14"/>
                      <w:lang w:val="es-CO" w:eastAsia="es-CO"/>
                    </w:rPr>
                  </w:pPr>
                  <w:r w:rsidRPr="00E23CF9">
                    <w:rPr>
                      <w:rFonts w:ascii="Century Gothic" w:eastAsia="Times New Roman" w:hAnsi="Century Gothic"/>
                      <w:b/>
                      <w:bCs/>
                      <w:color w:val="000000"/>
                      <w:sz w:val="14"/>
                      <w:szCs w:val="14"/>
                      <w:lang w:val="es-CO" w:eastAsia="es-CO"/>
                    </w:rPr>
                    <w:t>Valor pagado entre Enero - Marzo de la vigencia 2015</w:t>
                  </w:r>
                </w:p>
              </w:tc>
              <w:tc>
                <w:tcPr>
                  <w:tcW w:w="1418" w:type="dxa"/>
                  <w:vAlign w:val="center"/>
                  <w:hideMark/>
                </w:tcPr>
                <w:p w:rsidR="00E23CF9" w:rsidRPr="00E23CF9" w:rsidRDefault="00E23CF9" w:rsidP="00E23CF9">
                  <w:pPr>
                    <w:spacing w:after="0"/>
                    <w:jc w:val="center"/>
                    <w:rPr>
                      <w:rFonts w:ascii="Century Gothic" w:eastAsia="Times New Roman" w:hAnsi="Century Gothic"/>
                      <w:b/>
                      <w:bCs/>
                      <w:color w:val="000000"/>
                      <w:sz w:val="14"/>
                      <w:szCs w:val="14"/>
                      <w:lang w:val="es-CO" w:eastAsia="es-CO"/>
                    </w:rPr>
                  </w:pPr>
                  <w:r w:rsidRPr="00E23CF9">
                    <w:rPr>
                      <w:rFonts w:ascii="Century Gothic" w:eastAsia="Times New Roman" w:hAnsi="Century Gothic"/>
                      <w:b/>
                      <w:bCs/>
                      <w:color w:val="000000"/>
                      <w:sz w:val="14"/>
                      <w:szCs w:val="14"/>
                      <w:lang w:val="es-CO" w:eastAsia="es-CO"/>
                    </w:rPr>
                    <w:t>Valor pagado entre Enero - Marzo de la vigencia 2016</w:t>
                  </w:r>
                </w:p>
              </w:tc>
              <w:tc>
                <w:tcPr>
                  <w:tcW w:w="1843" w:type="dxa"/>
                  <w:vAlign w:val="center"/>
                  <w:hideMark/>
                </w:tcPr>
                <w:p w:rsidR="00E23CF9" w:rsidRPr="00E23CF9" w:rsidRDefault="00E23CF9" w:rsidP="00E23CF9">
                  <w:pPr>
                    <w:spacing w:after="0"/>
                    <w:jc w:val="center"/>
                    <w:rPr>
                      <w:rFonts w:ascii="Century Gothic" w:eastAsia="Times New Roman" w:hAnsi="Century Gothic"/>
                      <w:b/>
                      <w:bCs/>
                      <w:color w:val="000000"/>
                      <w:sz w:val="14"/>
                      <w:szCs w:val="14"/>
                      <w:lang w:val="es-CO" w:eastAsia="es-CO"/>
                    </w:rPr>
                  </w:pPr>
                  <w:r w:rsidRPr="00E23CF9">
                    <w:rPr>
                      <w:rFonts w:ascii="Century Gothic" w:eastAsia="Times New Roman" w:hAnsi="Century Gothic"/>
                      <w:b/>
                      <w:bCs/>
                      <w:color w:val="000000"/>
                      <w:sz w:val="14"/>
                      <w:szCs w:val="14"/>
                      <w:lang w:val="es-CO" w:eastAsia="es-CO"/>
                    </w:rPr>
                    <w:t>% Variación del valor pagado entre Enero - Marzo de 2016 respecto al mismo periodo de la vigencia 2015</w:t>
                  </w:r>
                </w:p>
              </w:tc>
              <w:tc>
                <w:tcPr>
                  <w:tcW w:w="3260" w:type="dxa"/>
                  <w:vMerge w:val="restart"/>
                  <w:noWrap/>
                  <w:vAlign w:val="center"/>
                  <w:hideMark/>
                </w:tcPr>
                <w:p w:rsidR="00E23CF9" w:rsidRPr="00E23CF9" w:rsidRDefault="00E23CF9" w:rsidP="00967358">
                  <w:pPr>
                    <w:spacing w:after="0"/>
                    <w:jc w:val="both"/>
                    <w:rPr>
                      <w:rFonts w:ascii="Century Gothic" w:eastAsia="Times New Roman" w:hAnsi="Century Gothic"/>
                      <w:color w:val="000000"/>
                      <w:sz w:val="14"/>
                      <w:szCs w:val="14"/>
                      <w:lang w:val="es-CO" w:eastAsia="es-CO"/>
                    </w:rPr>
                  </w:pPr>
                  <w:r w:rsidRPr="00560C49">
                    <w:rPr>
                      <w:rFonts w:ascii="Century Gothic" w:eastAsia="Times New Roman" w:hAnsi="Century Gothic"/>
                      <w:color w:val="000000"/>
                      <w:sz w:val="16"/>
                      <w:szCs w:val="14"/>
                      <w:lang w:val="es-CO" w:eastAsia="es-CO"/>
                    </w:rPr>
                    <w:t>Aunque hubo un incremento en el número de contratos en 11,21%, el rubro de servicios profesionales indirectos pres</w:t>
                  </w:r>
                  <w:r w:rsidR="009572B0" w:rsidRPr="00560C49">
                    <w:rPr>
                      <w:rFonts w:ascii="Century Gothic" w:eastAsia="Times New Roman" w:hAnsi="Century Gothic"/>
                      <w:color w:val="000000"/>
                      <w:sz w:val="16"/>
                      <w:szCs w:val="14"/>
                      <w:lang w:val="es-CO" w:eastAsia="es-CO"/>
                    </w:rPr>
                    <w:t xml:space="preserve">enta una variación negativa de </w:t>
                  </w:r>
                  <w:r w:rsidR="00967358">
                    <w:rPr>
                      <w:rFonts w:ascii="Century Gothic" w:eastAsia="Times New Roman" w:hAnsi="Century Gothic"/>
                      <w:color w:val="000000"/>
                      <w:sz w:val="16"/>
                      <w:szCs w:val="14"/>
                      <w:lang w:val="es-CO" w:eastAsia="es-CO"/>
                    </w:rPr>
                    <w:t>31,29% respecto al año anterior.</w:t>
                  </w:r>
                </w:p>
              </w:tc>
            </w:tr>
            <w:tr w:rsidR="00E23CF9" w:rsidRPr="00E23CF9" w:rsidTr="009572B0">
              <w:trPr>
                <w:trHeight w:val="495"/>
              </w:trPr>
              <w:tc>
                <w:tcPr>
                  <w:tcW w:w="465" w:type="dxa"/>
                  <w:noWrap/>
                  <w:vAlign w:val="center"/>
                  <w:hideMark/>
                </w:tcPr>
                <w:p w:rsidR="00E23CF9" w:rsidRPr="00E23CF9" w:rsidRDefault="00E23CF9" w:rsidP="00E23CF9">
                  <w:pPr>
                    <w:spacing w:after="0"/>
                    <w:jc w:val="center"/>
                    <w:rPr>
                      <w:rFonts w:ascii="Calibri" w:eastAsia="Times New Roman" w:hAnsi="Calibri"/>
                      <w:color w:val="000000"/>
                      <w:sz w:val="22"/>
                      <w:szCs w:val="22"/>
                      <w:lang w:val="es-CO" w:eastAsia="es-CO"/>
                    </w:rPr>
                  </w:pPr>
                  <w:r w:rsidRPr="00E23CF9">
                    <w:rPr>
                      <w:rFonts w:ascii="Calibri" w:eastAsia="Times New Roman" w:hAnsi="Calibri"/>
                      <w:color w:val="000000"/>
                      <w:sz w:val="22"/>
                      <w:szCs w:val="22"/>
                      <w:lang w:val="es-CO" w:eastAsia="es-CO"/>
                    </w:rPr>
                    <w:t>10</w:t>
                  </w:r>
                </w:p>
              </w:tc>
              <w:tc>
                <w:tcPr>
                  <w:tcW w:w="2110" w:type="dxa"/>
                  <w:vAlign w:val="center"/>
                  <w:hideMark/>
                </w:tcPr>
                <w:p w:rsidR="00E23CF9" w:rsidRPr="00E23CF9" w:rsidRDefault="00E23CF9" w:rsidP="00E23CF9">
                  <w:pPr>
                    <w:spacing w:after="0"/>
                    <w:rPr>
                      <w:rFonts w:ascii="Century Gothic" w:eastAsia="Times New Roman" w:hAnsi="Century Gothic"/>
                      <w:b/>
                      <w:bCs/>
                      <w:color w:val="000000"/>
                      <w:sz w:val="14"/>
                      <w:szCs w:val="14"/>
                      <w:lang w:val="es-CO" w:eastAsia="es-CO"/>
                    </w:rPr>
                  </w:pPr>
                  <w:r w:rsidRPr="00E23CF9">
                    <w:rPr>
                      <w:rFonts w:ascii="Century Gothic" w:eastAsia="Times New Roman" w:hAnsi="Century Gothic"/>
                      <w:b/>
                      <w:bCs/>
                      <w:color w:val="000000"/>
                      <w:sz w:val="14"/>
                      <w:szCs w:val="14"/>
                      <w:lang w:val="es-CO" w:eastAsia="es-CO"/>
                    </w:rPr>
                    <w:t xml:space="preserve">SERVICIOS PERSONALES INDIRECTOS </w:t>
                  </w:r>
                </w:p>
              </w:tc>
              <w:tc>
                <w:tcPr>
                  <w:tcW w:w="1275" w:type="dxa"/>
                  <w:noWrap/>
                  <w:vAlign w:val="center"/>
                  <w:hideMark/>
                </w:tcPr>
                <w:p w:rsidR="00E23CF9" w:rsidRPr="00E23CF9" w:rsidRDefault="00E23CF9" w:rsidP="00E23CF9">
                  <w:pPr>
                    <w:spacing w:after="0"/>
                    <w:jc w:val="right"/>
                    <w:rPr>
                      <w:rFonts w:ascii="Century Gothic" w:eastAsia="Times New Roman" w:hAnsi="Century Gothic"/>
                      <w:color w:val="000000"/>
                      <w:sz w:val="14"/>
                      <w:szCs w:val="14"/>
                      <w:lang w:val="es-CO" w:eastAsia="es-CO"/>
                    </w:rPr>
                  </w:pPr>
                  <w:r w:rsidRPr="00E23CF9">
                    <w:rPr>
                      <w:rFonts w:ascii="Century Gothic" w:eastAsia="Times New Roman" w:hAnsi="Century Gothic"/>
                      <w:color w:val="000000"/>
                      <w:sz w:val="14"/>
                      <w:szCs w:val="14"/>
                      <w:lang w:val="es-CO" w:eastAsia="es-CO"/>
                    </w:rPr>
                    <w:t xml:space="preserve">                                     4.979.574.531 </w:t>
                  </w:r>
                </w:p>
              </w:tc>
              <w:tc>
                <w:tcPr>
                  <w:tcW w:w="1418" w:type="dxa"/>
                  <w:noWrap/>
                  <w:vAlign w:val="center"/>
                  <w:hideMark/>
                </w:tcPr>
                <w:p w:rsidR="00E23CF9" w:rsidRPr="00E23CF9" w:rsidRDefault="00E23CF9" w:rsidP="00E23CF9">
                  <w:pPr>
                    <w:spacing w:after="0"/>
                    <w:jc w:val="right"/>
                    <w:rPr>
                      <w:rFonts w:ascii="Century Gothic" w:eastAsia="Times New Roman" w:hAnsi="Century Gothic"/>
                      <w:color w:val="000000"/>
                      <w:sz w:val="14"/>
                      <w:szCs w:val="14"/>
                      <w:lang w:val="es-CO" w:eastAsia="es-CO"/>
                    </w:rPr>
                  </w:pPr>
                  <w:r w:rsidRPr="00E23CF9">
                    <w:rPr>
                      <w:rFonts w:ascii="Century Gothic" w:eastAsia="Times New Roman" w:hAnsi="Century Gothic"/>
                      <w:color w:val="000000"/>
                      <w:sz w:val="14"/>
                      <w:szCs w:val="14"/>
                      <w:lang w:val="es-CO" w:eastAsia="es-CO"/>
                    </w:rPr>
                    <w:t xml:space="preserve">                                       3.421.261.982 </w:t>
                  </w:r>
                </w:p>
              </w:tc>
              <w:tc>
                <w:tcPr>
                  <w:tcW w:w="1843" w:type="dxa"/>
                  <w:noWrap/>
                  <w:vAlign w:val="center"/>
                  <w:hideMark/>
                </w:tcPr>
                <w:p w:rsidR="00E23CF9" w:rsidRPr="00E23CF9" w:rsidRDefault="00E23CF9" w:rsidP="00E23CF9">
                  <w:pPr>
                    <w:spacing w:after="0"/>
                    <w:jc w:val="right"/>
                    <w:rPr>
                      <w:rFonts w:ascii="Century Gothic" w:eastAsia="Times New Roman" w:hAnsi="Century Gothic"/>
                      <w:color w:val="000000"/>
                      <w:sz w:val="14"/>
                      <w:szCs w:val="14"/>
                      <w:lang w:val="es-CO" w:eastAsia="es-CO"/>
                    </w:rPr>
                  </w:pPr>
                  <w:r w:rsidRPr="00E23CF9">
                    <w:rPr>
                      <w:rFonts w:ascii="Century Gothic" w:eastAsia="Times New Roman" w:hAnsi="Century Gothic"/>
                      <w:color w:val="000000"/>
                      <w:sz w:val="14"/>
                      <w:szCs w:val="14"/>
                      <w:lang w:val="es-CO" w:eastAsia="es-CO"/>
                    </w:rPr>
                    <w:t>-31,29%</w:t>
                  </w:r>
                </w:p>
              </w:tc>
              <w:tc>
                <w:tcPr>
                  <w:tcW w:w="3260" w:type="dxa"/>
                  <w:vMerge/>
                  <w:vAlign w:val="center"/>
                  <w:hideMark/>
                </w:tcPr>
                <w:p w:rsidR="00E23CF9" w:rsidRPr="00E23CF9" w:rsidRDefault="00E23CF9" w:rsidP="00E23CF9">
                  <w:pPr>
                    <w:spacing w:after="0"/>
                    <w:rPr>
                      <w:rFonts w:ascii="Century Gothic" w:eastAsia="Times New Roman" w:hAnsi="Century Gothic"/>
                      <w:color w:val="000000"/>
                      <w:sz w:val="14"/>
                      <w:szCs w:val="14"/>
                      <w:lang w:val="es-CO" w:eastAsia="es-CO"/>
                    </w:rPr>
                  </w:pPr>
                </w:p>
              </w:tc>
            </w:tr>
            <w:tr w:rsidR="00E23CF9" w:rsidRPr="00E23CF9" w:rsidTr="009572B0">
              <w:trPr>
                <w:trHeight w:val="390"/>
              </w:trPr>
              <w:tc>
                <w:tcPr>
                  <w:tcW w:w="465" w:type="dxa"/>
                  <w:noWrap/>
                  <w:vAlign w:val="center"/>
                  <w:hideMark/>
                </w:tcPr>
                <w:p w:rsidR="00E23CF9" w:rsidRPr="00E23CF9" w:rsidRDefault="00E23CF9" w:rsidP="00E23CF9">
                  <w:pPr>
                    <w:spacing w:after="0"/>
                    <w:jc w:val="center"/>
                    <w:rPr>
                      <w:rFonts w:ascii="Calibri" w:eastAsia="Times New Roman" w:hAnsi="Calibri"/>
                      <w:color w:val="000000"/>
                      <w:sz w:val="22"/>
                      <w:szCs w:val="22"/>
                      <w:lang w:val="es-CO" w:eastAsia="es-CO"/>
                    </w:rPr>
                  </w:pPr>
                  <w:r w:rsidRPr="00E23CF9">
                    <w:rPr>
                      <w:rFonts w:ascii="Calibri" w:eastAsia="Times New Roman" w:hAnsi="Calibri"/>
                      <w:color w:val="000000"/>
                      <w:sz w:val="22"/>
                      <w:szCs w:val="22"/>
                      <w:lang w:val="es-CO" w:eastAsia="es-CO"/>
                    </w:rPr>
                    <w:t> </w:t>
                  </w:r>
                </w:p>
              </w:tc>
              <w:tc>
                <w:tcPr>
                  <w:tcW w:w="2110" w:type="dxa"/>
                  <w:noWrap/>
                  <w:vAlign w:val="center"/>
                  <w:hideMark/>
                </w:tcPr>
                <w:p w:rsidR="00E23CF9" w:rsidRPr="00E23CF9" w:rsidRDefault="00E23CF9" w:rsidP="00E23CF9">
                  <w:pPr>
                    <w:spacing w:after="0"/>
                    <w:rPr>
                      <w:rFonts w:ascii="Century Gothic" w:eastAsia="Times New Roman" w:hAnsi="Century Gothic"/>
                      <w:b/>
                      <w:bCs/>
                      <w:color w:val="000000"/>
                      <w:sz w:val="14"/>
                      <w:szCs w:val="14"/>
                      <w:lang w:val="es-CO" w:eastAsia="es-CO"/>
                    </w:rPr>
                  </w:pPr>
                  <w:r w:rsidRPr="00E23CF9">
                    <w:rPr>
                      <w:rFonts w:ascii="Century Gothic" w:eastAsia="Times New Roman" w:hAnsi="Century Gothic"/>
                      <w:b/>
                      <w:bCs/>
                      <w:color w:val="000000"/>
                      <w:sz w:val="14"/>
                      <w:szCs w:val="14"/>
                      <w:lang w:val="es-CO" w:eastAsia="es-CO"/>
                    </w:rPr>
                    <w:t>TOTALES $</w:t>
                  </w:r>
                </w:p>
              </w:tc>
              <w:tc>
                <w:tcPr>
                  <w:tcW w:w="1275" w:type="dxa"/>
                  <w:noWrap/>
                  <w:vAlign w:val="center"/>
                  <w:hideMark/>
                </w:tcPr>
                <w:p w:rsidR="00E23CF9" w:rsidRPr="00E23CF9" w:rsidRDefault="00E23CF9" w:rsidP="00E23CF9">
                  <w:pPr>
                    <w:spacing w:after="0"/>
                    <w:jc w:val="right"/>
                    <w:rPr>
                      <w:rFonts w:ascii="Century Gothic" w:eastAsia="Times New Roman" w:hAnsi="Century Gothic"/>
                      <w:b/>
                      <w:bCs/>
                      <w:color w:val="000000"/>
                      <w:sz w:val="14"/>
                      <w:szCs w:val="14"/>
                      <w:lang w:val="es-CO" w:eastAsia="es-CO"/>
                    </w:rPr>
                  </w:pPr>
                  <w:r w:rsidRPr="00E23CF9">
                    <w:rPr>
                      <w:rFonts w:ascii="Century Gothic" w:eastAsia="Times New Roman" w:hAnsi="Century Gothic"/>
                      <w:b/>
                      <w:bCs/>
                      <w:color w:val="000000"/>
                      <w:sz w:val="14"/>
                      <w:szCs w:val="14"/>
                      <w:lang w:val="es-CO" w:eastAsia="es-CO"/>
                    </w:rPr>
                    <w:t xml:space="preserve">                    4.979.574.531 </w:t>
                  </w:r>
                </w:p>
              </w:tc>
              <w:tc>
                <w:tcPr>
                  <w:tcW w:w="1418" w:type="dxa"/>
                  <w:noWrap/>
                  <w:vAlign w:val="center"/>
                  <w:hideMark/>
                </w:tcPr>
                <w:p w:rsidR="00E23CF9" w:rsidRPr="00E23CF9" w:rsidRDefault="00E23CF9" w:rsidP="00E23CF9">
                  <w:pPr>
                    <w:spacing w:after="0"/>
                    <w:jc w:val="right"/>
                    <w:rPr>
                      <w:rFonts w:ascii="Century Gothic" w:eastAsia="Times New Roman" w:hAnsi="Century Gothic"/>
                      <w:b/>
                      <w:bCs/>
                      <w:color w:val="000000"/>
                      <w:sz w:val="14"/>
                      <w:szCs w:val="14"/>
                      <w:lang w:val="es-CO" w:eastAsia="es-CO"/>
                    </w:rPr>
                  </w:pPr>
                  <w:r w:rsidRPr="00E23CF9">
                    <w:rPr>
                      <w:rFonts w:ascii="Century Gothic" w:eastAsia="Times New Roman" w:hAnsi="Century Gothic"/>
                      <w:b/>
                      <w:bCs/>
                      <w:color w:val="000000"/>
                      <w:sz w:val="14"/>
                      <w:szCs w:val="14"/>
                      <w:lang w:val="es-CO" w:eastAsia="es-CO"/>
                    </w:rPr>
                    <w:t xml:space="preserve">                     3.421.261.982 </w:t>
                  </w:r>
                </w:p>
              </w:tc>
              <w:tc>
                <w:tcPr>
                  <w:tcW w:w="1843" w:type="dxa"/>
                  <w:noWrap/>
                  <w:vAlign w:val="center"/>
                  <w:hideMark/>
                </w:tcPr>
                <w:p w:rsidR="00E23CF9" w:rsidRPr="00E23CF9" w:rsidRDefault="00E23CF9" w:rsidP="00E23CF9">
                  <w:pPr>
                    <w:spacing w:after="0"/>
                    <w:jc w:val="right"/>
                    <w:rPr>
                      <w:rFonts w:ascii="Century Gothic" w:eastAsia="Times New Roman" w:hAnsi="Century Gothic"/>
                      <w:color w:val="000000"/>
                      <w:sz w:val="14"/>
                      <w:szCs w:val="14"/>
                      <w:lang w:val="es-CO" w:eastAsia="es-CO"/>
                    </w:rPr>
                  </w:pPr>
                  <w:r w:rsidRPr="00E23CF9">
                    <w:rPr>
                      <w:rFonts w:ascii="Century Gothic" w:eastAsia="Times New Roman" w:hAnsi="Century Gothic"/>
                      <w:color w:val="000000"/>
                      <w:sz w:val="14"/>
                      <w:szCs w:val="14"/>
                      <w:lang w:val="es-CO" w:eastAsia="es-CO"/>
                    </w:rPr>
                    <w:t>-31,29%</w:t>
                  </w:r>
                </w:p>
              </w:tc>
              <w:tc>
                <w:tcPr>
                  <w:tcW w:w="3260" w:type="dxa"/>
                  <w:vMerge/>
                  <w:vAlign w:val="center"/>
                  <w:hideMark/>
                </w:tcPr>
                <w:p w:rsidR="00E23CF9" w:rsidRPr="00E23CF9" w:rsidRDefault="00E23CF9" w:rsidP="00E23CF9">
                  <w:pPr>
                    <w:spacing w:after="0"/>
                    <w:rPr>
                      <w:rFonts w:ascii="Century Gothic" w:eastAsia="Times New Roman" w:hAnsi="Century Gothic"/>
                      <w:color w:val="000000"/>
                      <w:sz w:val="14"/>
                      <w:szCs w:val="14"/>
                      <w:lang w:val="es-CO" w:eastAsia="es-CO"/>
                    </w:rPr>
                  </w:pPr>
                </w:p>
              </w:tc>
            </w:tr>
          </w:tbl>
          <w:p w:rsidR="00F8093F" w:rsidRDefault="00F8093F" w:rsidP="00F8093F">
            <w:pPr>
              <w:pStyle w:val="Prrafodelista"/>
              <w:ind w:left="0"/>
              <w:jc w:val="both"/>
              <w:rPr>
                <w:rFonts w:ascii="Century Gothic" w:hAnsi="Century Gothic"/>
                <w:sz w:val="20"/>
                <w:szCs w:val="20"/>
              </w:rPr>
            </w:pPr>
          </w:p>
          <w:p w:rsidR="009572B0" w:rsidRDefault="009572B0" w:rsidP="00F8093F">
            <w:pPr>
              <w:pStyle w:val="Prrafodelista"/>
              <w:ind w:left="0"/>
              <w:jc w:val="both"/>
              <w:rPr>
                <w:rFonts w:ascii="Century Gothic" w:hAnsi="Century Gothic"/>
                <w:sz w:val="20"/>
                <w:szCs w:val="20"/>
              </w:rPr>
            </w:pPr>
          </w:p>
          <w:p w:rsidR="009572B0" w:rsidRDefault="009572B0" w:rsidP="00F8093F">
            <w:pPr>
              <w:pStyle w:val="Prrafodelista"/>
              <w:ind w:left="0"/>
              <w:jc w:val="both"/>
              <w:rPr>
                <w:rFonts w:ascii="Century Gothic" w:hAnsi="Century Gothic"/>
                <w:sz w:val="20"/>
                <w:szCs w:val="20"/>
              </w:rPr>
            </w:pPr>
          </w:p>
          <w:p w:rsidR="009572B0" w:rsidRPr="009572B0" w:rsidRDefault="009572B0" w:rsidP="009572B0">
            <w:pPr>
              <w:pStyle w:val="Prrafodelista"/>
              <w:numPr>
                <w:ilvl w:val="0"/>
                <w:numId w:val="28"/>
              </w:numPr>
              <w:jc w:val="both"/>
              <w:rPr>
                <w:rFonts w:ascii="Century Gothic" w:hAnsi="Century Gothic" w:cs="Arial"/>
                <w:b/>
                <w:vanish/>
                <w:sz w:val="20"/>
                <w:szCs w:val="20"/>
                <w:lang w:val="es-MX" w:eastAsia="es-CO"/>
              </w:rPr>
            </w:pPr>
          </w:p>
          <w:p w:rsidR="009572B0" w:rsidRPr="009572B0" w:rsidRDefault="009572B0" w:rsidP="009572B0">
            <w:pPr>
              <w:pStyle w:val="Prrafodelista"/>
              <w:numPr>
                <w:ilvl w:val="1"/>
                <w:numId w:val="28"/>
              </w:numPr>
              <w:jc w:val="both"/>
              <w:rPr>
                <w:rFonts w:ascii="Century Gothic" w:hAnsi="Century Gothic" w:cs="Arial"/>
                <w:b/>
                <w:vanish/>
                <w:sz w:val="20"/>
                <w:szCs w:val="20"/>
                <w:lang w:val="es-MX" w:eastAsia="es-CO"/>
              </w:rPr>
            </w:pPr>
          </w:p>
          <w:p w:rsidR="009572B0" w:rsidRPr="009572B0" w:rsidRDefault="009572B0" w:rsidP="009572B0">
            <w:pPr>
              <w:pStyle w:val="Prrafodelista"/>
              <w:numPr>
                <w:ilvl w:val="1"/>
                <w:numId w:val="28"/>
              </w:numPr>
              <w:jc w:val="both"/>
              <w:rPr>
                <w:rFonts w:ascii="Century Gothic" w:hAnsi="Century Gothic" w:cs="Arial"/>
                <w:b/>
                <w:vanish/>
                <w:sz w:val="20"/>
                <w:szCs w:val="20"/>
                <w:lang w:val="es-MX" w:eastAsia="es-CO"/>
              </w:rPr>
            </w:pPr>
          </w:p>
          <w:p w:rsidR="009572B0" w:rsidRPr="009572B0" w:rsidRDefault="009572B0" w:rsidP="009572B0">
            <w:pPr>
              <w:pStyle w:val="Prrafodelista"/>
              <w:numPr>
                <w:ilvl w:val="2"/>
                <w:numId w:val="28"/>
              </w:numPr>
              <w:jc w:val="both"/>
              <w:rPr>
                <w:rFonts w:ascii="Century Gothic" w:hAnsi="Century Gothic" w:cs="Arial"/>
                <w:b/>
                <w:vanish/>
                <w:sz w:val="20"/>
                <w:szCs w:val="20"/>
                <w:lang w:val="es-MX" w:eastAsia="es-CO"/>
              </w:rPr>
            </w:pPr>
          </w:p>
          <w:p w:rsidR="009572B0" w:rsidRPr="009572B0" w:rsidRDefault="009572B0" w:rsidP="009572B0">
            <w:pPr>
              <w:pStyle w:val="Prrafodelista"/>
              <w:numPr>
                <w:ilvl w:val="2"/>
                <w:numId w:val="28"/>
              </w:numPr>
              <w:jc w:val="both"/>
              <w:rPr>
                <w:rFonts w:ascii="Century Gothic" w:hAnsi="Century Gothic" w:cs="Arial"/>
                <w:b/>
                <w:vanish/>
                <w:sz w:val="20"/>
                <w:szCs w:val="20"/>
                <w:lang w:val="es-MX" w:eastAsia="es-CO"/>
              </w:rPr>
            </w:pPr>
          </w:p>
          <w:p w:rsidR="009572B0" w:rsidRPr="009572B0" w:rsidRDefault="009572B0" w:rsidP="009572B0">
            <w:pPr>
              <w:pStyle w:val="Prrafodelista"/>
              <w:numPr>
                <w:ilvl w:val="2"/>
                <w:numId w:val="28"/>
              </w:numPr>
              <w:jc w:val="both"/>
              <w:rPr>
                <w:rFonts w:ascii="Century Gothic" w:hAnsi="Century Gothic"/>
                <w:b/>
                <w:sz w:val="20"/>
                <w:szCs w:val="20"/>
              </w:rPr>
            </w:pPr>
            <w:r>
              <w:rPr>
                <w:rFonts w:ascii="Century Gothic" w:hAnsi="Century Gothic" w:cs="Arial"/>
                <w:b/>
                <w:sz w:val="20"/>
                <w:szCs w:val="20"/>
                <w:lang w:val="es-MX" w:eastAsia="es-CO"/>
              </w:rPr>
              <w:t>Personal contratado consolidado.</w:t>
            </w:r>
          </w:p>
          <w:tbl>
            <w:tblPr>
              <w:tblStyle w:val="Tablaconcuadrcula"/>
              <w:tblW w:w="0" w:type="auto"/>
              <w:tblLayout w:type="fixed"/>
              <w:tblLook w:val="04A0" w:firstRow="1" w:lastRow="0" w:firstColumn="1" w:lastColumn="0" w:noHBand="0" w:noVBand="1"/>
            </w:tblPr>
            <w:tblGrid>
              <w:gridCol w:w="465"/>
              <w:gridCol w:w="3244"/>
              <w:gridCol w:w="1140"/>
              <w:gridCol w:w="1134"/>
              <w:gridCol w:w="1984"/>
              <w:gridCol w:w="2404"/>
            </w:tblGrid>
            <w:tr w:rsidR="00D14AD4" w:rsidRPr="00D14AD4" w:rsidTr="003C70E9">
              <w:trPr>
                <w:trHeight w:val="300"/>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Nº</w:t>
                  </w:r>
                </w:p>
              </w:tc>
              <w:tc>
                <w:tcPr>
                  <w:tcW w:w="7502" w:type="dxa"/>
                  <w:gridSpan w:val="4"/>
                  <w:noWrap/>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Aspectos cuantitativos</w:t>
                  </w:r>
                </w:p>
              </w:tc>
              <w:tc>
                <w:tcPr>
                  <w:tcW w:w="2404" w:type="dxa"/>
                  <w:noWrap/>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Situaciones encontradas por la OCI</w:t>
                  </w:r>
                </w:p>
              </w:tc>
            </w:tr>
            <w:tr w:rsidR="00D14AD4" w:rsidRPr="00D14AD4" w:rsidTr="003C70E9">
              <w:trPr>
                <w:trHeight w:val="720"/>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 </w:t>
                  </w:r>
                </w:p>
              </w:tc>
              <w:tc>
                <w:tcPr>
                  <w:tcW w:w="3244" w:type="dxa"/>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Cantidad personal</w:t>
                  </w:r>
                </w:p>
              </w:tc>
              <w:tc>
                <w:tcPr>
                  <w:tcW w:w="1140" w:type="dxa"/>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Cantidad entre Enero - Marzo de la vigencia 2015</w:t>
                  </w:r>
                </w:p>
              </w:tc>
              <w:tc>
                <w:tcPr>
                  <w:tcW w:w="1134" w:type="dxa"/>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Cantidad entre Enero - Marzo de la vigencia 2016</w:t>
                  </w:r>
                </w:p>
              </w:tc>
              <w:tc>
                <w:tcPr>
                  <w:tcW w:w="1984" w:type="dxa"/>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 Variación de la cantidad entre Enero - Marzo de 2016 respecto al mismo periodo de la vigencia 2015</w:t>
                  </w:r>
                </w:p>
              </w:tc>
              <w:tc>
                <w:tcPr>
                  <w:tcW w:w="2404" w:type="dxa"/>
                  <w:vMerge w:val="restart"/>
                  <w:vAlign w:val="center"/>
                  <w:hideMark/>
                </w:tcPr>
                <w:p w:rsidR="00D14AD4" w:rsidRPr="00D14AD4" w:rsidRDefault="00D14AD4" w:rsidP="00560C49">
                  <w:pPr>
                    <w:spacing w:after="0"/>
                    <w:jc w:val="both"/>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 xml:space="preserve">Se observa en el periodo evaluado un porcentaje de variación de 17,15% en el número total de contratistas de prestación de servicios y de apoyo a la gestión. Representado para la vigencia 2016 en 184 contratistas más, siendo la contratación de prestación de servicios profesionales de Procesos apoyo </w:t>
                  </w:r>
                  <w:r w:rsidR="00560C49">
                    <w:rPr>
                      <w:rFonts w:ascii="Century Gothic" w:eastAsia="Times New Roman" w:hAnsi="Century Gothic"/>
                      <w:color w:val="000000"/>
                      <w:sz w:val="16"/>
                      <w:szCs w:val="16"/>
                      <w:lang w:val="es-CO" w:eastAsia="es-CO"/>
                    </w:rPr>
                    <w:t xml:space="preserve">quien presenta </w:t>
                  </w:r>
                  <w:r w:rsidRPr="00D14AD4">
                    <w:rPr>
                      <w:rFonts w:ascii="Century Gothic" w:eastAsia="Times New Roman" w:hAnsi="Century Gothic"/>
                      <w:color w:val="000000"/>
                      <w:sz w:val="16"/>
                      <w:szCs w:val="16"/>
                      <w:lang w:val="es-CO" w:eastAsia="es-CO"/>
                    </w:rPr>
                    <w:t>una diminución de 7,23%.</w:t>
                  </w:r>
                </w:p>
              </w:tc>
            </w:tr>
            <w:tr w:rsidR="003C70E9" w:rsidRPr="00D14AD4" w:rsidTr="003C70E9">
              <w:trPr>
                <w:trHeight w:val="300"/>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1</w:t>
                  </w:r>
                </w:p>
              </w:tc>
              <w:tc>
                <w:tcPr>
                  <w:tcW w:w="3244" w:type="dxa"/>
                  <w:noWrap/>
                  <w:vAlign w:val="center"/>
                  <w:hideMark/>
                </w:tcPr>
                <w:p w:rsidR="00D14AD4" w:rsidRPr="00D14AD4" w:rsidRDefault="00D14AD4" w:rsidP="00D14AD4">
                  <w:pPr>
                    <w:spacing w:after="0"/>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Personal contratado Procesos Misionales</w:t>
                  </w:r>
                </w:p>
              </w:tc>
              <w:tc>
                <w:tcPr>
                  <w:tcW w:w="1140"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792</w:t>
                  </w:r>
                </w:p>
              </w:tc>
              <w:tc>
                <w:tcPr>
                  <w:tcW w:w="113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977</w:t>
                  </w:r>
                </w:p>
              </w:tc>
              <w:tc>
                <w:tcPr>
                  <w:tcW w:w="198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23,36%</w:t>
                  </w:r>
                </w:p>
              </w:tc>
              <w:tc>
                <w:tcPr>
                  <w:tcW w:w="2404" w:type="dxa"/>
                  <w:vMerge/>
                  <w:vAlign w:val="center"/>
                  <w:hideMark/>
                </w:tcPr>
                <w:p w:rsidR="00D14AD4" w:rsidRPr="00D14AD4" w:rsidRDefault="00D14AD4" w:rsidP="00D14AD4">
                  <w:pPr>
                    <w:spacing w:after="0"/>
                    <w:rPr>
                      <w:rFonts w:ascii="Century Gothic" w:eastAsia="Times New Roman" w:hAnsi="Century Gothic"/>
                      <w:color w:val="000000"/>
                      <w:sz w:val="16"/>
                      <w:szCs w:val="16"/>
                      <w:lang w:val="es-CO" w:eastAsia="es-CO"/>
                    </w:rPr>
                  </w:pPr>
                </w:p>
              </w:tc>
            </w:tr>
            <w:tr w:rsidR="003C70E9" w:rsidRPr="00D14AD4" w:rsidTr="003C70E9">
              <w:trPr>
                <w:trHeight w:val="300"/>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2</w:t>
                  </w:r>
                </w:p>
              </w:tc>
              <w:tc>
                <w:tcPr>
                  <w:tcW w:w="3244" w:type="dxa"/>
                  <w:noWrap/>
                  <w:vAlign w:val="center"/>
                  <w:hideMark/>
                </w:tcPr>
                <w:p w:rsidR="00D14AD4" w:rsidRPr="00D14AD4" w:rsidRDefault="00D14AD4" w:rsidP="00D14AD4">
                  <w:pPr>
                    <w:spacing w:after="0"/>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Personal contratado Procesos Apoyo</w:t>
                  </w:r>
                </w:p>
              </w:tc>
              <w:tc>
                <w:tcPr>
                  <w:tcW w:w="1140"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249</w:t>
                  </w:r>
                </w:p>
              </w:tc>
              <w:tc>
                <w:tcPr>
                  <w:tcW w:w="113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231</w:t>
                  </w:r>
                </w:p>
              </w:tc>
              <w:tc>
                <w:tcPr>
                  <w:tcW w:w="198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-7,23%</w:t>
                  </w:r>
                </w:p>
              </w:tc>
              <w:tc>
                <w:tcPr>
                  <w:tcW w:w="2404" w:type="dxa"/>
                  <w:vMerge/>
                  <w:vAlign w:val="center"/>
                  <w:hideMark/>
                </w:tcPr>
                <w:p w:rsidR="00D14AD4" w:rsidRPr="00D14AD4" w:rsidRDefault="00D14AD4" w:rsidP="00D14AD4">
                  <w:pPr>
                    <w:spacing w:after="0"/>
                    <w:rPr>
                      <w:rFonts w:ascii="Century Gothic" w:eastAsia="Times New Roman" w:hAnsi="Century Gothic"/>
                      <w:color w:val="000000"/>
                      <w:sz w:val="16"/>
                      <w:szCs w:val="16"/>
                      <w:lang w:val="es-CO" w:eastAsia="es-CO"/>
                    </w:rPr>
                  </w:pPr>
                </w:p>
              </w:tc>
            </w:tr>
            <w:tr w:rsidR="003C70E9" w:rsidRPr="00D14AD4" w:rsidTr="003C70E9">
              <w:trPr>
                <w:trHeight w:val="300"/>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3</w:t>
                  </w:r>
                </w:p>
              </w:tc>
              <w:tc>
                <w:tcPr>
                  <w:tcW w:w="3244" w:type="dxa"/>
                  <w:noWrap/>
                  <w:vAlign w:val="center"/>
                  <w:hideMark/>
                </w:tcPr>
                <w:p w:rsidR="00D14AD4" w:rsidRPr="00D14AD4" w:rsidRDefault="00D14AD4" w:rsidP="00D14AD4">
                  <w:pPr>
                    <w:spacing w:after="0"/>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Personal contratado Procesos Estratégicos</w:t>
                  </w:r>
                </w:p>
              </w:tc>
              <w:tc>
                <w:tcPr>
                  <w:tcW w:w="1140"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26</w:t>
                  </w:r>
                </w:p>
              </w:tc>
              <w:tc>
                <w:tcPr>
                  <w:tcW w:w="113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43</w:t>
                  </w:r>
                </w:p>
              </w:tc>
              <w:tc>
                <w:tcPr>
                  <w:tcW w:w="198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65,38%</w:t>
                  </w:r>
                </w:p>
              </w:tc>
              <w:tc>
                <w:tcPr>
                  <w:tcW w:w="2404" w:type="dxa"/>
                  <w:vMerge/>
                  <w:vAlign w:val="center"/>
                  <w:hideMark/>
                </w:tcPr>
                <w:p w:rsidR="00D14AD4" w:rsidRPr="00D14AD4" w:rsidRDefault="00D14AD4" w:rsidP="00D14AD4">
                  <w:pPr>
                    <w:spacing w:after="0"/>
                    <w:rPr>
                      <w:rFonts w:ascii="Century Gothic" w:eastAsia="Times New Roman" w:hAnsi="Century Gothic"/>
                      <w:color w:val="000000"/>
                      <w:sz w:val="16"/>
                      <w:szCs w:val="16"/>
                      <w:lang w:val="es-CO" w:eastAsia="es-CO"/>
                    </w:rPr>
                  </w:pPr>
                </w:p>
              </w:tc>
            </w:tr>
            <w:tr w:rsidR="003C70E9" w:rsidRPr="00D14AD4" w:rsidTr="003C70E9">
              <w:trPr>
                <w:trHeight w:val="300"/>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4</w:t>
                  </w:r>
                </w:p>
              </w:tc>
              <w:tc>
                <w:tcPr>
                  <w:tcW w:w="3244" w:type="dxa"/>
                  <w:noWrap/>
                  <w:vAlign w:val="center"/>
                  <w:hideMark/>
                </w:tcPr>
                <w:p w:rsidR="00D14AD4" w:rsidRPr="00D14AD4" w:rsidRDefault="00D14AD4" w:rsidP="00D14AD4">
                  <w:pPr>
                    <w:spacing w:after="0"/>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Personal contratado Procesos Seguimiento y Control</w:t>
                  </w:r>
                </w:p>
              </w:tc>
              <w:tc>
                <w:tcPr>
                  <w:tcW w:w="1140"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6</w:t>
                  </w:r>
                </w:p>
              </w:tc>
              <w:tc>
                <w:tcPr>
                  <w:tcW w:w="113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6</w:t>
                  </w:r>
                </w:p>
              </w:tc>
              <w:tc>
                <w:tcPr>
                  <w:tcW w:w="198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0,00%</w:t>
                  </w:r>
                </w:p>
              </w:tc>
              <w:tc>
                <w:tcPr>
                  <w:tcW w:w="2404" w:type="dxa"/>
                  <w:vMerge/>
                  <w:vAlign w:val="center"/>
                  <w:hideMark/>
                </w:tcPr>
                <w:p w:rsidR="00D14AD4" w:rsidRPr="00D14AD4" w:rsidRDefault="00D14AD4" w:rsidP="00D14AD4">
                  <w:pPr>
                    <w:spacing w:after="0"/>
                    <w:rPr>
                      <w:rFonts w:ascii="Century Gothic" w:eastAsia="Times New Roman" w:hAnsi="Century Gothic"/>
                      <w:color w:val="000000"/>
                      <w:sz w:val="16"/>
                      <w:szCs w:val="16"/>
                      <w:lang w:val="es-CO" w:eastAsia="es-CO"/>
                    </w:rPr>
                  </w:pPr>
                </w:p>
              </w:tc>
            </w:tr>
            <w:tr w:rsidR="003C70E9" w:rsidRPr="00D14AD4" w:rsidTr="003C70E9">
              <w:trPr>
                <w:trHeight w:val="315"/>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 </w:t>
                  </w:r>
                </w:p>
              </w:tc>
              <w:tc>
                <w:tcPr>
                  <w:tcW w:w="3244" w:type="dxa"/>
                  <w:noWrap/>
                  <w:vAlign w:val="center"/>
                  <w:hideMark/>
                </w:tcPr>
                <w:p w:rsidR="00D14AD4" w:rsidRPr="00D14AD4" w:rsidRDefault="00D14AD4" w:rsidP="00D14AD4">
                  <w:pPr>
                    <w:spacing w:after="0"/>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Total de personal Contratado</w:t>
                  </w:r>
                </w:p>
              </w:tc>
              <w:tc>
                <w:tcPr>
                  <w:tcW w:w="1140" w:type="dxa"/>
                  <w:noWrap/>
                  <w:vAlign w:val="center"/>
                  <w:hideMark/>
                </w:tcPr>
                <w:p w:rsidR="00D14AD4" w:rsidRPr="00D14AD4" w:rsidRDefault="00D14AD4" w:rsidP="00D14AD4">
                  <w:pPr>
                    <w:spacing w:after="0"/>
                    <w:jc w:val="right"/>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1073</w:t>
                  </w:r>
                </w:p>
              </w:tc>
              <w:tc>
                <w:tcPr>
                  <w:tcW w:w="1134" w:type="dxa"/>
                  <w:noWrap/>
                  <w:vAlign w:val="center"/>
                  <w:hideMark/>
                </w:tcPr>
                <w:p w:rsidR="00D14AD4" w:rsidRPr="00D14AD4" w:rsidRDefault="00D14AD4" w:rsidP="00D14AD4">
                  <w:pPr>
                    <w:spacing w:after="0"/>
                    <w:jc w:val="right"/>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1257</w:t>
                  </w:r>
                </w:p>
              </w:tc>
              <w:tc>
                <w:tcPr>
                  <w:tcW w:w="1984" w:type="dxa"/>
                  <w:noWrap/>
                  <w:vAlign w:val="center"/>
                  <w:hideMark/>
                </w:tcPr>
                <w:p w:rsidR="00D14AD4" w:rsidRPr="00D14AD4" w:rsidRDefault="00D14AD4" w:rsidP="00D14AD4">
                  <w:pPr>
                    <w:spacing w:after="0"/>
                    <w:jc w:val="right"/>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17,15%</w:t>
                  </w:r>
                </w:p>
              </w:tc>
              <w:tc>
                <w:tcPr>
                  <w:tcW w:w="2404" w:type="dxa"/>
                  <w:vMerge/>
                  <w:vAlign w:val="center"/>
                  <w:hideMark/>
                </w:tcPr>
                <w:p w:rsidR="00D14AD4" w:rsidRPr="00D14AD4" w:rsidRDefault="00D14AD4" w:rsidP="00D14AD4">
                  <w:pPr>
                    <w:spacing w:after="0"/>
                    <w:rPr>
                      <w:rFonts w:ascii="Century Gothic" w:eastAsia="Times New Roman" w:hAnsi="Century Gothic"/>
                      <w:color w:val="000000"/>
                      <w:sz w:val="16"/>
                      <w:szCs w:val="16"/>
                      <w:lang w:val="es-CO" w:eastAsia="es-CO"/>
                    </w:rPr>
                  </w:pPr>
                </w:p>
              </w:tc>
            </w:tr>
          </w:tbl>
          <w:p w:rsidR="009572B0" w:rsidRPr="009572B0" w:rsidRDefault="009572B0" w:rsidP="009572B0">
            <w:pPr>
              <w:jc w:val="both"/>
              <w:rPr>
                <w:rFonts w:ascii="Century Gothic" w:hAnsi="Century Gothic"/>
                <w:b/>
                <w:sz w:val="20"/>
                <w:szCs w:val="20"/>
              </w:rPr>
            </w:pPr>
          </w:p>
          <w:p w:rsidR="009572B0" w:rsidRDefault="009572B0" w:rsidP="00F8093F">
            <w:pPr>
              <w:pStyle w:val="Prrafodelista"/>
              <w:ind w:left="0"/>
              <w:jc w:val="both"/>
              <w:rPr>
                <w:rFonts w:ascii="Century Gothic" w:hAnsi="Century Gothic"/>
                <w:sz w:val="20"/>
                <w:szCs w:val="20"/>
              </w:rPr>
            </w:pPr>
          </w:p>
          <w:p w:rsidR="00E23353" w:rsidRDefault="00E23353" w:rsidP="00F8093F">
            <w:pPr>
              <w:pStyle w:val="Prrafodelista"/>
              <w:ind w:left="0"/>
              <w:jc w:val="both"/>
              <w:rPr>
                <w:rFonts w:ascii="Century Gothic" w:hAnsi="Century Gothic"/>
                <w:sz w:val="20"/>
                <w:szCs w:val="20"/>
              </w:rPr>
            </w:pPr>
          </w:p>
          <w:tbl>
            <w:tblPr>
              <w:tblStyle w:val="Tablaconcuadrcula"/>
              <w:tblW w:w="10371" w:type="dxa"/>
              <w:tblLayout w:type="fixed"/>
              <w:tblLook w:val="04A0" w:firstRow="1" w:lastRow="0" w:firstColumn="1" w:lastColumn="0" w:noHBand="0" w:noVBand="1"/>
            </w:tblPr>
            <w:tblGrid>
              <w:gridCol w:w="465"/>
              <w:gridCol w:w="3108"/>
              <w:gridCol w:w="1276"/>
              <w:gridCol w:w="1134"/>
              <w:gridCol w:w="1984"/>
              <w:gridCol w:w="2404"/>
            </w:tblGrid>
            <w:tr w:rsidR="00D14AD4" w:rsidRPr="00D14AD4" w:rsidTr="003C70E9">
              <w:trPr>
                <w:trHeight w:val="390"/>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Nº</w:t>
                  </w:r>
                </w:p>
              </w:tc>
              <w:tc>
                <w:tcPr>
                  <w:tcW w:w="7502" w:type="dxa"/>
                  <w:gridSpan w:val="4"/>
                  <w:noWrap/>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Aspectos cuantitativos</w:t>
                  </w:r>
                </w:p>
              </w:tc>
              <w:tc>
                <w:tcPr>
                  <w:tcW w:w="2404" w:type="dxa"/>
                  <w:noWrap/>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Situaciones encontradas por la OCI</w:t>
                  </w:r>
                </w:p>
              </w:tc>
            </w:tr>
            <w:tr w:rsidR="00D14AD4" w:rsidRPr="003C70E9" w:rsidTr="003C70E9">
              <w:trPr>
                <w:trHeight w:val="765"/>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 </w:t>
                  </w:r>
                </w:p>
              </w:tc>
              <w:tc>
                <w:tcPr>
                  <w:tcW w:w="3108" w:type="dxa"/>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Concepto</w:t>
                  </w:r>
                </w:p>
              </w:tc>
              <w:tc>
                <w:tcPr>
                  <w:tcW w:w="1276" w:type="dxa"/>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Valor pagado entre Enero - Marzo de la vigencia 2015</w:t>
                  </w:r>
                </w:p>
              </w:tc>
              <w:tc>
                <w:tcPr>
                  <w:tcW w:w="1134" w:type="dxa"/>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Valor pagado entre Enero - Marzo de la vigencia 2016</w:t>
                  </w:r>
                </w:p>
              </w:tc>
              <w:tc>
                <w:tcPr>
                  <w:tcW w:w="1984" w:type="dxa"/>
                  <w:vAlign w:val="center"/>
                  <w:hideMark/>
                </w:tcPr>
                <w:p w:rsidR="00D14AD4" w:rsidRPr="00D14AD4" w:rsidRDefault="00D14AD4" w:rsidP="00D14AD4">
                  <w:pPr>
                    <w:spacing w:after="0"/>
                    <w:jc w:val="center"/>
                    <w:rPr>
                      <w:rFonts w:ascii="Century Gothic" w:eastAsia="Times New Roman" w:hAnsi="Century Gothic"/>
                      <w:b/>
                      <w:bCs/>
                      <w:color w:val="000000"/>
                      <w:sz w:val="16"/>
                      <w:szCs w:val="16"/>
                      <w:lang w:val="es-CO" w:eastAsia="es-CO"/>
                    </w:rPr>
                  </w:pPr>
                  <w:r w:rsidRPr="00D14AD4">
                    <w:rPr>
                      <w:rFonts w:ascii="Century Gothic" w:eastAsia="Times New Roman" w:hAnsi="Century Gothic"/>
                      <w:b/>
                      <w:bCs/>
                      <w:color w:val="000000"/>
                      <w:sz w:val="16"/>
                      <w:szCs w:val="16"/>
                      <w:lang w:val="es-CO" w:eastAsia="es-CO"/>
                    </w:rPr>
                    <w:t xml:space="preserve">% </w:t>
                  </w:r>
                  <w:r w:rsidRPr="003C70E9">
                    <w:rPr>
                      <w:rFonts w:ascii="Century Gothic" w:eastAsia="Times New Roman" w:hAnsi="Century Gothic"/>
                      <w:b/>
                      <w:bCs/>
                      <w:color w:val="000000"/>
                      <w:sz w:val="16"/>
                      <w:szCs w:val="16"/>
                      <w:lang w:val="es-CO" w:eastAsia="es-CO"/>
                    </w:rPr>
                    <w:t>Variación</w:t>
                  </w:r>
                  <w:r w:rsidRPr="00D14AD4">
                    <w:rPr>
                      <w:rFonts w:ascii="Century Gothic" w:eastAsia="Times New Roman" w:hAnsi="Century Gothic"/>
                      <w:b/>
                      <w:bCs/>
                      <w:color w:val="000000"/>
                      <w:sz w:val="16"/>
                      <w:szCs w:val="16"/>
                      <w:lang w:val="es-CO" w:eastAsia="es-CO"/>
                    </w:rPr>
                    <w:t xml:space="preserve"> del valor pagado entre Enero - Marzo de 2016 respecto al mismo periodo de la vigencia 2015</w:t>
                  </w:r>
                </w:p>
              </w:tc>
              <w:tc>
                <w:tcPr>
                  <w:tcW w:w="2404" w:type="dxa"/>
                  <w:vMerge w:val="restart"/>
                  <w:vAlign w:val="center"/>
                  <w:hideMark/>
                </w:tcPr>
                <w:p w:rsidR="00D14AD4" w:rsidRPr="00D14AD4" w:rsidRDefault="00D14AD4" w:rsidP="00967358">
                  <w:pPr>
                    <w:spacing w:after="0"/>
                    <w:jc w:val="both"/>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 xml:space="preserve">Aunque hubo un incremento en el número de contratos en 17,15%, el rubro de servicios profesionales indirectos presenta una variación negativa de </w:t>
                  </w:r>
                  <w:r w:rsidR="00560C49">
                    <w:rPr>
                      <w:rFonts w:ascii="Century Gothic" w:eastAsia="Times New Roman" w:hAnsi="Century Gothic"/>
                      <w:color w:val="000000"/>
                      <w:sz w:val="16"/>
                      <w:szCs w:val="16"/>
                      <w:lang w:val="es-CO" w:eastAsia="es-CO"/>
                    </w:rPr>
                    <w:t>22,99% respecto al año anterior</w:t>
                  </w:r>
                  <w:r w:rsidR="00967358">
                    <w:rPr>
                      <w:rFonts w:ascii="Century Gothic" w:eastAsia="Times New Roman" w:hAnsi="Century Gothic"/>
                      <w:color w:val="000000"/>
                      <w:sz w:val="16"/>
                      <w:szCs w:val="16"/>
                      <w:lang w:val="es-CO" w:eastAsia="es-CO"/>
                    </w:rPr>
                    <w:t>.</w:t>
                  </w:r>
                </w:p>
              </w:tc>
            </w:tr>
            <w:tr w:rsidR="00D14AD4" w:rsidRPr="003C70E9" w:rsidTr="003C70E9">
              <w:trPr>
                <w:trHeight w:val="495"/>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5</w:t>
                  </w:r>
                </w:p>
              </w:tc>
              <w:tc>
                <w:tcPr>
                  <w:tcW w:w="3108" w:type="dxa"/>
                  <w:vAlign w:val="center"/>
                  <w:hideMark/>
                </w:tcPr>
                <w:p w:rsidR="00D14AD4" w:rsidRPr="00D14AD4" w:rsidRDefault="00D14AD4" w:rsidP="00D14AD4">
                  <w:pPr>
                    <w:spacing w:after="0"/>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SERVICIOS PERSONALES INDIRECTOS (apoyo)</w:t>
                  </w:r>
                </w:p>
              </w:tc>
              <w:tc>
                <w:tcPr>
                  <w:tcW w:w="1276" w:type="dxa"/>
                  <w:noWrap/>
                  <w:vAlign w:val="center"/>
                  <w:hideMark/>
                </w:tcPr>
                <w:p w:rsidR="00D14AD4" w:rsidRPr="00D14AD4" w:rsidRDefault="003C70E9" w:rsidP="003C70E9">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 xml:space="preserve"> 5</w:t>
                  </w:r>
                  <w:r w:rsidR="00D14AD4" w:rsidRPr="00D14AD4">
                    <w:rPr>
                      <w:rFonts w:ascii="Century Gothic" w:eastAsia="Times New Roman" w:hAnsi="Century Gothic"/>
                      <w:color w:val="000000"/>
                      <w:sz w:val="14"/>
                      <w:szCs w:val="14"/>
                      <w:lang w:val="es-CO" w:eastAsia="es-CO"/>
                    </w:rPr>
                    <w:t xml:space="preserve">.702.917.109 </w:t>
                  </w:r>
                </w:p>
              </w:tc>
              <w:tc>
                <w:tcPr>
                  <w:tcW w:w="1134" w:type="dxa"/>
                  <w:noWrap/>
                  <w:vAlign w:val="center"/>
                  <w:hideMark/>
                </w:tcPr>
                <w:p w:rsidR="00D14AD4" w:rsidRPr="00D14AD4" w:rsidRDefault="00D14AD4" w:rsidP="003C70E9">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 xml:space="preserve">4.392.023.686 </w:t>
                  </w:r>
                </w:p>
              </w:tc>
              <w:tc>
                <w:tcPr>
                  <w:tcW w:w="198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-22,99%</w:t>
                  </w:r>
                </w:p>
              </w:tc>
              <w:tc>
                <w:tcPr>
                  <w:tcW w:w="2404" w:type="dxa"/>
                  <w:vMerge/>
                  <w:vAlign w:val="center"/>
                  <w:hideMark/>
                </w:tcPr>
                <w:p w:rsidR="00D14AD4" w:rsidRPr="00D14AD4" w:rsidRDefault="00D14AD4" w:rsidP="00D14AD4">
                  <w:pPr>
                    <w:spacing w:after="0"/>
                    <w:rPr>
                      <w:rFonts w:ascii="Century Gothic" w:eastAsia="Times New Roman" w:hAnsi="Century Gothic"/>
                      <w:color w:val="000000"/>
                      <w:sz w:val="16"/>
                      <w:szCs w:val="16"/>
                      <w:lang w:val="es-CO" w:eastAsia="es-CO"/>
                    </w:rPr>
                  </w:pPr>
                </w:p>
              </w:tc>
            </w:tr>
            <w:tr w:rsidR="003C70E9" w:rsidRPr="003C70E9" w:rsidTr="003C70E9">
              <w:trPr>
                <w:trHeight w:val="390"/>
              </w:trPr>
              <w:tc>
                <w:tcPr>
                  <w:tcW w:w="465" w:type="dxa"/>
                  <w:noWrap/>
                  <w:vAlign w:val="center"/>
                  <w:hideMark/>
                </w:tcPr>
                <w:p w:rsidR="00D14AD4" w:rsidRPr="00D14AD4" w:rsidRDefault="00D14AD4" w:rsidP="00D14AD4">
                  <w:pPr>
                    <w:spacing w:after="0"/>
                    <w:jc w:val="center"/>
                    <w:rPr>
                      <w:rFonts w:ascii="Century Gothic" w:eastAsia="Times New Roman" w:hAnsi="Century Gothic"/>
                      <w:color w:val="000000"/>
                      <w:sz w:val="16"/>
                      <w:szCs w:val="16"/>
                      <w:lang w:val="es-CO" w:eastAsia="es-CO"/>
                    </w:rPr>
                  </w:pPr>
                  <w:r w:rsidRPr="00D14AD4">
                    <w:rPr>
                      <w:rFonts w:ascii="Century Gothic" w:eastAsia="Times New Roman" w:hAnsi="Century Gothic"/>
                      <w:color w:val="000000"/>
                      <w:sz w:val="16"/>
                      <w:szCs w:val="16"/>
                      <w:lang w:val="es-CO" w:eastAsia="es-CO"/>
                    </w:rPr>
                    <w:t> </w:t>
                  </w:r>
                </w:p>
              </w:tc>
              <w:tc>
                <w:tcPr>
                  <w:tcW w:w="3108" w:type="dxa"/>
                  <w:noWrap/>
                  <w:vAlign w:val="center"/>
                  <w:hideMark/>
                </w:tcPr>
                <w:p w:rsidR="00D14AD4" w:rsidRPr="00D14AD4" w:rsidRDefault="00D14AD4" w:rsidP="00D14AD4">
                  <w:pPr>
                    <w:spacing w:after="0"/>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TOTALES $</w:t>
                  </w:r>
                </w:p>
              </w:tc>
              <w:tc>
                <w:tcPr>
                  <w:tcW w:w="1276" w:type="dxa"/>
                  <w:noWrap/>
                  <w:vAlign w:val="center"/>
                  <w:hideMark/>
                </w:tcPr>
                <w:p w:rsidR="00D14AD4" w:rsidRPr="00D14AD4" w:rsidRDefault="00D14AD4" w:rsidP="003C70E9">
                  <w:pPr>
                    <w:spacing w:after="0"/>
                    <w:jc w:val="right"/>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 xml:space="preserve">5.702.917.109 </w:t>
                  </w:r>
                </w:p>
              </w:tc>
              <w:tc>
                <w:tcPr>
                  <w:tcW w:w="1134" w:type="dxa"/>
                  <w:noWrap/>
                  <w:vAlign w:val="center"/>
                  <w:hideMark/>
                </w:tcPr>
                <w:p w:rsidR="00D14AD4" w:rsidRPr="00D14AD4" w:rsidRDefault="00D14AD4" w:rsidP="003C70E9">
                  <w:pPr>
                    <w:spacing w:after="0"/>
                    <w:jc w:val="right"/>
                    <w:rPr>
                      <w:rFonts w:ascii="Century Gothic" w:eastAsia="Times New Roman" w:hAnsi="Century Gothic"/>
                      <w:b/>
                      <w:bCs/>
                      <w:color w:val="000000"/>
                      <w:sz w:val="14"/>
                      <w:szCs w:val="14"/>
                      <w:lang w:val="es-CO" w:eastAsia="es-CO"/>
                    </w:rPr>
                  </w:pPr>
                  <w:r w:rsidRPr="00D14AD4">
                    <w:rPr>
                      <w:rFonts w:ascii="Century Gothic" w:eastAsia="Times New Roman" w:hAnsi="Century Gothic"/>
                      <w:b/>
                      <w:bCs/>
                      <w:color w:val="000000"/>
                      <w:sz w:val="14"/>
                      <w:szCs w:val="14"/>
                      <w:lang w:val="es-CO" w:eastAsia="es-CO"/>
                    </w:rPr>
                    <w:t xml:space="preserve">4.392.023.686 </w:t>
                  </w:r>
                </w:p>
              </w:tc>
              <w:tc>
                <w:tcPr>
                  <w:tcW w:w="1984" w:type="dxa"/>
                  <w:noWrap/>
                  <w:vAlign w:val="center"/>
                  <w:hideMark/>
                </w:tcPr>
                <w:p w:rsidR="00D14AD4" w:rsidRPr="00D14AD4" w:rsidRDefault="00D14AD4" w:rsidP="00D14AD4">
                  <w:pPr>
                    <w:spacing w:after="0"/>
                    <w:jc w:val="right"/>
                    <w:rPr>
                      <w:rFonts w:ascii="Century Gothic" w:eastAsia="Times New Roman" w:hAnsi="Century Gothic"/>
                      <w:color w:val="000000"/>
                      <w:sz w:val="14"/>
                      <w:szCs w:val="14"/>
                      <w:lang w:val="es-CO" w:eastAsia="es-CO"/>
                    </w:rPr>
                  </w:pPr>
                  <w:r w:rsidRPr="00D14AD4">
                    <w:rPr>
                      <w:rFonts w:ascii="Century Gothic" w:eastAsia="Times New Roman" w:hAnsi="Century Gothic"/>
                      <w:color w:val="000000"/>
                      <w:sz w:val="14"/>
                      <w:szCs w:val="14"/>
                      <w:lang w:val="es-CO" w:eastAsia="es-CO"/>
                    </w:rPr>
                    <w:t>-22,99%</w:t>
                  </w:r>
                </w:p>
              </w:tc>
              <w:tc>
                <w:tcPr>
                  <w:tcW w:w="2404" w:type="dxa"/>
                  <w:vMerge/>
                  <w:vAlign w:val="center"/>
                  <w:hideMark/>
                </w:tcPr>
                <w:p w:rsidR="00D14AD4" w:rsidRPr="00D14AD4" w:rsidRDefault="00D14AD4" w:rsidP="00D14AD4">
                  <w:pPr>
                    <w:spacing w:after="0"/>
                    <w:rPr>
                      <w:rFonts w:ascii="Century Gothic" w:eastAsia="Times New Roman" w:hAnsi="Century Gothic"/>
                      <w:color w:val="000000"/>
                      <w:sz w:val="16"/>
                      <w:szCs w:val="16"/>
                      <w:lang w:val="es-CO" w:eastAsia="es-CO"/>
                    </w:rPr>
                  </w:pPr>
                </w:p>
              </w:tc>
            </w:tr>
          </w:tbl>
          <w:p w:rsidR="00D14AD4" w:rsidRDefault="00D14AD4" w:rsidP="00F8093F">
            <w:pPr>
              <w:pStyle w:val="Prrafodelista"/>
              <w:ind w:left="0"/>
              <w:jc w:val="both"/>
              <w:rPr>
                <w:rFonts w:ascii="Century Gothic" w:hAnsi="Century Gothic"/>
                <w:sz w:val="20"/>
                <w:szCs w:val="20"/>
              </w:rPr>
            </w:pPr>
          </w:p>
          <w:p w:rsidR="00D14AD4" w:rsidRDefault="00D14AD4" w:rsidP="00F8093F">
            <w:pPr>
              <w:pStyle w:val="Prrafodelista"/>
              <w:ind w:left="0"/>
              <w:jc w:val="both"/>
              <w:rPr>
                <w:rFonts w:ascii="Century Gothic" w:hAnsi="Century Gothic"/>
                <w:sz w:val="20"/>
                <w:szCs w:val="20"/>
              </w:rPr>
            </w:pPr>
          </w:p>
          <w:p w:rsidR="00890624" w:rsidRDefault="00890624" w:rsidP="00F8093F">
            <w:pPr>
              <w:pStyle w:val="Prrafodelista"/>
              <w:ind w:left="0"/>
              <w:jc w:val="both"/>
              <w:rPr>
                <w:rFonts w:ascii="Century Gothic" w:hAnsi="Century Gothic"/>
                <w:sz w:val="20"/>
                <w:szCs w:val="20"/>
              </w:rPr>
            </w:pPr>
          </w:p>
          <w:p w:rsidR="00890624" w:rsidRDefault="00890624" w:rsidP="00F8093F">
            <w:pPr>
              <w:pStyle w:val="Prrafodelista"/>
              <w:ind w:left="0"/>
              <w:jc w:val="both"/>
              <w:rPr>
                <w:rFonts w:ascii="Century Gothic" w:hAnsi="Century Gothic"/>
                <w:sz w:val="20"/>
                <w:szCs w:val="20"/>
              </w:rPr>
            </w:pPr>
          </w:p>
          <w:p w:rsidR="00890624" w:rsidRDefault="00890624" w:rsidP="00F8093F">
            <w:pPr>
              <w:pStyle w:val="Prrafodelista"/>
              <w:ind w:left="0"/>
              <w:jc w:val="both"/>
              <w:rPr>
                <w:rFonts w:ascii="Century Gothic" w:hAnsi="Century Gothic"/>
                <w:sz w:val="20"/>
                <w:szCs w:val="20"/>
              </w:rPr>
            </w:pPr>
          </w:p>
          <w:p w:rsidR="00967358" w:rsidRDefault="00967358" w:rsidP="00F8093F">
            <w:pPr>
              <w:pStyle w:val="Prrafodelista"/>
              <w:ind w:left="0"/>
              <w:jc w:val="both"/>
              <w:rPr>
                <w:rFonts w:ascii="Century Gothic" w:hAnsi="Century Gothic"/>
                <w:sz w:val="20"/>
                <w:szCs w:val="20"/>
              </w:rPr>
            </w:pPr>
          </w:p>
          <w:p w:rsidR="00890624" w:rsidRDefault="00890624" w:rsidP="00F8093F">
            <w:pPr>
              <w:pStyle w:val="Prrafodelista"/>
              <w:ind w:left="0"/>
              <w:jc w:val="both"/>
              <w:rPr>
                <w:rFonts w:ascii="Century Gothic" w:hAnsi="Century Gothic"/>
                <w:sz w:val="20"/>
                <w:szCs w:val="20"/>
              </w:rPr>
            </w:pPr>
          </w:p>
          <w:p w:rsidR="00890624" w:rsidRDefault="00890624" w:rsidP="00F8093F">
            <w:pPr>
              <w:pStyle w:val="Prrafodelista"/>
              <w:ind w:left="0"/>
              <w:jc w:val="both"/>
              <w:rPr>
                <w:rFonts w:ascii="Century Gothic" w:hAnsi="Century Gothic"/>
                <w:sz w:val="20"/>
                <w:szCs w:val="20"/>
              </w:rPr>
            </w:pPr>
          </w:p>
          <w:p w:rsidR="00E23353" w:rsidRPr="00F577A0" w:rsidRDefault="00E23353" w:rsidP="00F8093F">
            <w:pPr>
              <w:pStyle w:val="Prrafodelista"/>
              <w:ind w:left="0"/>
              <w:jc w:val="both"/>
              <w:rPr>
                <w:rFonts w:ascii="Century Gothic" w:hAnsi="Century Gothic"/>
                <w:sz w:val="20"/>
                <w:szCs w:val="20"/>
              </w:rPr>
            </w:pPr>
          </w:p>
          <w:p w:rsidR="00F8093F" w:rsidRPr="00FC23F7" w:rsidRDefault="00F8093F" w:rsidP="009572B0">
            <w:pPr>
              <w:pStyle w:val="Prrafodelista"/>
              <w:numPr>
                <w:ilvl w:val="2"/>
                <w:numId w:val="28"/>
              </w:numPr>
              <w:spacing w:after="0"/>
              <w:jc w:val="both"/>
              <w:rPr>
                <w:rFonts w:ascii="Century Gothic" w:hAnsi="Century Gothic"/>
                <w:b/>
                <w:sz w:val="20"/>
                <w:szCs w:val="20"/>
              </w:rPr>
            </w:pPr>
            <w:r w:rsidRPr="00FC23F7">
              <w:rPr>
                <w:rFonts w:ascii="Century Gothic" w:hAnsi="Century Gothic"/>
                <w:b/>
                <w:sz w:val="20"/>
                <w:szCs w:val="20"/>
              </w:rPr>
              <w:lastRenderedPageBreak/>
              <w:t>Relación personal de planta vs personal contratado</w:t>
            </w:r>
          </w:p>
          <w:p w:rsidR="00F8093F" w:rsidRPr="00F577A0" w:rsidRDefault="00F8093F" w:rsidP="00F8093F">
            <w:pPr>
              <w:spacing w:after="0"/>
              <w:jc w:val="both"/>
              <w:rPr>
                <w:rFonts w:ascii="Century Gothic" w:hAnsi="Century Gothic"/>
                <w:b/>
                <w:sz w:val="20"/>
                <w:szCs w:val="20"/>
              </w:rPr>
            </w:pPr>
          </w:p>
          <w:p w:rsidR="00F8093F" w:rsidRPr="00F577A0" w:rsidRDefault="00F8093F" w:rsidP="00F8093F">
            <w:pPr>
              <w:spacing w:after="0"/>
              <w:jc w:val="both"/>
              <w:rPr>
                <w:rFonts w:ascii="Century Gothic" w:hAnsi="Century Gothic"/>
                <w:b/>
                <w:sz w:val="20"/>
                <w:szCs w:val="20"/>
              </w:rPr>
            </w:pPr>
          </w:p>
          <w:tbl>
            <w:tblPr>
              <w:tblStyle w:val="Tablaconcuadrcula"/>
              <w:tblW w:w="0" w:type="auto"/>
              <w:tblLayout w:type="fixed"/>
              <w:tblLook w:val="04A0" w:firstRow="1" w:lastRow="0" w:firstColumn="1" w:lastColumn="0" w:noHBand="0" w:noVBand="1"/>
            </w:tblPr>
            <w:tblGrid>
              <w:gridCol w:w="448"/>
              <w:gridCol w:w="2835"/>
              <w:gridCol w:w="1134"/>
              <w:gridCol w:w="1134"/>
              <w:gridCol w:w="1985"/>
              <w:gridCol w:w="2693"/>
            </w:tblGrid>
            <w:tr w:rsidR="00890624" w:rsidRPr="00890624" w:rsidTr="00890624">
              <w:trPr>
                <w:trHeight w:val="360"/>
              </w:trPr>
              <w:tc>
                <w:tcPr>
                  <w:tcW w:w="448" w:type="dxa"/>
                  <w:vMerge w:val="restart"/>
                  <w:noWrap/>
                  <w:vAlign w:val="center"/>
                  <w:hideMark/>
                </w:tcPr>
                <w:p w:rsidR="00890624" w:rsidRPr="00890624" w:rsidRDefault="00890624" w:rsidP="00890624">
                  <w:pPr>
                    <w:spacing w:after="0"/>
                    <w:jc w:val="center"/>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Nº</w:t>
                  </w:r>
                </w:p>
              </w:tc>
              <w:tc>
                <w:tcPr>
                  <w:tcW w:w="7088" w:type="dxa"/>
                  <w:gridSpan w:val="4"/>
                  <w:noWrap/>
                  <w:vAlign w:val="center"/>
                  <w:hideMark/>
                </w:tcPr>
                <w:p w:rsidR="00890624" w:rsidRPr="00890624" w:rsidRDefault="00890624" w:rsidP="00890624">
                  <w:pPr>
                    <w:spacing w:after="0"/>
                    <w:jc w:val="center"/>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Aspectos cuantitativos</w:t>
                  </w:r>
                </w:p>
              </w:tc>
              <w:tc>
                <w:tcPr>
                  <w:tcW w:w="2693" w:type="dxa"/>
                  <w:vAlign w:val="center"/>
                  <w:hideMark/>
                </w:tcPr>
                <w:p w:rsidR="00890624" w:rsidRPr="00890624" w:rsidRDefault="00890624" w:rsidP="00890624">
                  <w:pPr>
                    <w:spacing w:after="0"/>
                    <w:jc w:val="center"/>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Situaciones encontradas por la OCI</w:t>
                  </w:r>
                </w:p>
              </w:tc>
            </w:tr>
            <w:tr w:rsidR="00890624" w:rsidRPr="00890624" w:rsidTr="00890624">
              <w:trPr>
                <w:trHeight w:val="1077"/>
              </w:trPr>
              <w:tc>
                <w:tcPr>
                  <w:tcW w:w="448" w:type="dxa"/>
                  <w:vMerge/>
                  <w:vAlign w:val="center"/>
                  <w:hideMark/>
                </w:tcPr>
                <w:p w:rsidR="00890624" w:rsidRPr="00890624" w:rsidRDefault="00890624" w:rsidP="00890624">
                  <w:pPr>
                    <w:spacing w:after="0"/>
                    <w:rPr>
                      <w:rFonts w:ascii="Century Gothic" w:eastAsia="Times New Roman" w:hAnsi="Century Gothic"/>
                      <w:b/>
                      <w:bCs/>
                      <w:color w:val="000000"/>
                      <w:sz w:val="14"/>
                      <w:szCs w:val="14"/>
                      <w:lang w:val="es-CO" w:eastAsia="es-CO"/>
                    </w:rPr>
                  </w:pPr>
                </w:p>
              </w:tc>
              <w:tc>
                <w:tcPr>
                  <w:tcW w:w="2835" w:type="dxa"/>
                  <w:vAlign w:val="center"/>
                  <w:hideMark/>
                </w:tcPr>
                <w:p w:rsidR="00890624" w:rsidRPr="00890624" w:rsidRDefault="00890624" w:rsidP="00890624">
                  <w:pPr>
                    <w:spacing w:after="0"/>
                    <w:jc w:val="center"/>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Concepto</w:t>
                  </w:r>
                </w:p>
              </w:tc>
              <w:tc>
                <w:tcPr>
                  <w:tcW w:w="1134" w:type="dxa"/>
                  <w:vAlign w:val="center"/>
                  <w:hideMark/>
                </w:tcPr>
                <w:p w:rsidR="00890624" w:rsidRPr="00890624" w:rsidRDefault="00890624" w:rsidP="00890624">
                  <w:pPr>
                    <w:spacing w:after="0"/>
                    <w:jc w:val="center"/>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Cantidad entre Enero - Marzo de la vigencia 2015</w:t>
                  </w:r>
                </w:p>
              </w:tc>
              <w:tc>
                <w:tcPr>
                  <w:tcW w:w="1134" w:type="dxa"/>
                  <w:vAlign w:val="center"/>
                  <w:hideMark/>
                </w:tcPr>
                <w:p w:rsidR="00890624" w:rsidRPr="00890624" w:rsidRDefault="00890624" w:rsidP="00890624">
                  <w:pPr>
                    <w:spacing w:after="0"/>
                    <w:jc w:val="center"/>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Cantidad entre Enero - Marzo de la vigencia 2016</w:t>
                  </w:r>
                </w:p>
              </w:tc>
              <w:tc>
                <w:tcPr>
                  <w:tcW w:w="1985" w:type="dxa"/>
                  <w:vAlign w:val="center"/>
                  <w:hideMark/>
                </w:tcPr>
                <w:p w:rsidR="00890624" w:rsidRPr="00890624" w:rsidRDefault="00890624" w:rsidP="00890624">
                  <w:pPr>
                    <w:spacing w:after="0"/>
                    <w:jc w:val="center"/>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 Variación de cantidad entre Enero - Marzo de la vigencia 2016 respecto al mismo periodo de la vigencia 2015</w:t>
                  </w:r>
                </w:p>
              </w:tc>
              <w:tc>
                <w:tcPr>
                  <w:tcW w:w="2693" w:type="dxa"/>
                  <w:vMerge w:val="restart"/>
                  <w:vAlign w:val="center"/>
                  <w:hideMark/>
                </w:tcPr>
                <w:p w:rsidR="00890624" w:rsidRPr="00890624" w:rsidRDefault="00890624" w:rsidP="00890624">
                  <w:pPr>
                    <w:spacing w:after="0"/>
                    <w:jc w:val="both"/>
                    <w:rPr>
                      <w:rFonts w:ascii="Century Gothic" w:eastAsia="Times New Roman" w:hAnsi="Century Gothic"/>
                      <w:color w:val="000000"/>
                      <w:sz w:val="14"/>
                      <w:szCs w:val="14"/>
                      <w:lang w:val="es-CO" w:eastAsia="es-CO"/>
                    </w:rPr>
                  </w:pPr>
                  <w:r w:rsidRPr="00890624">
                    <w:rPr>
                      <w:rFonts w:ascii="Century Gothic" w:eastAsia="Times New Roman" w:hAnsi="Century Gothic"/>
                      <w:color w:val="000000"/>
                      <w:sz w:val="14"/>
                      <w:szCs w:val="14"/>
                      <w:lang w:val="es-CO" w:eastAsia="es-CO"/>
                    </w:rPr>
                    <w:t>Se evidencia que la cantidad de contratistas de las áreas estratégicas, misionales y de apoyo es superior al personal de planta para la vigencia 2015 en 32,14% y para la vigencia 2016 el personal contratado es mayor en un 55,38%.</w:t>
                  </w:r>
                  <w:r w:rsidRPr="00890624">
                    <w:rPr>
                      <w:rFonts w:ascii="Century Gothic" w:eastAsia="Times New Roman" w:hAnsi="Century Gothic"/>
                      <w:color w:val="000000"/>
                      <w:sz w:val="14"/>
                      <w:szCs w:val="14"/>
                      <w:lang w:val="es-CO" w:eastAsia="es-CO"/>
                    </w:rPr>
                    <w:br/>
                    <w:t>Respecto a</w:t>
                  </w:r>
                  <w:r>
                    <w:rPr>
                      <w:rFonts w:ascii="Century Gothic" w:eastAsia="Times New Roman" w:hAnsi="Century Gothic"/>
                      <w:color w:val="000000"/>
                      <w:sz w:val="14"/>
                      <w:szCs w:val="14"/>
                      <w:lang w:val="es-CO" w:eastAsia="es-CO"/>
                    </w:rPr>
                    <w:t>l año anterior se observa</w:t>
                  </w:r>
                  <w:r w:rsidRPr="00890624">
                    <w:rPr>
                      <w:rFonts w:ascii="Century Gothic" w:eastAsia="Times New Roman" w:hAnsi="Century Gothic"/>
                      <w:color w:val="000000"/>
                      <w:sz w:val="14"/>
                      <w:szCs w:val="14"/>
                      <w:lang w:val="es-CO" w:eastAsia="es-CO"/>
                    </w:rPr>
                    <w:t xml:space="preserve"> que el personal contratado se incrementa en 17,15% y el personal de planta disminuye en 0,37%</w:t>
                  </w:r>
                </w:p>
              </w:tc>
            </w:tr>
            <w:tr w:rsidR="00890624" w:rsidRPr="00890624" w:rsidTr="00890624">
              <w:trPr>
                <w:trHeight w:val="300"/>
              </w:trPr>
              <w:tc>
                <w:tcPr>
                  <w:tcW w:w="448" w:type="dxa"/>
                  <w:vAlign w:val="center"/>
                  <w:hideMark/>
                </w:tcPr>
                <w:p w:rsidR="00890624" w:rsidRPr="00890624" w:rsidRDefault="00890624" w:rsidP="00890624">
                  <w:pPr>
                    <w:spacing w:after="0"/>
                    <w:jc w:val="center"/>
                    <w:rPr>
                      <w:rFonts w:ascii="Century Gothic" w:eastAsia="Times New Roman" w:hAnsi="Century Gothic"/>
                      <w:color w:val="000000"/>
                      <w:sz w:val="14"/>
                      <w:szCs w:val="14"/>
                      <w:lang w:val="es-CO" w:eastAsia="es-CO"/>
                    </w:rPr>
                  </w:pPr>
                  <w:r w:rsidRPr="00890624">
                    <w:rPr>
                      <w:rFonts w:ascii="Century Gothic" w:eastAsia="Times New Roman" w:hAnsi="Century Gothic"/>
                      <w:color w:val="000000"/>
                      <w:sz w:val="14"/>
                      <w:szCs w:val="14"/>
                      <w:lang w:val="es-CO" w:eastAsia="es-CO"/>
                    </w:rPr>
                    <w:t>6</w:t>
                  </w:r>
                </w:p>
              </w:tc>
              <w:tc>
                <w:tcPr>
                  <w:tcW w:w="2835" w:type="dxa"/>
                  <w:vAlign w:val="center"/>
                  <w:hideMark/>
                </w:tcPr>
                <w:p w:rsidR="00890624" w:rsidRPr="00890624" w:rsidRDefault="00890624" w:rsidP="00890624">
                  <w:pPr>
                    <w:spacing w:after="0"/>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Total de personal contratado</w:t>
                  </w:r>
                </w:p>
              </w:tc>
              <w:tc>
                <w:tcPr>
                  <w:tcW w:w="1134" w:type="dxa"/>
                  <w:noWrap/>
                  <w:vAlign w:val="center"/>
                  <w:hideMark/>
                </w:tcPr>
                <w:p w:rsidR="00890624" w:rsidRPr="00890624" w:rsidRDefault="00890624" w:rsidP="00890624">
                  <w:pPr>
                    <w:spacing w:after="0"/>
                    <w:jc w:val="right"/>
                    <w:rPr>
                      <w:rFonts w:ascii="Century Gothic" w:eastAsia="Times New Roman" w:hAnsi="Century Gothic"/>
                      <w:color w:val="000000"/>
                      <w:sz w:val="14"/>
                      <w:szCs w:val="14"/>
                      <w:lang w:val="es-CO" w:eastAsia="es-CO"/>
                    </w:rPr>
                  </w:pPr>
                  <w:r w:rsidRPr="00890624">
                    <w:rPr>
                      <w:rFonts w:ascii="Century Gothic" w:eastAsia="Times New Roman" w:hAnsi="Century Gothic"/>
                      <w:color w:val="000000"/>
                      <w:sz w:val="14"/>
                      <w:szCs w:val="14"/>
                      <w:lang w:val="es-CO" w:eastAsia="es-CO"/>
                    </w:rPr>
                    <w:t>1073</w:t>
                  </w:r>
                </w:p>
              </w:tc>
              <w:tc>
                <w:tcPr>
                  <w:tcW w:w="1134" w:type="dxa"/>
                  <w:noWrap/>
                  <w:vAlign w:val="center"/>
                  <w:hideMark/>
                </w:tcPr>
                <w:p w:rsidR="00890624" w:rsidRPr="00890624" w:rsidRDefault="00890624" w:rsidP="00890624">
                  <w:pPr>
                    <w:spacing w:after="0"/>
                    <w:jc w:val="right"/>
                    <w:rPr>
                      <w:rFonts w:ascii="Century Gothic" w:eastAsia="Times New Roman" w:hAnsi="Century Gothic"/>
                      <w:color w:val="000000"/>
                      <w:sz w:val="14"/>
                      <w:szCs w:val="14"/>
                      <w:lang w:val="es-CO" w:eastAsia="es-CO"/>
                    </w:rPr>
                  </w:pPr>
                  <w:r w:rsidRPr="00890624">
                    <w:rPr>
                      <w:rFonts w:ascii="Century Gothic" w:eastAsia="Times New Roman" w:hAnsi="Century Gothic"/>
                      <w:color w:val="000000"/>
                      <w:sz w:val="14"/>
                      <w:szCs w:val="14"/>
                      <w:lang w:val="es-CO" w:eastAsia="es-CO"/>
                    </w:rPr>
                    <w:t>1257</w:t>
                  </w:r>
                </w:p>
              </w:tc>
              <w:tc>
                <w:tcPr>
                  <w:tcW w:w="1985" w:type="dxa"/>
                  <w:vAlign w:val="center"/>
                  <w:hideMark/>
                </w:tcPr>
                <w:p w:rsidR="00890624" w:rsidRPr="00890624" w:rsidRDefault="00890624" w:rsidP="00890624">
                  <w:pPr>
                    <w:spacing w:after="0"/>
                    <w:jc w:val="right"/>
                    <w:rPr>
                      <w:rFonts w:ascii="Century Gothic" w:eastAsia="Times New Roman" w:hAnsi="Century Gothic"/>
                      <w:color w:val="000000"/>
                      <w:sz w:val="14"/>
                      <w:szCs w:val="14"/>
                      <w:lang w:val="es-CO" w:eastAsia="es-CO"/>
                    </w:rPr>
                  </w:pPr>
                  <w:r w:rsidRPr="00890624">
                    <w:rPr>
                      <w:rFonts w:ascii="Century Gothic" w:eastAsia="Times New Roman" w:hAnsi="Century Gothic"/>
                      <w:color w:val="000000"/>
                      <w:sz w:val="14"/>
                      <w:szCs w:val="14"/>
                      <w:lang w:val="es-CO" w:eastAsia="es-CO"/>
                    </w:rPr>
                    <w:t>17,15%</w:t>
                  </w:r>
                </w:p>
              </w:tc>
              <w:tc>
                <w:tcPr>
                  <w:tcW w:w="2693" w:type="dxa"/>
                  <w:vMerge/>
                  <w:vAlign w:val="center"/>
                  <w:hideMark/>
                </w:tcPr>
                <w:p w:rsidR="00890624" w:rsidRPr="00890624" w:rsidRDefault="00890624" w:rsidP="00890624">
                  <w:pPr>
                    <w:spacing w:after="0"/>
                    <w:rPr>
                      <w:rFonts w:ascii="Century Gothic" w:eastAsia="Times New Roman" w:hAnsi="Century Gothic"/>
                      <w:color w:val="000000"/>
                      <w:sz w:val="14"/>
                      <w:szCs w:val="14"/>
                      <w:lang w:val="es-CO" w:eastAsia="es-CO"/>
                    </w:rPr>
                  </w:pPr>
                </w:p>
              </w:tc>
            </w:tr>
            <w:tr w:rsidR="00890624" w:rsidRPr="00890624" w:rsidTr="00890624">
              <w:trPr>
                <w:trHeight w:val="360"/>
              </w:trPr>
              <w:tc>
                <w:tcPr>
                  <w:tcW w:w="448" w:type="dxa"/>
                  <w:vAlign w:val="center"/>
                  <w:hideMark/>
                </w:tcPr>
                <w:p w:rsidR="00890624" w:rsidRPr="00890624" w:rsidRDefault="00890624" w:rsidP="00890624">
                  <w:pPr>
                    <w:spacing w:after="0"/>
                    <w:jc w:val="center"/>
                    <w:rPr>
                      <w:rFonts w:ascii="Century Gothic" w:eastAsia="Times New Roman" w:hAnsi="Century Gothic"/>
                      <w:color w:val="000000"/>
                      <w:sz w:val="14"/>
                      <w:szCs w:val="14"/>
                      <w:lang w:val="es-CO" w:eastAsia="es-CO"/>
                    </w:rPr>
                  </w:pPr>
                  <w:r w:rsidRPr="00890624">
                    <w:rPr>
                      <w:rFonts w:ascii="Century Gothic" w:eastAsia="Times New Roman" w:hAnsi="Century Gothic"/>
                      <w:color w:val="000000"/>
                      <w:sz w:val="14"/>
                      <w:szCs w:val="14"/>
                      <w:lang w:val="es-CO" w:eastAsia="es-CO"/>
                    </w:rPr>
                    <w:t>7</w:t>
                  </w:r>
                </w:p>
              </w:tc>
              <w:tc>
                <w:tcPr>
                  <w:tcW w:w="2835" w:type="dxa"/>
                  <w:vAlign w:val="center"/>
                  <w:hideMark/>
                </w:tcPr>
                <w:p w:rsidR="00890624" w:rsidRPr="00890624" w:rsidRDefault="00890624" w:rsidP="00890624">
                  <w:pPr>
                    <w:spacing w:after="0"/>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Total personal vinculado de planta</w:t>
                  </w:r>
                </w:p>
              </w:tc>
              <w:tc>
                <w:tcPr>
                  <w:tcW w:w="1134" w:type="dxa"/>
                  <w:noWrap/>
                  <w:vAlign w:val="center"/>
                  <w:hideMark/>
                </w:tcPr>
                <w:p w:rsidR="00890624" w:rsidRPr="00890624" w:rsidRDefault="00890624" w:rsidP="00890624">
                  <w:pPr>
                    <w:spacing w:after="0"/>
                    <w:jc w:val="right"/>
                    <w:rPr>
                      <w:rFonts w:ascii="Century Gothic" w:eastAsia="Times New Roman" w:hAnsi="Century Gothic"/>
                      <w:color w:val="000000"/>
                      <w:sz w:val="14"/>
                      <w:szCs w:val="14"/>
                      <w:lang w:val="es-CO" w:eastAsia="es-CO"/>
                    </w:rPr>
                  </w:pPr>
                  <w:r w:rsidRPr="00890624">
                    <w:rPr>
                      <w:rFonts w:ascii="Century Gothic" w:eastAsia="Times New Roman" w:hAnsi="Century Gothic"/>
                      <w:color w:val="000000"/>
                      <w:sz w:val="14"/>
                      <w:szCs w:val="14"/>
                      <w:lang w:val="es-CO" w:eastAsia="es-CO"/>
                    </w:rPr>
                    <w:t>812</w:t>
                  </w:r>
                </w:p>
              </w:tc>
              <w:tc>
                <w:tcPr>
                  <w:tcW w:w="1134" w:type="dxa"/>
                  <w:noWrap/>
                  <w:vAlign w:val="center"/>
                  <w:hideMark/>
                </w:tcPr>
                <w:p w:rsidR="00890624" w:rsidRPr="00890624" w:rsidRDefault="00890624" w:rsidP="00890624">
                  <w:pPr>
                    <w:spacing w:after="0"/>
                    <w:jc w:val="right"/>
                    <w:rPr>
                      <w:rFonts w:ascii="Century Gothic" w:eastAsia="Times New Roman" w:hAnsi="Century Gothic"/>
                      <w:color w:val="000000"/>
                      <w:sz w:val="14"/>
                      <w:szCs w:val="14"/>
                      <w:lang w:val="es-CO" w:eastAsia="es-CO"/>
                    </w:rPr>
                  </w:pPr>
                  <w:r w:rsidRPr="00890624">
                    <w:rPr>
                      <w:rFonts w:ascii="Century Gothic" w:eastAsia="Times New Roman" w:hAnsi="Century Gothic"/>
                      <w:color w:val="000000"/>
                      <w:sz w:val="14"/>
                      <w:szCs w:val="14"/>
                      <w:lang w:val="es-CO" w:eastAsia="es-CO"/>
                    </w:rPr>
                    <w:t>809</w:t>
                  </w:r>
                </w:p>
              </w:tc>
              <w:tc>
                <w:tcPr>
                  <w:tcW w:w="1985" w:type="dxa"/>
                  <w:vAlign w:val="center"/>
                  <w:hideMark/>
                </w:tcPr>
                <w:p w:rsidR="00890624" w:rsidRPr="00890624" w:rsidRDefault="00890624" w:rsidP="00890624">
                  <w:pPr>
                    <w:spacing w:after="0"/>
                    <w:jc w:val="right"/>
                    <w:rPr>
                      <w:rFonts w:ascii="Century Gothic" w:eastAsia="Times New Roman" w:hAnsi="Century Gothic"/>
                      <w:color w:val="000000"/>
                      <w:sz w:val="14"/>
                      <w:szCs w:val="14"/>
                      <w:lang w:val="es-CO" w:eastAsia="es-CO"/>
                    </w:rPr>
                  </w:pPr>
                  <w:r w:rsidRPr="00890624">
                    <w:rPr>
                      <w:rFonts w:ascii="Century Gothic" w:eastAsia="Times New Roman" w:hAnsi="Century Gothic"/>
                      <w:color w:val="000000"/>
                      <w:sz w:val="14"/>
                      <w:szCs w:val="14"/>
                      <w:lang w:val="es-CO" w:eastAsia="es-CO"/>
                    </w:rPr>
                    <w:t>-0,37%</w:t>
                  </w:r>
                </w:p>
              </w:tc>
              <w:tc>
                <w:tcPr>
                  <w:tcW w:w="2693" w:type="dxa"/>
                  <w:vMerge/>
                  <w:vAlign w:val="center"/>
                  <w:hideMark/>
                </w:tcPr>
                <w:p w:rsidR="00890624" w:rsidRPr="00890624" w:rsidRDefault="00890624" w:rsidP="00890624">
                  <w:pPr>
                    <w:spacing w:after="0"/>
                    <w:rPr>
                      <w:rFonts w:ascii="Century Gothic" w:eastAsia="Times New Roman" w:hAnsi="Century Gothic"/>
                      <w:color w:val="000000"/>
                      <w:sz w:val="14"/>
                      <w:szCs w:val="14"/>
                      <w:lang w:val="es-CO" w:eastAsia="es-CO"/>
                    </w:rPr>
                  </w:pPr>
                </w:p>
              </w:tc>
            </w:tr>
            <w:tr w:rsidR="00890624" w:rsidRPr="00890624" w:rsidTr="00890624">
              <w:trPr>
                <w:trHeight w:val="435"/>
              </w:trPr>
              <w:tc>
                <w:tcPr>
                  <w:tcW w:w="3283" w:type="dxa"/>
                  <w:gridSpan w:val="2"/>
                  <w:vAlign w:val="center"/>
                  <w:hideMark/>
                </w:tcPr>
                <w:p w:rsidR="00890624" w:rsidRPr="00890624" w:rsidRDefault="00890624" w:rsidP="00890624">
                  <w:pPr>
                    <w:spacing w:after="0"/>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 relación del personal contratado con respecto al personal de planta</w:t>
                  </w:r>
                </w:p>
              </w:tc>
              <w:tc>
                <w:tcPr>
                  <w:tcW w:w="1134" w:type="dxa"/>
                  <w:noWrap/>
                  <w:vAlign w:val="center"/>
                  <w:hideMark/>
                </w:tcPr>
                <w:p w:rsidR="00890624" w:rsidRPr="00890624" w:rsidRDefault="00890624" w:rsidP="00890624">
                  <w:pPr>
                    <w:spacing w:after="0"/>
                    <w:jc w:val="right"/>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32,14%</w:t>
                  </w:r>
                </w:p>
              </w:tc>
              <w:tc>
                <w:tcPr>
                  <w:tcW w:w="1134" w:type="dxa"/>
                  <w:noWrap/>
                  <w:vAlign w:val="center"/>
                  <w:hideMark/>
                </w:tcPr>
                <w:p w:rsidR="00890624" w:rsidRPr="00890624" w:rsidRDefault="00890624" w:rsidP="00890624">
                  <w:pPr>
                    <w:spacing w:after="0"/>
                    <w:jc w:val="right"/>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55,38%</w:t>
                  </w:r>
                </w:p>
              </w:tc>
              <w:tc>
                <w:tcPr>
                  <w:tcW w:w="1985" w:type="dxa"/>
                  <w:noWrap/>
                  <w:vAlign w:val="center"/>
                  <w:hideMark/>
                </w:tcPr>
                <w:p w:rsidR="00890624" w:rsidRPr="00890624" w:rsidRDefault="00890624" w:rsidP="00890624">
                  <w:pPr>
                    <w:spacing w:after="0"/>
                    <w:jc w:val="center"/>
                    <w:rPr>
                      <w:rFonts w:ascii="Century Gothic" w:eastAsia="Times New Roman" w:hAnsi="Century Gothic"/>
                      <w:b/>
                      <w:bCs/>
                      <w:color w:val="000000"/>
                      <w:sz w:val="14"/>
                      <w:szCs w:val="14"/>
                      <w:lang w:val="es-CO" w:eastAsia="es-CO"/>
                    </w:rPr>
                  </w:pPr>
                  <w:r w:rsidRPr="00890624">
                    <w:rPr>
                      <w:rFonts w:ascii="Century Gothic" w:eastAsia="Times New Roman" w:hAnsi="Century Gothic"/>
                      <w:b/>
                      <w:bCs/>
                      <w:color w:val="000000"/>
                      <w:sz w:val="14"/>
                      <w:szCs w:val="14"/>
                      <w:lang w:val="es-CO" w:eastAsia="es-CO"/>
                    </w:rPr>
                    <w:t>N/A</w:t>
                  </w:r>
                </w:p>
              </w:tc>
              <w:tc>
                <w:tcPr>
                  <w:tcW w:w="2693" w:type="dxa"/>
                  <w:vMerge/>
                  <w:vAlign w:val="center"/>
                  <w:hideMark/>
                </w:tcPr>
                <w:p w:rsidR="00890624" w:rsidRPr="00890624" w:rsidRDefault="00890624" w:rsidP="00890624">
                  <w:pPr>
                    <w:spacing w:after="0"/>
                    <w:rPr>
                      <w:rFonts w:ascii="Century Gothic" w:eastAsia="Times New Roman" w:hAnsi="Century Gothic"/>
                      <w:color w:val="000000"/>
                      <w:sz w:val="14"/>
                      <w:szCs w:val="14"/>
                      <w:lang w:val="es-CO" w:eastAsia="es-CO"/>
                    </w:rPr>
                  </w:pPr>
                </w:p>
              </w:tc>
            </w:tr>
          </w:tbl>
          <w:p w:rsidR="00F8093F" w:rsidRPr="00F577A0" w:rsidRDefault="00F8093F" w:rsidP="00F8093F">
            <w:pPr>
              <w:spacing w:after="0"/>
              <w:jc w:val="both"/>
              <w:rPr>
                <w:rFonts w:ascii="Century Gothic" w:hAnsi="Century Gothic"/>
                <w:b/>
                <w:sz w:val="20"/>
                <w:szCs w:val="20"/>
              </w:rPr>
            </w:pPr>
          </w:p>
          <w:p w:rsidR="00F8093F" w:rsidRPr="00F577A0" w:rsidRDefault="00F8093F" w:rsidP="00F8093F">
            <w:pPr>
              <w:pStyle w:val="Prrafodelista"/>
              <w:ind w:left="0"/>
              <w:jc w:val="both"/>
              <w:rPr>
                <w:rFonts w:ascii="Century Gothic" w:hAnsi="Century Gothic"/>
                <w:sz w:val="20"/>
                <w:szCs w:val="20"/>
              </w:rPr>
            </w:pPr>
          </w:p>
          <w:p w:rsidR="00F8093F" w:rsidRPr="00F577A0" w:rsidRDefault="00F8093F" w:rsidP="009572B0">
            <w:pPr>
              <w:pStyle w:val="Prrafodelista"/>
              <w:numPr>
                <w:ilvl w:val="1"/>
                <w:numId w:val="28"/>
              </w:numPr>
              <w:spacing w:after="0"/>
              <w:jc w:val="both"/>
              <w:rPr>
                <w:rFonts w:ascii="Century Gothic" w:hAnsi="Century Gothic"/>
                <w:b/>
                <w:sz w:val="20"/>
                <w:szCs w:val="20"/>
              </w:rPr>
            </w:pPr>
            <w:r w:rsidRPr="00F577A0">
              <w:rPr>
                <w:rFonts w:ascii="Century Gothic" w:hAnsi="Century Gothic"/>
                <w:b/>
                <w:sz w:val="20"/>
                <w:szCs w:val="20"/>
              </w:rPr>
              <w:t>Otros temas relacionados con personal.</w:t>
            </w:r>
          </w:p>
          <w:p w:rsidR="00F8093F" w:rsidRPr="00F577A0" w:rsidRDefault="00F8093F" w:rsidP="00F8093F">
            <w:pPr>
              <w:jc w:val="both"/>
              <w:rPr>
                <w:rFonts w:ascii="Century Gothic" w:hAnsi="Century Gothic"/>
                <w:sz w:val="20"/>
                <w:szCs w:val="20"/>
              </w:rPr>
            </w:pPr>
          </w:p>
          <w:p w:rsidR="00F8093F" w:rsidRPr="00F577A0" w:rsidRDefault="00F8093F" w:rsidP="00F8093F">
            <w:pPr>
              <w:pStyle w:val="Ttulo2"/>
              <w:spacing w:before="200"/>
              <w:jc w:val="both"/>
              <w:rPr>
                <w:rFonts w:ascii="Century Gothic" w:hAnsi="Century Gothic" w:cs="Arial"/>
                <w:color w:val="auto"/>
                <w:sz w:val="20"/>
                <w:szCs w:val="20"/>
                <w:lang w:eastAsia="es-CO"/>
              </w:rPr>
            </w:pPr>
            <w:r w:rsidRPr="00F577A0">
              <w:rPr>
                <w:rFonts w:ascii="Century Gothic" w:hAnsi="Century Gothic" w:cs="Arial"/>
                <w:color w:val="auto"/>
                <w:sz w:val="20"/>
                <w:szCs w:val="20"/>
                <w:lang w:eastAsia="es-CO"/>
              </w:rPr>
              <w:t>Los temas relacionados en la norma como son la certificación de no existencia de personal, v</w:t>
            </w:r>
            <w:r>
              <w:rPr>
                <w:rFonts w:ascii="Century Gothic" w:hAnsi="Century Gothic" w:cs="Arial"/>
                <w:color w:val="auto"/>
                <w:sz w:val="20"/>
                <w:szCs w:val="20"/>
                <w:lang w:eastAsia="es-CO"/>
              </w:rPr>
              <w:t>inculación y desvinculación de p</w:t>
            </w:r>
            <w:r w:rsidRPr="00F577A0">
              <w:rPr>
                <w:rFonts w:ascii="Century Gothic" w:hAnsi="Century Gothic" w:cs="Arial"/>
                <w:color w:val="auto"/>
                <w:sz w:val="20"/>
                <w:szCs w:val="20"/>
                <w:lang w:eastAsia="es-CO"/>
              </w:rPr>
              <w:t xml:space="preserve">ersonal, remuneración servicios técnicos, </w:t>
            </w:r>
            <w:r w:rsidRPr="00F577A0">
              <w:rPr>
                <w:rFonts w:ascii="Century Gothic" w:hAnsi="Century Gothic" w:cs="Arial"/>
                <w:color w:val="auto"/>
                <w:sz w:val="20"/>
                <w:szCs w:val="20"/>
                <w:lang w:val="es-MX" w:eastAsia="es-MX"/>
              </w:rPr>
              <w:t xml:space="preserve">supernumerarios, </w:t>
            </w:r>
            <w:r w:rsidRPr="00F577A0">
              <w:rPr>
                <w:rFonts w:ascii="Century Gothic" w:hAnsi="Century Gothic" w:cs="Arial"/>
                <w:color w:val="auto"/>
                <w:sz w:val="20"/>
                <w:szCs w:val="20"/>
                <w:lang w:eastAsia="es-CO"/>
              </w:rPr>
              <w:t>horas extras y comisiones son temas que se relacionan en la siguiente tabla en donde la dependencia manifiesta que se cumple con la normatividad.</w:t>
            </w:r>
          </w:p>
          <w:p w:rsidR="00F8093F" w:rsidRPr="00F577A0" w:rsidRDefault="00F8093F" w:rsidP="00F8093F">
            <w:pPr>
              <w:rPr>
                <w:rFonts w:ascii="Century Gothic" w:hAnsi="Century Gothic"/>
                <w:sz w:val="20"/>
                <w:szCs w:val="20"/>
                <w:lang w:eastAsia="es-CO"/>
              </w:rPr>
            </w:pPr>
          </w:p>
          <w:p w:rsidR="00F8093F" w:rsidRPr="00F577A0" w:rsidRDefault="00F8093F" w:rsidP="009572B0">
            <w:pPr>
              <w:pStyle w:val="Prrafodelista"/>
              <w:numPr>
                <w:ilvl w:val="2"/>
                <w:numId w:val="28"/>
              </w:numPr>
              <w:spacing w:after="0"/>
              <w:jc w:val="both"/>
              <w:rPr>
                <w:rFonts w:ascii="Century Gothic" w:hAnsi="Century Gothic"/>
                <w:b/>
                <w:sz w:val="20"/>
                <w:szCs w:val="20"/>
              </w:rPr>
            </w:pPr>
            <w:r w:rsidRPr="00F577A0">
              <w:rPr>
                <w:rFonts w:ascii="Century Gothic" w:hAnsi="Century Gothic"/>
                <w:b/>
                <w:sz w:val="20"/>
                <w:szCs w:val="20"/>
              </w:rPr>
              <w:t>Talento Humano.</w:t>
            </w:r>
          </w:p>
          <w:p w:rsidR="00F8093F" w:rsidRPr="00F577A0" w:rsidRDefault="00F8093F" w:rsidP="00F8093F">
            <w:pPr>
              <w:rPr>
                <w:rFonts w:ascii="Century Gothic" w:hAnsi="Century Gothic"/>
                <w:sz w:val="20"/>
                <w:szCs w:val="20"/>
                <w:lang w:eastAsia="es-CO"/>
              </w:rPr>
            </w:pPr>
          </w:p>
          <w:p w:rsidR="00F8093F" w:rsidRPr="00F577A0" w:rsidRDefault="00F8093F" w:rsidP="00F8093F">
            <w:pPr>
              <w:rPr>
                <w:rFonts w:ascii="Century Gothic" w:hAnsi="Century Gothic"/>
                <w:sz w:val="20"/>
                <w:szCs w:val="20"/>
                <w:lang w:eastAsia="es-CO"/>
              </w:rPr>
            </w:pPr>
            <w:r w:rsidRPr="00F577A0">
              <w:rPr>
                <w:rFonts w:ascii="Century Gothic" w:hAnsi="Century Gothic"/>
                <w:noProof/>
                <w:sz w:val="20"/>
                <w:szCs w:val="20"/>
                <w:lang w:val="es-CO" w:eastAsia="es-CO"/>
              </w:rPr>
              <w:drawing>
                <wp:inline distT="0" distB="0" distL="0" distR="0" wp14:anchorId="391333BB" wp14:editId="30B453D1">
                  <wp:extent cx="6127750" cy="23685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2368550"/>
                          </a:xfrm>
                          <a:prstGeom prst="rect">
                            <a:avLst/>
                          </a:prstGeom>
                          <a:noFill/>
                          <a:ln>
                            <a:noFill/>
                          </a:ln>
                        </pic:spPr>
                      </pic:pic>
                    </a:graphicData>
                  </a:graphic>
                </wp:inline>
              </w:drawing>
            </w:r>
          </w:p>
          <w:p w:rsidR="00F8093F" w:rsidRDefault="00F8093F" w:rsidP="00F8093F">
            <w:pPr>
              <w:jc w:val="both"/>
              <w:rPr>
                <w:rFonts w:ascii="Century Gothic" w:hAnsi="Century Gothic"/>
                <w:sz w:val="20"/>
                <w:szCs w:val="20"/>
              </w:rPr>
            </w:pPr>
          </w:p>
          <w:p w:rsidR="009E642B" w:rsidRDefault="009E642B" w:rsidP="00F8093F">
            <w:pPr>
              <w:jc w:val="both"/>
              <w:rPr>
                <w:rFonts w:ascii="Century Gothic" w:hAnsi="Century Gothic"/>
                <w:sz w:val="20"/>
                <w:szCs w:val="20"/>
              </w:rPr>
            </w:pPr>
          </w:p>
          <w:p w:rsidR="009E642B" w:rsidRDefault="009E642B" w:rsidP="00F8093F">
            <w:pPr>
              <w:jc w:val="both"/>
              <w:rPr>
                <w:rFonts w:ascii="Century Gothic" w:hAnsi="Century Gothic"/>
                <w:sz w:val="20"/>
                <w:szCs w:val="20"/>
              </w:rPr>
            </w:pPr>
          </w:p>
          <w:p w:rsidR="00DC63E8" w:rsidRDefault="00DC63E8" w:rsidP="00F8093F">
            <w:pPr>
              <w:jc w:val="both"/>
              <w:rPr>
                <w:rFonts w:ascii="Century Gothic" w:hAnsi="Century Gothic"/>
                <w:sz w:val="20"/>
                <w:szCs w:val="20"/>
              </w:rPr>
            </w:pPr>
          </w:p>
          <w:p w:rsidR="009E642B" w:rsidRPr="00F577A0" w:rsidRDefault="009E642B" w:rsidP="00F8093F">
            <w:pPr>
              <w:jc w:val="both"/>
              <w:rPr>
                <w:rFonts w:ascii="Century Gothic" w:hAnsi="Century Gothic"/>
                <w:sz w:val="20"/>
                <w:szCs w:val="20"/>
              </w:rPr>
            </w:pPr>
          </w:p>
          <w:p w:rsidR="00F8093F" w:rsidRPr="00F577A0" w:rsidRDefault="00F8093F" w:rsidP="009572B0">
            <w:pPr>
              <w:pStyle w:val="Prrafodelista"/>
              <w:numPr>
                <w:ilvl w:val="2"/>
                <w:numId w:val="28"/>
              </w:numPr>
              <w:rPr>
                <w:rFonts w:ascii="Century Gothic" w:hAnsi="Century Gothic"/>
                <w:b/>
                <w:sz w:val="20"/>
                <w:szCs w:val="20"/>
                <w:lang w:eastAsia="es-CO"/>
              </w:rPr>
            </w:pPr>
            <w:r w:rsidRPr="00F577A0">
              <w:rPr>
                <w:rFonts w:ascii="Century Gothic" w:hAnsi="Century Gothic"/>
                <w:b/>
                <w:sz w:val="20"/>
                <w:szCs w:val="20"/>
                <w:lang w:eastAsia="es-CO"/>
              </w:rPr>
              <w:t>Contratos.</w:t>
            </w:r>
          </w:p>
          <w:p w:rsidR="00F8093F" w:rsidRPr="00F577A0" w:rsidRDefault="00DC63E8" w:rsidP="00F8093F">
            <w:pPr>
              <w:rPr>
                <w:rFonts w:ascii="Century Gothic" w:hAnsi="Century Gothic"/>
                <w:b/>
                <w:sz w:val="20"/>
                <w:szCs w:val="20"/>
                <w:lang w:val="es-CO" w:eastAsia="es-CO"/>
              </w:rPr>
            </w:pPr>
            <w:r w:rsidRPr="00DC63E8">
              <w:rPr>
                <w:rFonts w:ascii="Century Gothic" w:hAnsi="Century Gothic"/>
                <w:b/>
                <w:noProof/>
                <w:sz w:val="20"/>
                <w:szCs w:val="20"/>
                <w:lang w:val="es-CO" w:eastAsia="es-CO"/>
              </w:rPr>
              <w:drawing>
                <wp:inline distT="0" distB="0" distL="0" distR="0">
                  <wp:extent cx="6556076" cy="215138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4562" cy="2164009"/>
                          </a:xfrm>
                          <a:prstGeom prst="rect">
                            <a:avLst/>
                          </a:prstGeom>
                          <a:noFill/>
                          <a:ln>
                            <a:noFill/>
                          </a:ln>
                        </pic:spPr>
                      </pic:pic>
                    </a:graphicData>
                  </a:graphic>
                </wp:inline>
              </w:drawing>
            </w:r>
          </w:p>
          <w:p w:rsidR="00F8093F" w:rsidRPr="00F577A0" w:rsidRDefault="00F8093F" w:rsidP="00F8093F">
            <w:pPr>
              <w:jc w:val="both"/>
              <w:rPr>
                <w:rFonts w:ascii="Century Gothic" w:hAnsi="Century Gothic"/>
                <w:sz w:val="20"/>
                <w:szCs w:val="20"/>
              </w:rPr>
            </w:pPr>
          </w:p>
          <w:p w:rsidR="00F8093F" w:rsidRPr="00F577A0" w:rsidRDefault="00F8093F" w:rsidP="009572B0">
            <w:pPr>
              <w:pStyle w:val="Prrafodelista"/>
              <w:numPr>
                <w:ilvl w:val="1"/>
                <w:numId w:val="28"/>
              </w:numPr>
              <w:rPr>
                <w:rFonts w:ascii="Century Gothic" w:hAnsi="Century Gothic"/>
                <w:b/>
                <w:sz w:val="20"/>
                <w:szCs w:val="20"/>
                <w:lang w:eastAsia="es-CO"/>
              </w:rPr>
            </w:pPr>
            <w:r w:rsidRPr="00F577A0">
              <w:rPr>
                <w:rFonts w:ascii="Century Gothic" w:hAnsi="Century Gothic"/>
                <w:b/>
                <w:sz w:val="20"/>
                <w:szCs w:val="20"/>
                <w:lang w:eastAsia="es-CO"/>
              </w:rPr>
              <w:t xml:space="preserve">Tiquetes comisiones al exterior. </w:t>
            </w:r>
          </w:p>
          <w:p w:rsidR="00F8093F" w:rsidRDefault="00F8093F" w:rsidP="00890624">
            <w:pPr>
              <w:jc w:val="both"/>
              <w:rPr>
                <w:rFonts w:ascii="Century Gothic" w:hAnsi="Century Gothic"/>
                <w:sz w:val="20"/>
                <w:szCs w:val="20"/>
                <w:lang w:val="es-MX" w:eastAsia="es-MX"/>
              </w:rPr>
            </w:pPr>
            <w:r w:rsidRPr="00F577A0">
              <w:rPr>
                <w:rFonts w:ascii="Century Gothic" w:hAnsi="Century Gothic"/>
                <w:sz w:val="20"/>
                <w:szCs w:val="20"/>
                <w:lang w:val="es-MX" w:eastAsia="es-MX"/>
              </w:rPr>
              <w:t xml:space="preserve">En el siguiente cuadro se relaciona los tiquetes para el exterior dando cumplimiento al Art. 1 del Decreto 2890 de 2005; </w:t>
            </w:r>
            <w:r w:rsidRPr="00F577A0">
              <w:rPr>
                <w:rFonts w:ascii="Century Gothic" w:hAnsi="Century Gothic" w:cs="Arial"/>
                <w:color w:val="000000"/>
                <w:sz w:val="20"/>
                <w:szCs w:val="20"/>
                <w:shd w:val="clear" w:color="auto" w:fill="FFFFFF"/>
              </w:rPr>
              <w:t>a los comisionados al exterior se les podrá suministrar pasajes aéreos, marítimos o terrestres solo en clase económica.</w:t>
            </w:r>
            <w:r w:rsidRPr="00F577A0">
              <w:rPr>
                <w:rFonts w:ascii="Century Gothic" w:hAnsi="Century Gothic"/>
                <w:sz w:val="20"/>
                <w:szCs w:val="20"/>
                <w:lang w:val="es-MX" w:eastAsia="es-MX"/>
              </w:rPr>
              <w:t xml:space="preserve"> </w:t>
            </w:r>
          </w:p>
          <w:p w:rsidR="00890624" w:rsidRDefault="00890624" w:rsidP="00890624">
            <w:pPr>
              <w:jc w:val="both"/>
              <w:rPr>
                <w:rFonts w:ascii="Century Gothic" w:hAnsi="Century Gothic" w:cs="Arial"/>
                <w:color w:val="000000"/>
                <w:sz w:val="20"/>
                <w:szCs w:val="20"/>
                <w:shd w:val="clear" w:color="auto" w:fill="FFFFFF"/>
              </w:rPr>
            </w:pPr>
            <w:r w:rsidRPr="00890624">
              <w:rPr>
                <w:rFonts w:ascii="Century Gothic" w:hAnsi="Century Gothic" w:cs="Arial"/>
                <w:color w:val="000000"/>
                <w:sz w:val="20"/>
                <w:szCs w:val="20"/>
                <w:shd w:val="clear" w:color="auto" w:fill="FFFFFF"/>
              </w:rPr>
              <w:t>Durante el primer trimestre del año 2016 no se reportan gastos por concepto de viáticos y tiquetes aéreos con cargo a la Unidad; sin embargo, se efectuaron los trámites correspondientes para autorización ante el DPS de las comisiones que a continuación se relacionan y que no solicitaron viáticos ni gastos de transporte aéreo (ver casilla de observaciones):</w:t>
            </w:r>
          </w:p>
          <w:tbl>
            <w:tblPr>
              <w:tblStyle w:val="Tablaconcuadrcula"/>
              <w:tblW w:w="10377" w:type="dxa"/>
              <w:tblLayout w:type="fixed"/>
              <w:tblLook w:val="04A0" w:firstRow="1" w:lastRow="0" w:firstColumn="1" w:lastColumn="0" w:noHBand="0" w:noVBand="1"/>
            </w:tblPr>
            <w:tblGrid>
              <w:gridCol w:w="454"/>
              <w:gridCol w:w="993"/>
              <w:gridCol w:w="850"/>
              <w:gridCol w:w="903"/>
              <w:gridCol w:w="1234"/>
              <w:gridCol w:w="1085"/>
              <w:gridCol w:w="961"/>
              <w:gridCol w:w="961"/>
              <w:gridCol w:w="887"/>
              <w:gridCol w:w="2049"/>
            </w:tblGrid>
            <w:tr w:rsidR="00135323" w:rsidRPr="00135323" w:rsidTr="00DD0C05">
              <w:trPr>
                <w:trHeight w:val="765"/>
              </w:trPr>
              <w:tc>
                <w:tcPr>
                  <w:tcW w:w="454"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N°</w:t>
                  </w:r>
                </w:p>
              </w:tc>
              <w:tc>
                <w:tcPr>
                  <w:tcW w:w="993"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 xml:space="preserve">Cédula </w:t>
                  </w:r>
                </w:p>
              </w:tc>
              <w:tc>
                <w:tcPr>
                  <w:tcW w:w="850"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 xml:space="preserve">Nombre </w:t>
                  </w:r>
                </w:p>
              </w:tc>
              <w:tc>
                <w:tcPr>
                  <w:tcW w:w="903"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 xml:space="preserve">Apellidos </w:t>
                  </w:r>
                </w:p>
              </w:tc>
              <w:tc>
                <w:tcPr>
                  <w:tcW w:w="1234"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 xml:space="preserve">Dependencia </w:t>
                  </w:r>
                </w:p>
              </w:tc>
              <w:tc>
                <w:tcPr>
                  <w:tcW w:w="1085"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 xml:space="preserve">Lugar Destino </w:t>
                  </w:r>
                </w:p>
              </w:tc>
              <w:tc>
                <w:tcPr>
                  <w:tcW w:w="961"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 xml:space="preserve">Fecha de Salida </w:t>
                  </w:r>
                </w:p>
              </w:tc>
              <w:tc>
                <w:tcPr>
                  <w:tcW w:w="961"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Fecha de llegada</w:t>
                  </w:r>
                </w:p>
              </w:tc>
              <w:tc>
                <w:tcPr>
                  <w:tcW w:w="887"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 xml:space="preserve">Planta - Contrato </w:t>
                  </w:r>
                </w:p>
              </w:tc>
              <w:tc>
                <w:tcPr>
                  <w:tcW w:w="2049" w:type="dxa"/>
                  <w:vAlign w:val="center"/>
                  <w:hideMark/>
                </w:tcPr>
                <w:p w:rsidR="00135323" w:rsidRPr="00135323" w:rsidRDefault="00135323" w:rsidP="00135323">
                  <w:pPr>
                    <w:spacing w:after="0"/>
                    <w:jc w:val="center"/>
                    <w:rPr>
                      <w:rFonts w:ascii="Century Gothic" w:eastAsia="Times New Roman" w:hAnsi="Century Gothic"/>
                      <w:b/>
                      <w:bCs/>
                      <w:sz w:val="14"/>
                      <w:szCs w:val="16"/>
                      <w:lang w:val="es-CO" w:eastAsia="es-CO"/>
                    </w:rPr>
                  </w:pPr>
                  <w:r w:rsidRPr="00135323">
                    <w:rPr>
                      <w:rFonts w:ascii="Century Gothic" w:eastAsia="Times New Roman" w:hAnsi="Century Gothic"/>
                      <w:b/>
                      <w:bCs/>
                      <w:sz w:val="14"/>
                      <w:szCs w:val="16"/>
                      <w:lang w:val="es-CO" w:eastAsia="es-CO"/>
                    </w:rPr>
                    <w:t>Observaciones</w:t>
                  </w:r>
                </w:p>
              </w:tc>
            </w:tr>
            <w:tr w:rsidR="00DD0C05" w:rsidRPr="00135323" w:rsidTr="00DD0C05">
              <w:trPr>
                <w:trHeight w:val="450"/>
              </w:trPr>
              <w:tc>
                <w:tcPr>
                  <w:tcW w:w="454" w:type="dxa"/>
                  <w:noWrap/>
                  <w:vAlign w:val="center"/>
                  <w:hideMark/>
                </w:tcPr>
                <w:p w:rsidR="00135323" w:rsidRPr="00135323" w:rsidRDefault="00135323" w:rsidP="00135323">
                  <w:pPr>
                    <w:spacing w:after="0"/>
                    <w:jc w:val="center"/>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1</w:t>
                  </w:r>
                </w:p>
              </w:tc>
              <w:tc>
                <w:tcPr>
                  <w:tcW w:w="993" w:type="dxa"/>
                  <w:noWrap/>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  51.738.918 </w:t>
                  </w:r>
                </w:p>
              </w:tc>
              <w:tc>
                <w:tcPr>
                  <w:tcW w:w="850"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Maria Angelica </w:t>
                  </w:r>
                </w:p>
              </w:tc>
              <w:tc>
                <w:tcPr>
                  <w:tcW w:w="903"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Serrato </w:t>
                  </w:r>
                  <w:proofErr w:type="spellStart"/>
                  <w:r w:rsidRPr="00135323">
                    <w:rPr>
                      <w:rFonts w:ascii="Century Gothic" w:eastAsia="Times New Roman" w:hAnsi="Century Gothic"/>
                      <w:color w:val="000000"/>
                      <w:sz w:val="14"/>
                      <w:szCs w:val="14"/>
                      <w:lang w:val="es-CO" w:eastAsia="es-CO"/>
                    </w:rPr>
                    <w:t>Aya</w:t>
                  </w:r>
                  <w:proofErr w:type="spellEnd"/>
                  <w:r w:rsidRPr="00135323">
                    <w:rPr>
                      <w:rFonts w:ascii="Century Gothic" w:eastAsia="Times New Roman" w:hAnsi="Century Gothic"/>
                      <w:color w:val="000000"/>
                      <w:sz w:val="14"/>
                      <w:szCs w:val="14"/>
                      <w:lang w:val="es-CO" w:eastAsia="es-CO"/>
                    </w:rPr>
                    <w:t xml:space="preserve"> </w:t>
                  </w:r>
                </w:p>
              </w:tc>
              <w:tc>
                <w:tcPr>
                  <w:tcW w:w="1234"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Dirección General </w:t>
                  </w:r>
                </w:p>
              </w:tc>
              <w:tc>
                <w:tcPr>
                  <w:tcW w:w="1085"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Tokio - Japón </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29/01/2016</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13/02/2016</w:t>
                  </w:r>
                </w:p>
              </w:tc>
              <w:tc>
                <w:tcPr>
                  <w:tcW w:w="887"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Planta</w:t>
                  </w:r>
                </w:p>
              </w:tc>
              <w:tc>
                <w:tcPr>
                  <w:tcW w:w="2049" w:type="dxa"/>
                  <w:vAlign w:val="center"/>
                  <w:hideMark/>
                </w:tcPr>
                <w:p w:rsidR="00135323" w:rsidRPr="00135323" w:rsidRDefault="00135323" w:rsidP="00135323">
                  <w:pPr>
                    <w:spacing w:after="0"/>
                    <w:jc w:val="both"/>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La Agencia Para la Cooperación Internacional del Japón cubrirá los Gastos correspondientes a viáticos y Tiquetes Aéreos. </w:t>
                  </w:r>
                </w:p>
              </w:tc>
            </w:tr>
            <w:tr w:rsidR="00DD0C05" w:rsidRPr="00135323" w:rsidTr="00DD0C05">
              <w:trPr>
                <w:trHeight w:val="450"/>
              </w:trPr>
              <w:tc>
                <w:tcPr>
                  <w:tcW w:w="454" w:type="dxa"/>
                  <w:noWrap/>
                  <w:vAlign w:val="center"/>
                  <w:hideMark/>
                </w:tcPr>
                <w:p w:rsidR="00135323" w:rsidRPr="00135323" w:rsidRDefault="00135323" w:rsidP="00135323">
                  <w:pPr>
                    <w:spacing w:after="0"/>
                    <w:jc w:val="center"/>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2</w:t>
                  </w:r>
                </w:p>
              </w:tc>
              <w:tc>
                <w:tcPr>
                  <w:tcW w:w="993" w:type="dxa"/>
                  <w:noWrap/>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  52.053.081 </w:t>
                  </w:r>
                </w:p>
              </w:tc>
              <w:tc>
                <w:tcPr>
                  <w:tcW w:w="850"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Paula</w:t>
                  </w:r>
                </w:p>
              </w:tc>
              <w:tc>
                <w:tcPr>
                  <w:tcW w:w="903"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Gaviria Betancur</w:t>
                  </w:r>
                </w:p>
              </w:tc>
              <w:tc>
                <w:tcPr>
                  <w:tcW w:w="1234"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Dirección General </w:t>
                  </w:r>
                </w:p>
              </w:tc>
              <w:tc>
                <w:tcPr>
                  <w:tcW w:w="1085"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New York</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10/02/2016</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12/02/2016</w:t>
                  </w:r>
                </w:p>
              </w:tc>
              <w:tc>
                <w:tcPr>
                  <w:tcW w:w="887"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Planta</w:t>
                  </w:r>
                </w:p>
              </w:tc>
              <w:tc>
                <w:tcPr>
                  <w:tcW w:w="2049" w:type="dxa"/>
                  <w:vAlign w:val="center"/>
                  <w:hideMark/>
                </w:tcPr>
                <w:p w:rsidR="00135323" w:rsidRPr="00135323" w:rsidRDefault="00135323" w:rsidP="00135323">
                  <w:pPr>
                    <w:spacing w:after="0"/>
                    <w:jc w:val="both"/>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Las Naciones Unidas cubrirá el valor correspondiente a Viáticos y Tiquetes</w:t>
                  </w:r>
                </w:p>
              </w:tc>
            </w:tr>
            <w:tr w:rsidR="00DD0C05" w:rsidRPr="00135323" w:rsidTr="00DD0C05">
              <w:trPr>
                <w:trHeight w:val="450"/>
              </w:trPr>
              <w:tc>
                <w:tcPr>
                  <w:tcW w:w="454" w:type="dxa"/>
                  <w:noWrap/>
                  <w:vAlign w:val="center"/>
                  <w:hideMark/>
                </w:tcPr>
                <w:p w:rsidR="00135323" w:rsidRPr="00135323" w:rsidRDefault="00135323" w:rsidP="00135323">
                  <w:pPr>
                    <w:spacing w:after="0"/>
                    <w:jc w:val="center"/>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3</w:t>
                  </w:r>
                </w:p>
              </w:tc>
              <w:tc>
                <w:tcPr>
                  <w:tcW w:w="993" w:type="dxa"/>
                  <w:noWrap/>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  53.009.735 </w:t>
                  </w:r>
                </w:p>
              </w:tc>
              <w:tc>
                <w:tcPr>
                  <w:tcW w:w="850"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Lady </w:t>
                  </w:r>
                  <w:proofErr w:type="spellStart"/>
                  <w:r w:rsidRPr="00135323">
                    <w:rPr>
                      <w:rFonts w:ascii="Century Gothic" w:eastAsia="Times New Roman" w:hAnsi="Century Gothic"/>
                      <w:color w:val="000000"/>
                      <w:sz w:val="14"/>
                      <w:szCs w:val="14"/>
                      <w:lang w:val="es-CO" w:eastAsia="es-CO"/>
                    </w:rPr>
                    <w:t>Nayibe</w:t>
                  </w:r>
                  <w:proofErr w:type="spellEnd"/>
                </w:p>
              </w:tc>
              <w:tc>
                <w:tcPr>
                  <w:tcW w:w="903"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Bermúdez Rodríguez</w:t>
                  </w:r>
                </w:p>
              </w:tc>
              <w:tc>
                <w:tcPr>
                  <w:tcW w:w="1234"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Grupo de Habilidades y Capacidades Diversas</w:t>
                  </w:r>
                </w:p>
              </w:tc>
              <w:tc>
                <w:tcPr>
                  <w:tcW w:w="1085"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Tokio - Japón </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29/01/2016</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13/02/2016</w:t>
                  </w:r>
                </w:p>
              </w:tc>
              <w:tc>
                <w:tcPr>
                  <w:tcW w:w="887"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Contrato</w:t>
                  </w:r>
                </w:p>
              </w:tc>
              <w:tc>
                <w:tcPr>
                  <w:tcW w:w="2049" w:type="dxa"/>
                  <w:vAlign w:val="center"/>
                  <w:hideMark/>
                </w:tcPr>
                <w:p w:rsidR="00135323" w:rsidRPr="00135323" w:rsidRDefault="00135323" w:rsidP="00135323">
                  <w:pPr>
                    <w:spacing w:after="0"/>
                    <w:jc w:val="both"/>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La Agencia Para la Cooperación Internacional del Japón cubrirá los Gastos correspondientes a viáticos y Tiquetes Aéreos. </w:t>
                  </w:r>
                </w:p>
              </w:tc>
            </w:tr>
            <w:tr w:rsidR="00DD0C05" w:rsidRPr="00135323" w:rsidTr="00DD0C05">
              <w:trPr>
                <w:trHeight w:val="450"/>
              </w:trPr>
              <w:tc>
                <w:tcPr>
                  <w:tcW w:w="454" w:type="dxa"/>
                  <w:noWrap/>
                  <w:vAlign w:val="center"/>
                  <w:hideMark/>
                </w:tcPr>
                <w:p w:rsidR="00135323" w:rsidRPr="00135323" w:rsidRDefault="00135323" w:rsidP="00135323">
                  <w:pPr>
                    <w:spacing w:after="0"/>
                    <w:jc w:val="center"/>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4</w:t>
                  </w:r>
                </w:p>
              </w:tc>
              <w:tc>
                <w:tcPr>
                  <w:tcW w:w="993" w:type="dxa"/>
                  <w:noWrap/>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  43.535.629 </w:t>
                  </w:r>
                </w:p>
              </w:tc>
              <w:tc>
                <w:tcPr>
                  <w:tcW w:w="850"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Martha Cecilia</w:t>
                  </w:r>
                </w:p>
              </w:tc>
              <w:tc>
                <w:tcPr>
                  <w:tcW w:w="903"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González Avalos</w:t>
                  </w:r>
                </w:p>
              </w:tc>
              <w:tc>
                <w:tcPr>
                  <w:tcW w:w="1234"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Dirección Territorial Antioquia</w:t>
                  </w:r>
                </w:p>
              </w:tc>
              <w:tc>
                <w:tcPr>
                  <w:tcW w:w="1085"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Tokio - Japón </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29/01/2016</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13/02/2016</w:t>
                  </w:r>
                </w:p>
              </w:tc>
              <w:tc>
                <w:tcPr>
                  <w:tcW w:w="887"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Contrato</w:t>
                  </w:r>
                </w:p>
              </w:tc>
              <w:tc>
                <w:tcPr>
                  <w:tcW w:w="2049" w:type="dxa"/>
                  <w:vAlign w:val="center"/>
                  <w:hideMark/>
                </w:tcPr>
                <w:p w:rsidR="00135323" w:rsidRPr="00135323" w:rsidRDefault="00135323" w:rsidP="00135323">
                  <w:pPr>
                    <w:spacing w:after="0"/>
                    <w:jc w:val="both"/>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La Agencia Para la Cooperación Internacional del Japón cubrirá los Gastos correspondientes a viáticos y Tiquetes Aéreos. </w:t>
                  </w:r>
                </w:p>
              </w:tc>
            </w:tr>
            <w:tr w:rsidR="00DD0C05" w:rsidRPr="00135323" w:rsidTr="00DD0C05">
              <w:trPr>
                <w:trHeight w:val="450"/>
              </w:trPr>
              <w:tc>
                <w:tcPr>
                  <w:tcW w:w="454" w:type="dxa"/>
                  <w:noWrap/>
                  <w:vAlign w:val="center"/>
                  <w:hideMark/>
                </w:tcPr>
                <w:p w:rsidR="00135323" w:rsidRPr="00135323" w:rsidRDefault="00135323" w:rsidP="00135323">
                  <w:pPr>
                    <w:spacing w:after="0"/>
                    <w:jc w:val="center"/>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5</w:t>
                  </w:r>
                </w:p>
              </w:tc>
              <w:tc>
                <w:tcPr>
                  <w:tcW w:w="993" w:type="dxa"/>
                  <w:noWrap/>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  52.053.081 </w:t>
                  </w:r>
                </w:p>
              </w:tc>
              <w:tc>
                <w:tcPr>
                  <w:tcW w:w="850"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Paula</w:t>
                  </w:r>
                </w:p>
              </w:tc>
              <w:tc>
                <w:tcPr>
                  <w:tcW w:w="903"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Gaviria Betancur</w:t>
                  </w:r>
                </w:p>
              </w:tc>
              <w:tc>
                <w:tcPr>
                  <w:tcW w:w="1234"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Dirección General </w:t>
                  </w:r>
                </w:p>
              </w:tc>
              <w:tc>
                <w:tcPr>
                  <w:tcW w:w="1085"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Washington </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01/03/2016</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04/03/2016</w:t>
                  </w:r>
                </w:p>
              </w:tc>
              <w:tc>
                <w:tcPr>
                  <w:tcW w:w="887"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Planta</w:t>
                  </w:r>
                </w:p>
              </w:tc>
              <w:tc>
                <w:tcPr>
                  <w:tcW w:w="2049" w:type="dxa"/>
                  <w:vAlign w:val="center"/>
                  <w:hideMark/>
                </w:tcPr>
                <w:p w:rsidR="00135323" w:rsidRPr="00135323" w:rsidRDefault="00135323" w:rsidP="00135323">
                  <w:pPr>
                    <w:spacing w:after="0"/>
                    <w:jc w:val="both"/>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Las Naciones Unidas Cubrirá el valor </w:t>
                  </w:r>
                  <w:r w:rsidRPr="00135323">
                    <w:rPr>
                      <w:rFonts w:ascii="Century Gothic" w:eastAsia="Times New Roman" w:hAnsi="Century Gothic"/>
                      <w:color w:val="000000"/>
                      <w:sz w:val="14"/>
                      <w:szCs w:val="14"/>
                      <w:lang w:val="es-CO" w:eastAsia="es-CO"/>
                    </w:rPr>
                    <w:lastRenderedPageBreak/>
                    <w:t>correspondiente a Viáticos y Tiquetes</w:t>
                  </w:r>
                </w:p>
              </w:tc>
            </w:tr>
            <w:tr w:rsidR="00DD0C05" w:rsidRPr="00135323" w:rsidTr="00DD0C05">
              <w:trPr>
                <w:trHeight w:val="450"/>
              </w:trPr>
              <w:tc>
                <w:tcPr>
                  <w:tcW w:w="454" w:type="dxa"/>
                  <w:noWrap/>
                  <w:vAlign w:val="center"/>
                  <w:hideMark/>
                </w:tcPr>
                <w:p w:rsidR="00135323" w:rsidRPr="00135323" w:rsidRDefault="00135323" w:rsidP="00135323">
                  <w:pPr>
                    <w:spacing w:after="0"/>
                    <w:jc w:val="center"/>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lastRenderedPageBreak/>
                    <w:t>6</w:t>
                  </w:r>
                </w:p>
              </w:tc>
              <w:tc>
                <w:tcPr>
                  <w:tcW w:w="993" w:type="dxa"/>
                  <w:noWrap/>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  31.865.008 </w:t>
                  </w:r>
                </w:p>
              </w:tc>
              <w:tc>
                <w:tcPr>
                  <w:tcW w:w="850"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Maria Eugenia</w:t>
                  </w:r>
                </w:p>
              </w:tc>
              <w:tc>
                <w:tcPr>
                  <w:tcW w:w="903"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Morales Castro</w:t>
                  </w:r>
                </w:p>
              </w:tc>
              <w:tc>
                <w:tcPr>
                  <w:tcW w:w="1234"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Dirección de Reparación </w:t>
                  </w:r>
                </w:p>
              </w:tc>
              <w:tc>
                <w:tcPr>
                  <w:tcW w:w="1085"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Suecia - Estocolmo</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18/02/2016</w:t>
                  </w:r>
                </w:p>
              </w:tc>
              <w:tc>
                <w:tcPr>
                  <w:tcW w:w="961" w:type="dxa"/>
                  <w:vAlign w:val="center"/>
                  <w:hideMark/>
                </w:tcPr>
                <w:p w:rsidR="00135323" w:rsidRPr="00135323" w:rsidRDefault="00135323" w:rsidP="00135323">
                  <w:pPr>
                    <w:spacing w:after="0"/>
                    <w:jc w:val="right"/>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28/02/2016</w:t>
                  </w:r>
                </w:p>
              </w:tc>
              <w:tc>
                <w:tcPr>
                  <w:tcW w:w="887" w:type="dxa"/>
                  <w:vAlign w:val="center"/>
                  <w:hideMark/>
                </w:tcPr>
                <w:p w:rsidR="00135323" w:rsidRPr="00135323" w:rsidRDefault="00135323" w:rsidP="00135323">
                  <w:pPr>
                    <w:spacing w:after="0"/>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Planta</w:t>
                  </w:r>
                </w:p>
              </w:tc>
              <w:tc>
                <w:tcPr>
                  <w:tcW w:w="2049" w:type="dxa"/>
                  <w:vAlign w:val="center"/>
                  <w:hideMark/>
                </w:tcPr>
                <w:p w:rsidR="00135323" w:rsidRPr="00135323" w:rsidRDefault="00135323" w:rsidP="00135323">
                  <w:pPr>
                    <w:spacing w:after="0"/>
                    <w:jc w:val="both"/>
                    <w:rPr>
                      <w:rFonts w:ascii="Century Gothic" w:eastAsia="Times New Roman" w:hAnsi="Century Gothic"/>
                      <w:color w:val="000000"/>
                      <w:sz w:val="14"/>
                      <w:szCs w:val="14"/>
                      <w:lang w:val="es-CO" w:eastAsia="es-CO"/>
                    </w:rPr>
                  </w:pPr>
                  <w:r w:rsidRPr="00135323">
                    <w:rPr>
                      <w:rFonts w:ascii="Century Gothic" w:eastAsia="Times New Roman" w:hAnsi="Century Gothic"/>
                      <w:color w:val="000000"/>
                      <w:sz w:val="14"/>
                      <w:szCs w:val="14"/>
                      <w:lang w:val="es-CO" w:eastAsia="es-CO"/>
                    </w:rPr>
                    <w:t xml:space="preserve">ASDI Agencia Sueca de Cooperación Internacional cubrirá los viáticos y tiquetes que genere esta comisión. </w:t>
                  </w:r>
                </w:p>
              </w:tc>
            </w:tr>
          </w:tbl>
          <w:p w:rsidR="00F8093F" w:rsidRDefault="00F8093F" w:rsidP="00F8093F">
            <w:pPr>
              <w:jc w:val="both"/>
              <w:rPr>
                <w:rFonts w:ascii="Century Gothic" w:hAnsi="Century Gothic"/>
                <w:sz w:val="20"/>
                <w:szCs w:val="20"/>
              </w:rPr>
            </w:pPr>
          </w:p>
          <w:p w:rsidR="00F8093F" w:rsidRPr="00BF17DA" w:rsidRDefault="00F8093F" w:rsidP="009572B0">
            <w:pPr>
              <w:pStyle w:val="Ttulo1"/>
              <w:keepLines/>
              <w:numPr>
                <w:ilvl w:val="0"/>
                <w:numId w:val="28"/>
              </w:numPr>
              <w:spacing w:before="480"/>
              <w:jc w:val="left"/>
              <w:rPr>
                <w:rFonts w:ascii="Century Gothic" w:hAnsi="Century Gothic"/>
                <w:sz w:val="20"/>
                <w:szCs w:val="20"/>
              </w:rPr>
            </w:pPr>
            <w:r w:rsidRPr="00BF17DA">
              <w:rPr>
                <w:rFonts w:ascii="Century Gothic" w:hAnsi="Century Gothic"/>
                <w:sz w:val="20"/>
                <w:szCs w:val="20"/>
              </w:rPr>
              <w:t xml:space="preserve">PUBLICIDAD Y PUBLICACIONES </w:t>
            </w:r>
          </w:p>
          <w:p w:rsidR="00F8093F" w:rsidRPr="00BF17DA" w:rsidRDefault="00F8093F" w:rsidP="00F8093F">
            <w:pPr>
              <w:rPr>
                <w:rFonts w:ascii="Century Gothic" w:hAnsi="Century Gothic"/>
                <w:sz w:val="20"/>
                <w:szCs w:val="20"/>
              </w:rPr>
            </w:pPr>
          </w:p>
          <w:p w:rsidR="00F8093F" w:rsidRDefault="00F8093F" w:rsidP="00F8093F">
            <w:pPr>
              <w:pStyle w:val="NormalWeb"/>
              <w:spacing w:before="0" w:beforeAutospacing="0" w:after="0" w:afterAutospacing="0"/>
              <w:jc w:val="both"/>
              <w:rPr>
                <w:rFonts w:ascii="Century Gothic" w:hAnsi="Century Gothic" w:cs="Arial"/>
                <w:sz w:val="20"/>
                <w:szCs w:val="20"/>
                <w:lang w:val="es-CO" w:eastAsia="es-CO"/>
              </w:rPr>
            </w:pPr>
            <w:r w:rsidRPr="00BF17DA">
              <w:rPr>
                <w:rFonts w:ascii="Century Gothic" w:hAnsi="Century Gothic" w:cs="Arial"/>
                <w:sz w:val="20"/>
                <w:szCs w:val="20"/>
                <w:lang w:val="es-CO" w:eastAsia="es-CO"/>
              </w:rPr>
              <w:t xml:space="preserve">Dando cumplimiento al capítulo III del Decreto de Austeridad (Decreto 1737 de 1998) y Art. 13 del capítulo IV, no se realizaron pagos en el trimestre de </w:t>
            </w:r>
            <w:r w:rsidR="00B05283">
              <w:rPr>
                <w:rFonts w:ascii="Century Gothic" w:hAnsi="Century Gothic" w:cs="Arial"/>
                <w:sz w:val="20"/>
                <w:szCs w:val="20"/>
                <w:lang w:val="es-CO" w:eastAsia="es-CO"/>
              </w:rPr>
              <w:t>Enero a Marzo de 2015 y 2016</w:t>
            </w:r>
            <w:r>
              <w:rPr>
                <w:rFonts w:ascii="Century Gothic" w:hAnsi="Century Gothic" w:cs="Arial"/>
                <w:sz w:val="20"/>
                <w:szCs w:val="20"/>
                <w:lang w:val="es-CO" w:eastAsia="es-CO"/>
              </w:rPr>
              <w:t xml:space="preserve"> </w:t>
            </w:r>
            <w:r w:rsidRPr="00BF17DA">
              <w:rPr>
                <w:rFonts w:ascii="Century Gothic" w:hAnsi="Century Gothic" w:cs="Arial"/>
                <w:sz w:val="20"/>
                <w:szCs w:val="20"/>
                <w:lang w:val="es-CO" w:eastAsia="es-CO"/>
              </w:rPr>
              <w:t>como s</w:t>
            </w:r>
            <w:r>
              <w:rPr>
                <w:rFonts w:ascii="Century Gothic" w:hAnsi="Century Gothic" w:cs="Arial"/>
                <w:sz w:val="20"/>
                <w:szCs w:val="20"/>
                <w:lang w:val="es-CO" w:eastAsia="es-CO"/>
              </w:rPr>
              <w:t xml:space="preserve">e observa en el siguiente cuadro: </w:t>
            </w:r>
          </w:p>
          <w:p w:rsidR="00B17087" w:rsidRDefault="00B17087" w:rsidP="00F8093F">
            <w:pPr>
              <w:pStyle w:val="NormalWeb"/>
              <w:spacing w:before="0" w:beforeAutospacing="0" w:after="0" w:afterAutospacing="0"/>
              <w:jc w:val="both"/>
              <w:rPr>
                <w:rFonts w:ascii="Century Gothic" w:hAnsi="Century Gothic" w:cs="Arial"/>
                <w:sz w:val="20"/>
                <w:szCs w:val="20"/>
                <w:lang w:val="es-CO" w:eastAsia="es-CO"/>
              </w:rPr>
            </w:pPr>
          </w:p>
          <w:p w:rsidR="00F8093F" w:rsidRDefault="00AE266C" w:rsidP="00F8093F">
            <w:pPr>
              <w:jc w:val="both"/>
              <w:rPr>
                <w:rFonts w:ascii="Century Gothic" w:hAnsi="Century Gothic"/>
                <w:sz w:val="20"/>
                <w:szCs w:val="20"/>
                <w:lang w:val="es-CO"/>
              </w:rPr>
            </w:pPr>
            <w:r>
              <w:rPr>
                <w:rFonts w:ascii="Century Gothic" w:hAnsi="Century Gothic"/>
                <w:sz w:val="20"/>
                <w:szCs w:val="20"/>
                <w:lang w:val="es-CO"/>
              </w:rPr>
              <w:object w:dxaOrig="14402" w:dyaOrig="6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5pt;height:311.05pt" o:ole="">
                  <v:imagedata r:id="rId10" o:title=""/>
                </v:shape>
                <o:OLEObject Type="Embed" ProgID="Excel.Sheet.12" ShapeID="_x0000_i1025" DrawAspect="Content" ObjectID="_1526208951" r:id="rId11"/>
              </w:object>
            </w:r>
          </w:p>
          <w:p w:rsidR="00F8093F" w:rsidRDefault="00F8093F" w:rsidP="00F8093F">
            <w:pPr>
              <w:pStyle w:val="Ttulo1"/>
              <w:keepLines/>
              <w:spacing w:before="480"/>
              <w:jc w:val="left"/>
              <w:rPr>
                <w:rFonts w:ascii="Century Gothic" w:hAnsi="Century Gothic"/>
                <w:sz w:val="20"/>
                <w:szCs w:val="20"/>
              </w:rPr>
            </w:pPr>
            <w:r w:rsidRPr="00F577A0">
              <w:rPr>
                <w:rFonts w:ascii="Century Gothic" w:hAnsi="Century Gothic"/>
                <w:sz w:val="20"/>
                <w:szCs w:val="20"/>
              </w:rPr>
              <w:t xml:space="preserve">2.1. Otros temas relacionados con </w:t>
            </w:r>
            <w:r w:rsidRPr="00BF17DA">
              <w:rPr>
                <w:rFonts w:ascii="Century Gothic" w:hAnsi="Century Gothic"/>
                <w:sz w:val="20"/>
                <w:szCs w:val="20"/>
              </w:rPr>
              <w:t>publicidad y publicaciones</w:t>
            </w:r>
            <w:r>
              <w:rPr>
                <w:rFonts w:ascii="Century Gothic" w:hAnsi="Century Gothic"/>
                <w:sz w:val="20"/>
                <w:szCs w:val="20"/>
              </w:rPr>
              <w:t>.</w:t>
            </w:r>
          </w:p>
          <w:p w:rsidR="00F8093F" w:rsidRDefault="00F8093F" w:rsidP="00F8093F">
            <w:pPr>
              <w:rPr>
                <w:lang w:val="es-ES" w:eastAsia="es-ES"/>
              </w:rPr>
            </w:pPr>
          </w:p>
          <w:p w:rsidR="00F8093F" w:rsidRPr="00F577A0" w:rsidRDefault="00F8093F" w:rsidP="00F8093F">
            <w:pPr>
              <w:pStyle w:val="Ttulo2"/>
              <w:spacing w:before="200"/>
              <w:jc w:val="both"/>
              <w:rPr>
                <w:rFonts w:ascii="Century Gothic" w:hAnsi="Century Gothic" w:cs="Arial"/>
                <w:b/>
                <w:color w:val="auto"/>
                <w:sz w:val="20"/>
                <w:szCs w:val="20"/>
                <w:lang w:eastAsia="es-CO"/>
              </w:rPr>
            </w:pPr>
            <w:r w:rsidRPr="00F577A0">
              <w:rPr>
                <w:rFonts w:ascii="Century Gothic" w:hAnsi="Century Gothic" w:cs="Arial"/>
                <w:color w:val="auto"/>
                <w:sz w:val="20"/>
                <w:szCs w:val="20"/>
                <w:lang w:eastAsia="es-CO"/>
              </w:rPr>
              <w:t xml:space="preserve">A continuación se relaciona los temas relacionados en la norma como son la </w:t>
            </w:r>
            <w:r w:rsidRPr="00F577A0">
              <w:rPr>
                <w:rFonts w:ascii="Century Gothic" w:hAnsi="Century Gothic"/>
                <w:color w:val="auto"/>
                <w:sz w:val="20"/>
                <w:szCs w:val="20"/>
                <w:lang w:val="es-MX" w:eastAsia="es-MX"/>
              </w:rPr>
              <w:t>Imprenta Nacional, gastos suntuarios, la impresión, suministro y utilización con cargo al Tesoro Público</w:t>
            </w:r>
            <w:r w:rsidRPr="00F577A0">
              <w:rPr>
                <w:rFonts w:ascii="Century Gothic" w:hAnsi="Century Gothic" w:cs="Arial"/>
                <w:color w:val="auto"/>
                <w:sz w:val="20"/>
                <w:szCs w:val="20"/>
                <w:lang w:eastAsia="es-CO"/>
              </w:rPr>
              <w:t>. Al respecto la dependencia manifiesta que se cumple con la normatividad:</w:t>
            </w:r>
          </w:p>
          <w:p w:rsidR="00F8093F" w:rsidRDefault="00F8093F" w:rsidP="00F8093F">
            <w:pPr>
              <w:rPr>
                <w:lang w:eastAsia="es-ES"/>
              </w:rPr>
            </w:pPr>
          </w:p>
          <w:p w:rsidR="00F8093F" w:rsidRPr="00F577A0" w:rsidRDefault="00F8093F" w:rsidP="00F8093F">
            <w:pPr>
              <w:rPr>
                <w:lang w:eastAsia="es-ES"/>
              </w:rPr>
            </w:pPr>
            <w:r w:rsidRPr="00737FC1">
              <w:rPr>
                <w:noProof/>
                <w:lang w:val="es-CO" w:eastAsia="es-CO"/>
              </w:rPr>
              <w:lastRenderedPageBreak/>
              <w:drawing>
                <wp:inline distT="0" distB="0" distL="0" distR="0" wp14:anchorId="4B82A3E2" wp14:editId="6DD5FC80">
                  <wp:extent cx="6115050" cy="9652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965200"/>
                          </a:xfrm>
                          <a:prstGeom prst="rect">
                            <a:avLst/>
                          </a:prstGeom>
                          <a:noFill/>
                          <a:ln>
                            <a:noFill/>
                          </a:ln>
                        </pic:spPr>
                      </pic:pic>
                    </a:graphicData>
                  </a:graphic>
                </wp:inline>
              </w:drawing>
            </w:r>
          </w:p>
          <w:p w:rsidR="00F8093F" w:rsidRPr="00F577A0" w:rsidRDefault="00F8093F" w:rsidP="00F8093F">
            <w:pPr>
              <w:jc w:val="both"/>
              <w:rPr>
                <w:rFonts w:ascii="Century Gothic" w:hAnsi="Century Gothic"/>
                <w:sz w:val="20"/>
                <w:szCs w:val="20"/>
              </w:rPr>
            </w:pPr>
          </w:p>
          <w:p w:rsidR="00F8093F" w:rsidRDefault="00F8093F" w:rsidP="009572B0">
            <w:pPr>
              <w:pStyle w:val="Ttulo1"/>
              <w:keepLines/>
              <w:numPr>
                <w:ilvl w:val="0"/>
                <w:numId w:val="28"/>
              </w:numPr>
              <w:spacing w:before="480"/>
              <w:jc w:val="left"/>
              <w:rPr>
                <w:rFonts w:ascii="Century Gothic" w:hAnsi="Century Gothic"/>
                <w:sz w:val="20"/>
                <w:szCs w:val="20"/>
              </w:rPr>
            </w:pPr>
            <w:r w:rsidRPr="00975CE4">
              <w:rPr>
                <w:rFonts w:ascii="Century Gothic" w:hAnsi="Century Gothic"/>
                <w:sz w:val="20"/>
                <w:szCs w:val="20"/>
              </w:rPr>
              <w:t>SERVICIOS ADMINISTRATIVOS</w:t>
            </w:r>
            <w:r>
              <w:rPr>
                <w:rFonts w:ascii="Century Gothic" w:hAnsi="Century Gothic"/>
                <w:sz w:val="20"/>
                <w:szCs w:val="20"/>
              </w:rPr>
              <w:t>.</w:t>
            </w:r>
          </w:p>
          <w:p w:rsidR="00F8093F" w:rsidRDefault="00F8093F" w:rsidP="00F8093F">
            <w:pPr>
              <w:rPr>
                <w:lang w:val="es-ES" w:eastAsia="es-ES"/>
              </w:rPr>
            </w:pPr>
          </w:p>
          <w:tbl>
            <w:tblPr>
              <w:tblStyle w:val="Tablaconcuadrcula"/>
              <w:tblW w:w="0" w:type="auto"/>
              <w:tblLayout w:type="fixed"/>
              <w:tblLook w:val="04A0" w:firstRow="1" w:lastRow="0" w:firstColumn="1" w:lastColumn="0" w:noHBand="0" w:noVBand="1"/>
            </w:tblPr>
            <w:tblGrid>
              <w:gridCol w:w="560"/>
              <w:gridCol w:w="2162"/>
              <w:gridCol w:w="1276"/>
              <w:gridCol w:w="1276"/>
              <w:gridCol w:w="1984"/>
              <w:gridCol w:w="2971"/>
            </w:tblGrid>
            <w:tr w:rsidR="00994DA6" w:rsidRPr="00994DA6" w:rsidTr="00994DA6">
              <w:trPr>
                <w:trHeight w:val="300"/>
              </w:trPr>
              <w:tc>
                <w:tcPr>
                  <w:tcW w:w="560" w:type="dxa"/>
                  <w:noWrap/>
                  <w:vAlign w:val="center"/>
                  <w:hideMark/>
                </w:tcPr>
                <w:p w:rsidR="00994DA6" w:rsidRPr="00994DA6" w:rsidRDefault="00994DA6" w:rsidP="00571C03">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Nº</w:t>
                  </w:r>
                </w:p>
              </w:tc>
              <w:tc>
                <w:tcPr>
                  <w:tcW w:w="6698" w:type="dxa"/>
                  <w:gridSpan w:val="4"/>
                  <w:noWrap/>
                  <w:vAlign w:val="center"/>
                  <w:hideMark/>
                </w:tcPr>
                <w:p w:rsidR="00994DA6" w:rsidRPr="00994DA6" w:rsidRDefault="00994DA6" w:rsidP="00571C03">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Aspectos cuantitativos</w:t>
                  </w:r>
                </w:p>
              </w:tc>
              <w:tc>
                <w:tcPr>
                  <w:tcW w:w="2971" w:type="dxa"/>
                  <w:noWrap/>
                  <w:vAlign w:val="center"/>
                  <w:hideMark/>
                </w:tcPr>
                <w:p w:rsidR="00994DA6" w:rsidRPr="00994DA6" w:rsidRDefault="00994DA6" w:rsidP="00571C03">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Situaciones encontradas por la OCI</w:t>
                  </w:r>
                </w:p>
              </w:tc>
            </w:tr>
            <w:tr w:rsidR="00994DA6" w:rsidRPr="00994DA6" w:rsidTr="00571C03">
              <w:trPr>
                <w:trHeight w:val="987"/>
              </w:trPr>
              <w:tc>
                <w:tcPr>
                  <w:tcW w:w="560" w:type="dxa"/>
                  <w:noWrap/>
                  <w:vAlign w:val="center"/>
                  <w:hideMark/>
                </w:tcPr>
                <w:p w:rsidR="00994DA6" w:rsidRPr="00994DA6" w:rsidRDefault="00994DA6" w:rsidP="00571C03">
                  <w:pPr>
                    <w:spacing w:after="0"/>
                    <w:jc w:val="center"/>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w:t>
                  </w:r>
                </w:p>
              </w:tc>
              <w:tc>
                <w:tcPr>
                  <w:tcW w:w="2162" w:type="dxa"/>
                  <w:vAlign w:val="center"/>
                  <w:hideMark/>
                </w:tcPr>
                <w:p w:rsidR="00994DA6" w:rsidRPr="00994DA6" w:rsidRDefault="00994DA6" w:rsidP="00571C03">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Concepto</w:t>
                  </w:r>
                </w:p>
              </w:tc>
              <w:tc>
                <w:tcPr>
                  <w:tcW w:w="1276" w:type="dxa"/>
                  <w:vAlign w:val="center"/>
                  <w:hideMark/>
                </w:tcPr>
                <w:p w:rsidR="00994DA6" w:rsidRPr="00994DA6" w:rsidRDefault="00994DA6" w:rsidP="00571C03">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Valor pagado entre Enero - Marzo de la vigencia 2015</w:t>
                  </w:r>
                </w:p>
              </w:tc>
              <w:tc>
                <w:tcPr>
                  <w:tcW w:w="1276" w:type="dxa"/>
                  <w:vAlign w:val="center"/>
                  <w:hideMark/>
                </w:tcPr>
                <w:p w:rsidR="00994DA6" w:rsidRPr="00994DA6" w:rsidRDefault="00994DA6" w:rsidP="00571C03">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Valor pagado entre Enero - Marzo de la vigencia 2016</w:t>
                  </w:r>
                </w:p>
              </w:tc>
              <w:tc>
                <w:tcPr>
                  <w:tcW w:w="1984" w:type="dxa"/>
                  <w:vAlign w:val="center"/>
                  <w:hideMark/>
                </w:tcPr>
                <w:p w:rsidR="00994DA6" w:rsidRPr="00994DA6" w:rsidRDefault="00994DA6" w:rsidP="00571C03">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 Variación del valor pagado entre Enero - Marzo de 2016 respecto al mismo periodo de la vigencia 2015</w:t>
                  </w:r>
                </w:p>
              </w:tc>
              <w:tc>
                <w:tcPr>
                  <w:tcW w:w="2971" w:type="dxa"/>
                  <w:vMerge w:val="restart"/>
                  <w:vAlign w:val="center"/>
                  <w:hideMark/>
                </w:tcPr>
                <w:p w:rsidR="00571C03" w:rsidRPr="00571C03" w:rsidRDefault="00571C03" w:rsidP="00571C03">
                  <w:pPr>
                    <w:spacing w:after="0"/>
                    <w:jc w:val="both"/>
                    <w:rPr>
                      <w:rFonts w:ascii="Century Gothic" w:eastAsia="Times New Roman" w:hAnsi="Century Gothic"/>
                      <w:color w:val="000000"/>
                      <w:sz w:val="14"/>
                      <w:szCs w:val="14"/>
                      <w:lang w:val="es-CO" w:eastAsia="es-CO"/>
                    </w:rPr>
                  </w:pPr>
                  <w:r w:rsidRPr="00571C03">
                    <w:rPr>
                      <w:rFonts w:ascii="Century Gothic" w:eastAsia="Times New Roman" w:hAnsi="Century Gothic"/>
                      <w:color w:val="000000"/>
                      <w:sz w:val="14"/>
                      <w:szCs w:val="14"/>
                      <w:lang w:val="es-CO" w:eastAsia="es-CO"/>
                    </w:rPr>
                    <w:t>Dando cumplimiento al Art. 14 a 16 Capitulo IV del Decreto1737 de 1998 en temas relacionados en servicios administrativos, telefonía y servicios públicos se presenta a continuación la tabla donde se relaciona los pagos por cada concepto y una breve explicación de la dependencia.</w:t>
                  </w:r>
                </w:p>
                <w:p w:rsidR="00571C03" w:rsidRPr="00571C03" w:rsidRDefault="00571C03" w:rsidP="00571C03">
                  <w:pPr>
                    <w:spacing w:after="0"/>
                    <w:jc w:val="both"/>
                    <w:rPr>
                      <w:rFonts w:ascii="Century Gothic" w:eastAsia="Times New Roman" w:hAnsi="Century Gothic"/>
                      <w:color w:val="000000"/>
                      <w:sz w:val="14"/>
                      <w:szCs w:val="14"/>
                      <w:lang w:val="es-CO" w:eastAsia="es-CO"/>
                    </w:rPr>
                  </w:pPr>
                </w:p>
                <w:p w:rsidR="00571C03" w:rsidRPr="00571C03" w:rsidRDefault="00571C03" w:rsidP="00571C03">
                  <w:pPr>
                    <w:spacing w:after="0"/>
                    <w:jc w:val="both"/>
                    <w:rPr>
                      <w:rFonts w:ascii="Century Gothic" w:eastAsia="Times New Roman" w:hAnsi="Century Gothic"/>
                      <w:color w:val="000000"/>
                      <w:sz w:val="14"/>
                      <w:szCs w:val="14"/>
                      <w:lang w:val="es-CO" w:eastAsia="es-CO"/>
                    </w:rPr>
                  </w:pPr>
                  <w:r w:rsidRPr="00571C03">
                    <w:rPr>
                      <w:rFonts w:ascii="Century Gothic" w:eastAsia="Times New Roman" w:hAnsi="Century Gothic"/>
                      <w:color w:val="000000"/>
                      <w:sz w:val="14"/>
                      <w:szCs w:val="14"/>
                      <w:lang w:val="es-CO" w:eastAsia="es-CO"/>
                    </w:rPr>
                    <w:t>Al realizar el análisis del comportamiento en la variación de servicios públicos se observa que la entidad presentó un aumento de infraestructura física como se ve reflejado en los servicios de energía y mantenimiento (se utiliza para el pago de aseo, vigilancia, cafetería y mantenimiento de otros bienes).</w:t>
                  </w:r>
                </w:p>
                <w:p w:rsidR="00571C03" w:rsidRPr="00571C03" w:rsidRDefault="00571C03" w:rsidP="00571C03">
                  <w:pPr>
                    <w:spacing w:after="0"/>
                    <w:jc w:val="both"/>
                    <w:rPr>
                      <w:rFonts w:ascii="Century Gothic" w:eastAsia="Times New Roman" w:hAnsi="Century Gothic"/>
                      <w:color w:val="000000"/>
                      <w:sz w:val="14"/>
                      <w:szCs w:val="14"/>
                      <w:lang w:val="es-CO" w:eastAsia="es-CO"/>
                    </w:rPr>
                  </w:pPr>
                </w:p>
                <w:p w:rsidR="00994DA6" w:rsidRPr="00994DA6" w:rsidRDefault="00571C03" w:rsidP="00571C03">
                  <w:pPr>
                    <w:spacing w:after="0"/>
                    <w:jc w:val="both"/>
                    <w:rPr>
                      <w:rFonts w:ascii="Century Gothic" w:eastAsia="Times New Roman" w:hAnsi="Century Gothic"/>
                      <w:color w:val="000000"/>
                      <w:sz w:val="14"/>
                      <w:szCs w:val="14"/>
                      <w:lang w:val="es-CO" w:eastAsia="es-CO"/>
                    </w:rPr>
                  </w:pPr>
                  <w:r w:rsidRPr="00571C03">
                    <w:rPr>
                      <w:rFonts w:ascii="Century Gothic" w:eastAsia="Times New Roman" w:hAnsi="Century Gothic"/>
                      <w:color w:val="000000"/>
                      <w:sz w:val="14"/>
                      <w:szCs w:val="14"/>
                      <w:lang w:val="es-CO" w:eastAsia="es-CO"/>
                    </w:rPr>
                    <w:t>Para el rubro de telefonía móvil celular</w:t>
                  </w:r>
                  <w:r w:rsidR="00B05283">
                    <w:rPr>
                      <w:rFonts w:ascii="Century Gothic" w:eastAsia="Times New Roman" w:hAnsi="Century Gothic"/>
                      <w:color w:val="000000"/>
                      <w:sz w:val="14"/>
                      <w:szCs w:val="14"/>
                      <w:lang w:val="es-CO" w:eastAsia="es-CO"/>
                    </w:rPr>
                    <w:t xml:space="preserve"> se ve un incremento por el IPC.</w:t>
                  </w:r>
                  <w:r w:rsidRPr="00571C03">
                    <w:rPr>
                      <w:rFonts w:ascii="Century Gothic" w:eastAsia="Times New Roman" w:hAnsi="Century Gothic"/>
                      <w:color w:val="000000"/>
                      <w:sz w:val="14"/>
                      <w:szCs w:val="14"/>
                      <w:lang w:val="es-CO" w:eastAsia="es-CO"/>
                    </w:rPr>
                    <w:t xml:space="preserve"> Este servicio queda abierto solo para la Directora, Subdirectora y Secretario General.</w:t>
                  </w:r>
                </w:p>
              </w:tc>
            </w:tr>
            <w:tr w:rsidR="00994DA6" w:rsidRPr="00994DA6" w:rsidTr="00571C03">
              <w:trPr>
                <w:trHeight w:val="424"/>
              </w:trPr>
              <w:tc>
                <w:tcPr>
                  <w:tcW w:w="560" w:type="dxa"/>
                  <w:noWrap/>
                  <w:vAlign w:val="center"/>
                  <w:hideMark/>
                </w:tcPr>
                <w:p w:rsidR="00994DA6" w:rsidRPr="00994DA6" w:rsidRDefault="00994DA6" w:rsidP="00571C03">
                  <w:pPr>
                    <w:spacing w:after="0"/>
                    <w:jc w:val="center"/>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1</w:t>
                  </w:r>
                </w:p>
              </w:tc>
              <w:tc>
                <w:tcPr>
                  <w:tcW w:w="2162" w:type="dxa"/>
                  <w:vAlign w:val="center"/>
                  <w:hideMark/>
                </w:tcPr>
                <w:p w:rsidR="00994DA6" w:rsidRPr="00994DA6" w:rsidRDefault="00994DA6" w:rsidP="00571C03">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ACUEDUCTO ALCANTARILLADO Y ASEO</w:t>
                  </w:r>
                </w:p>
              </w:tc>
              <w:tc>
                <w:tcPr>
                  <w:tcW w:w="1276" w:type="dxa"/>
                  <w:noWrap/>
                  <w:vAlign w:val="center"/>
                  <w:hideMark/>
                </w:tcPr>
                <w:p w:rsidR="00994DA6" w:rsidRPr="00994DA6" w:rsidRDefault="00571C03" w:rsidP="00571C03">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1</w:t>
                  </w:r>
                  <w:r w:rsidR="00994DA6" w:rsidRPr="00994DA6">
                    <w:rPr>
                      <w:rFonts w:ascii="Century Gothic" w:eastAsia="Times New Roman" w:hAnsi="Century Gothic"/>
                      <w:color w:val="000000"/>
                      <w:sz w:val="14"/>
                      <w:szCs w:val="14"/>
                      <w:lang w:val="es-CO" w:eastAsia="es-CO"/>
                    </w:rPr>
                    <w:t xml:space="preserve">3.785.186,68   </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14.131.693,05   </w:t>
                  </w:r>
                </w:p>
              </w:tc>
              <w:tc>
                <w:tcPr>
                  <w:tcW w:w="1984"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2,51%</w:t>
                  </w:r>
                </w:p>
              </w:tc>
              <w:tc>
                <w:tcPr>
                  <w:tcW w:w="2971" w:type="dxa"/>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571C03">
              <w:trPr>
                <w:trHeight w:val="274"/>
              </w:trPr>
              <w:tc>
                <w:tcPr>
                  <w:tcW w:w="560" w:type="dxa"/>
                  <w:noWrap/>
                  <w:vAlign w:val="center"/>
                  <w:hideMark/>
                </w:tcPr>
                <w:p w:rsidR="00994DA6" w:rsidRPr="00994DA6" w:rsidRDefault="00994DA6" w:rsidP="00571C03">
                  <w:pPr>
                    <w:spacing w:after="0"/>
                    <w:jc w:val="center"/>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2</w:t>
                  </w:r>
                </w:p>
              </w:tc>
              <w:tc>
                <w:tcPr>
                  <w:tcW w:w="2162" w:type="dxa"/>
                  <w:vAlign w:val="center"/>
                  <w:hideMark/>
                </w:tcPr>
                <w:p w:rsidR="00994DA6" w:rsidRPr="00994DA6" w:rsidRDefault="00994DA6" w:rsidP="00571C03">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ENERGIA</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125.696.957,42   </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188.745.589,93   </w:t>
                  </w:r>
                </w:p>
              </w:tc>
              <w:tc>
                <w:tcPr>
                  <w:tcW w:w="1984"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50,16%</w:t>
                  </w:r>
                </w:p>
              </w:tc>
              <w:tc>
                <w:tcPr>
                  <w:tcW w:w="2971" w:type="dxa"/>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571C03">
              <w:trPr>
                <w:trHeight w:val="351"/>
              </w:trPr>
              <w:tc>
                <w:tcPr>
                  <w:tcW w:w="560" w:type="dxa"/>
                  <w:noWrap/>
                  <w:vAlign w:val="center"/>
                  <w:hideMark/>
                </w:tcPr>
                <w:p w:rsidR="00994DA6" w:rsidRPr="00994DA6" w:rsidRDefault="00994DA6" w:rsidP="00571C03">
                  <w:pPr>
                    <w:spacing w:after="0"/>
                    <w:jc w:val="center"/>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3</w:t>
                  </w:r>
                </w:p>
              </w:tc>
              <w:tc>
                <w:tcPr>
                  <w:tcW w:w="2162" w:type="dxa"/>
                  <w:vAlign w:val="center"/>
                  <w:hideMark/>
                </w:tcPr>
                <w:p w:rsidR="00994DA6" w:rsidRPr="00994DA6" w:rsidRDefault="00994DA6" w:rsidP="00571C03">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GAS NATURAL</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75.503,00   </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67.227,00   </w:t>
                  </w:r>
                </w:p>
              </w:tc>
              <w:tc>
                <w:tcPr>
                  <w:tcW w:w="1984"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-10,96%</w:t>
                  </w:r>
                </w:p>
              </w:tc>
              <w:tc>
                <w:tcPr>
                  <w:tcW w:w="2971" w:type="dxa"/>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571C03">
              <w:trPr>
                <w:trHeight w:val="412"/>
              </w:trPr>
              <w:tc>
                <w:tcPr>
                  <w:tcW w:w="560" w:type="dxa"/>
                  <w:noWrap/>
                  <w:vAlign w:val="center"/>
                  <w:hideMark/>
                </w:tcPr>
                <w:p w:rsidR="00994DA6" w:rsidRPr="00994DA6" w:rsidRDefault="00994DA6" w:rsidP="00571C03">
                  <w:pPr>
                    <w:spacing w:after="0"/>
                    <w:jc w:val="center"/>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4</w:t>
                  </w:r>
                </w:p>
              </w:tc>
              <w:tc>
                <w:tcPr>
                  <w:tcW w:w="2162" w:type="dxa"/>
                  <w:vAlign w:val="center"/>
                  <w:hideMark/>
                </w:tcPr>
                <w:p w:rsidR="00994DA6" w:rsidRPr="00994DA6" w:rsidRDefault="00994DA6" w:rsidP="00571C03">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TELEFONIA MOVIL CELULAR</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7.127.891,98   </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7.429.801,77   </w:t>
                  </w:r>
                </w:p>
              </w:tc>
              <w:tc>
                <w:tcPr>
                  <w:tcW w:w="1984"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4,24%</w:t>
                  </w:r>
                </w:p>
              </w:tc>
              <w:tc>
                <w:tcPr>
                  <w:tcW w:w="2971" w:type="dxa"/>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571C03">
              <w:trPr>
                <w:trHeight w:val="404"/>
              </w:trPr>
              <w:tc>
                <w:tcPr>
                  <w:tcW w:w="560" w:type="dxa"/>
                  <w:noWrap/>
                  <w:vAlign w:val="center"/>
                  <w:hideMark/>
                </w:tcPr>
                <w:p w:rsidR="00994DA6" w:rsidRPr="00994DA6" w:rsidRDefault="00994DA6" w:rsidP="00571C03">
                  <w:pPr>
                    <w:spacing w:after="0"/>
                    <w:jc w:val="center"/>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5</w:t>
                  </w:r>
                </w:p>
              </w:tc>
              <w:tc>
                <w:tcPr>
                  <w:tcW w:w="2162" w:type="dxa"/>
                  <w:vAlign w:val="center"/>
                  <w:hideMark/>
                </w:tcPr>
                <w:p w:rsidR="00994DA6" w:rsidRPr="00994DA6" w:rsidRDefault="00994DA6" w:rsidP="00571C03">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TELEFONO,FAX Y OTROS</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19.947.046,10   </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17.467.944,81   </w:t>
                  </w:r>
                </w:p>
              </w:tc>
              <w:tc>
                <w:tcPr>
                  <w:tcW w:w="1984"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-12,43%</w:t>
                  </w:r>
                </w:p>
              </w:tc>
              <w:tc>
                <w:tcPr>
                  <w:tcW w:w="2971" w:type="dxa"/>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994DA6">
              <w:trPr>
                <w:trHeight w:val="540"/>
              </w:trPr>
              <w:tc>
                <w:tcPr>
                  <w:tcW w:w="560" w:type="dxa"/>
                  <w:noWrap/>
                  <w:vAlign w:val="center"/>
                  <w:hideMark/>
                </w:tcPr>
                <w:p w:rsidR="00994DA6" w:rsidRPr="00994DA6" w:rsidRDefault="00994DA6" w:rsidP="00571C03">
                  <w:pPr>
                    <w:spacing w:after="0"/>
                    <w:jc w:val="center"/>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6</w:t>
                  </w:r>
                </w:p>
              </w:tc>
              <w:tc>
                <w:tcPr>
                  <w:tcW w:w="2162" w:type="dxa"/>
                  <w:vAlign w:val="center"/>
                  <w:hideMark/>
                </w:tcPr>
                <w:p w:rsidR="00994DA6" w:rsidRPr="00994DA6" w:rsidRDefault="00994DA6" w:rsidP="00571C03">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OTROS SERVICIOS PÚBLICOS</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30.357.141,00   </w:t>
                  </w:r>
                </w:p>
              </w:tc>
              <w:tc>
                <w:tcPr>
                  <w:tcW w:w="1276"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               24.997.002,00   </w:t>
                  </w:r>
                </w:p>
              </w:tc>
              <w:tc>
                <w:tcPr>
                  <w:tcW w:w="1984" w:type="dxa"/>
                  <w:noWrap/>
                  <w:vAlign w:val="center"/>
                  <w:hideMark/>
                </w:tcPr>
                <w:p w:rsidR="00994DA6" w:rsidRPr="00994DA6" w:rsidRDefault="00994DA6" w:rsidP="00571C03">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-17,66%</w:t>
                  </w:r>
                </w:p>
              </w:tc>
              <w:tc>
                <w:tcPr>
                  <w:tcW w:w="2971" w:type="dxa"/>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571C03">
              <w:trPr>
                <w:trHeight w:val="291"/>
              </w:trPr>
              <w:tc>
                <w:tcPr>
                  <w:tcW w:w="2722" w:type="dxa"/>
                  <w:gridSpan w:val="2"/>
                  <w:noWrap/>
                  <w:vAlign w:val="center"/>
                  <w:hideMark/>
                </w:tcPr>
                <w:p w:rsidR="00994DA6" w:rsidRPr="00994DA6" w:rsidRDefault="00994DA6" w:rsidP="00571C03">
                  <w:pPr>
                    <w:spacing w:after="0"/>
                    <w:jc w:val="right"/>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TOTALES $</w:t>
                  </w:r>
                </w:p>
              </w:tc>
              <w:tc>
                <w:tcPr>
                  <w:tcW w:w="1276" w:type="dxa"/>
                  <w:noWrap/>
                  <w:vAlign w:val="center"/>
                  <w:hideMark/>
                </w:tcPr>
                <w:p w:rsidR="00994DA6" w:rsidRPr="00994DA6" w:rsidRDefault="00994DA6" w:rsidP="00571C03">
                  <w:pPr>
                    <w:spacing w:after="0"/>
                    <w:jc w:val="right"/>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 xml:space="preserve">196.989.726,18   </w:t>
                  </w:r>
                </w:p>
              </w:tc>
              <w:tc>
                <w:tcPr>
                  <w:tcW w:w="1276" w:type="dxa"/>
                  <w:noWrap/>
                  <w:vAlign w:val="center"/>
                  <w:hideMark/>
                </w:tcPr>
                <w:p w:rsidR="00994DA6" w:rsidRPr="00994DA6" w:rsidRDefault="00994DA6" w:rsidP="00571C03">
                  <w:pPr>
                    <w:spacing w:after="0"/>
                    <w:jc w:val="right"/>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 xml:space="preserve">252.839.258,56   </w:t>
                  </w:r>
                </w:p>
              </w:tc>
              <w:tc>
                <w:tcPr>
                  <w:tcW w:w="1984" w:type="dxa"/>
                  <w:noWrap/>
                  <w:vAlign w:val="center"/>
                  <w:hideMark/>
                </w:tcPr>
                <w:p w:rsidR="00994DA6" w:rsidRPr="00994DA6" w:rsidRDefault="00994DA6" w:rsidP="00571C03">
                  <w:pPr>
                    <w:spacing w:after="0"/>
                    <w:jc w:val="right"/>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28,35%</w:t>
                  </w:r>
                </w:p>
              </w:tc>
              <w:tc>
                <w:tcPr>
                  <w:tcW w:w="2971" w:type="dxa"/>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994DA6">
              <w:trPr>
                <w:trHeight w:val="372"/>
              </w:trPr>
              <w:tc>
                <w:tcPr>
                  <w:tcW w:w="10229" w:type="dxa"/>
                  <w:gridSpan w:val="6"/>
                  <w:vMerge w:val="restart"/>
                  <w:vAlign w:val="center"/>
                </w:tcPr>
                <w:p w:rsidR="00994DA6" w:rsidRPr="00994DA6" w:rsidRDefault="00994DA6" w:rsidP="00571C03">
                  <w:pPr>
                    <w:spacing w:after="0"/>
                    <w:jc w:val="both"/>
                    <w:rPr>
                      <w:rFonts w:ascii="Century Gothic" w:eastAsia="Times New Roman" w:hAnsi="Century Gothic"/>
                      <w:b/>
                      <w:color w:val="000000"/>
                      <w:sz w:val="14"/>
                      <w:szCs w:val="14"/>
                      <w:lang w:val="es-CO" w:eastAsia="es-CO"/>
                    </w:rPr>
                  </w:pPr>
                  <w:r w:rsidRPr="00994DA6">
                    <w:rPr>
                      <w:rFonts w:ascii="Century Gothic" w:eastAsia="Times New Roman" w:hAnsi="Century Gothic"/>
                      <w:b/>
                      <w:color w:val="000000"/>
                      <w:sz w:val="14"/>
                      <w:szCs w:val="14"/>
                      <w:lang w:val="es-CO" w:eastAsia="es-CO"/>
                    </w:rPr>
                    <w:t>Información enviada por el proceso:</w:t>
                  </w:r>
                </w:p>
                <w:p w:rsidR="00994DA6" w:rsidRPr="00994DA6" w:rsidRDefault="00994DA6" w:rsidP="00571C03">
                  <w:pPr>
                    <w:spacing w:after="0"/>
                    <w:jc w:val="both"/>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1. El servicio de acueducto aumentó debido a que para el período enero-marzo en el 2015 no se pagó el servicio en las sedes de </w:t>
                  </w:r>
                  <w:proofErr w:type="spellStart"/>
                  <w:r w:rsidRPr="00994DA6">
                    <w:rPr>
                      <w:rFonts w:ascii="Century Gothic" w:eastAsia="Times New Roman" w:hAnsi="Century Gothic"/>
                      <w:color w:val="000000"/>
                      <w:sz w:val="14"/>
                      <w:szCs w:val="14"/>
                      <w:lang w:val="es-CO" w:eastAsia="es-CO"/>
                    </w:rPr>
                    <w:t>Afinsa</w:t>
                  </w:r>
                  <w:proofErr w:type="spellEnd"/>
                  <w:r w:rsidRPr="00994DA6">
                    <w:rPr>
                      <w:rFonts w:ascii="Century Gothic" w:eastAsia="Times New Roman" w:hAnsi="Century Gothic"/>
                      <w:color w:val="000000"/>
                      <w:sz w:val="14"/>
                      <w:szCs w:val="14"/>
                      <w:lang w:val="es-CO" w:eastAsia="es-CO"/>
                    </w:rPr>
                    <w:t xml:space="preserve"> pisos 2</w:t>
                  </w:r>
                  <w:r w:rsidR="00571C03" w:rsidRPr="00994DA6">
                    <w:rPr>
                      <w:rFonts w:ascii="Century Gothic" w:eastAsia="Times New Roman" w:hAnsi="Century Gothic"/>
                      <w:color w:val="000000"/>
                      <w:sz w:val="14"/>
                      <w:szCs w:val="14"/>
                      <w:lang w:val="es-CO" w:eastAsia="es-CO"/>
                    </w:rPr>
                    <w:t>, 3,8</w:t>
                  </w:r>
                  <w:r w:rsidRPr="00994DA6">
                    <w:rPr>
                      <w:rFonts w:ascii="Century Gothic" w:eastAsia="Times New Roman" w:hAnsi="Century Gothic"/>
                      <w:color w:val="000000"/>
                      <w:sz w:val="14"/>
                      <w:szCs w:val="14"/>
                      <w:lang w:val="es-CO" w:eastAsia="es-CO"/>
                    </w:rPr>
                    <w:t xml:space="preserve"> y 11 que sí se pagaron en el 2016.</w:t>
                  </w:r>
                </w:p>
                <w:p w:rsidR="00994DA6" w:rsidRPr="00994DA6" w:rsidRDefault="00994DA6" w:rsidP="00571C03">
                  <w:pPr>
                    <w:spacing w:after="0"/>
                    <w:jc w:val="both"/>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2. Para el año 2015 no se pagaba energía en las sedes de </w:t>
                  </w:r>
                  <w:proofErr w:type="spellStart"/>
                  <w:r w:rsidRPr="00994DA6">
                    <w:rPr>
                      <w:rFonts w:ascii="Century Gothic" w:eastAsia="Times New Roman" w:hAnsi="Century Gothic"/>
                      <w:color w:val="000000"/>
                      <w:sz w:val="14"/>
                      <w:szCs w:val="14"/>
                      <w:lang w:val="es-CO" w:eastAsia="es-CO"/>
                    </w:rPr>
                    <w:t>Afinsa</w:t>
                  </w:r>
                  <w:proofErr w:type="spellEnd"/>
                  <w:r w:rsidRPr="00994DA6">
                    <w:rPr>
                      <w:rFonts w:ascii="Century Gothic" w:eastAsia="Times New Roman" w:hAnsi="Century Gothic"/>
                      <w:color w:val="000000"/>
                      <w:sz w:val="14"/>
                      <w:szCs w:val="14"/>
                      <w:lang w:val="es-CO" w:eastAsia="es-CO"/>
                    </w:rPr>
                    <w:t xml:space="preserve"> pisos 2,3,8,11, y Parque Santander piso 4, mientras que en 2016 sí. Es importante resaltar que el consumo de las sedes de Bogotá tiene mayor peso que el de las territoriales dado principalmente a la cantidad de personas. Esto justifica el aumento en el período de análisis.</w:t>
                  </w:r>
                </w:p>
                <w:p w:rsidR="00994DA6" w:rsidRPr="00994DA6" w:rsidRDefault="00994DA6" w:rsidP="00571C03">
                  <w:pPr>
                    <w:spacing w:after="0"/>
                    <w:jc w:val="both"/>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3. El servicio de gas natural se sigue prestando en las mismas sedes. La diferencia es que para el período enero-marzo de 2015 se alcanzaron a pagar 3 facturas en Cali, mientras que en 2016 se pagaron 2. Cabe aclarar que en este caso se muestra una disminución en el servicio de gas natural, pero no porque éste haya disminuido sino porque como se dijo anteriormente, se alcanzaron a pagar más facturas en el 2015 dentro de este período y por lo tanto</w:t>
                  </w:r>
                  <w:r w:rsidR="00571C03" w:rsidRPr="00994DA6">
                    <w:rPr>
                      <w:rFonts w:ascii="Century Gothic" w:eastAsia="Times New Roman" w:hAnsi="Century Gothic"/>
                      <w:color w:val="000000"/>
                      <w:sz w:val="14"/>
                      <w:szCs w:val="14"/>
                      <w:lang w:val="es-CO" w:eastAsia="es-CO"/>
                    </w:rPr>
                    <w:t>, es</w:t>
                  </w:r>
                  <w:r w:rsidRPr="00994DA6">
                    <w:rPr>
                      <w:rFonts w:ascii="Century Gothic" w:eastAsia="Times New Roman" w:hAnsi="Century Gothic"/>
                      <w:color w:val="000000"/>
                      <w:sz w:val="14"/>
                      <w:szCs w:val="14"/>
                      <w:lang w:val="es-CO" w:eastAsia="es-CO"/>
                    </w:rPr>
                    <w:t xml:space="preserve"> posible que en los períodos posteriores se evidencie un aumento.</w:t>
                  </w:r>
                </w:p>
                <w:p w:rsidR="00994DA6" w:rsidRPr="00994DA6" w:rsidRDefault="00994DA6" w:rsidP="00571C03">
                  <w:pPr>
                    <w:spacing w:after="0"/>
                    <w:jc w:val="both"/>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4. El servicio de telefonía móvil celular está cerrado para las Direcciones Territoriales, pero abierto para la Directora, Subdirectora y Secretario General, por lo que la diferencia en el valor, se debe al consumo de estas tres líneas y al aumento en la tarifa realizado para el año 2016.</w:t>
                  </w:r>
                </w:p>
                <w:p w:rsidR="00994DA6" w:rsidRPr="00994DA6" w:rsidRDefault="00994DA6" w:rsidP="00571C03">
                  <w:pPr>
                    <w:spacing w:after="0"/>
                    <w:jc w:val="both"/>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5. A diferencia del 2016, en el 2015 para el período enero-marzo se pagaron las líneas de Valledupar y una línea de Colombia Telecomunicaciones que se trasladó de la sede de Edificio Ángel a </w:t>
                  </w:r>
                  <w:proofErr w:type="spellStart"/>
                  <w:r w:rsidRPr="00994DA6">
                    <w:rPr>
                      <w:rFonts w:ascii="Century Gothic" w:eastAsia="Times New Roman" w:hAnsi="Century Gothic"/>
                      <w:color w:val="000000"/>
                      <w:sz w:val="14"/>
                      <w:szCs w:val="14"/>
                      <w:lang w:val="es-CO" w:eastAsia="es-CO"/>
                    </w:rPr>
                    <w:t>Afinsa</w:t>
                  </w:r>
                  <w:proofErr w:type="spellEnd"/>
                  <w:r w:rsidRPr="00994DA6">
                    <w:rPr>
                      <w:rFonts w:ascii="Century Gothic" w:eastAsia="Times New Roman" w:hAnsi="Century Gothic"/>
                      <w:color w:val="000000"/>
                      <w:sz w:val="14"/>
                      <w:szCs w:val="14"/>
                      <w:lang w:val="es-CO" w:eastAsia="es-CO"/>
                    </w:rPr>
                    <w:t>, y que al cumplirse la permanencia se canceló.</w:t>
                  </w:r>
                </w:p>
                <w:p w:rsidR="00994DA6" w:rsidRPr="00994DA6" w:rsidRDefault="00994DA6" w:rsidP="00571C03">
                  <w:pPr>
                    <w:spacing w:after="0"/>
                    <w:jc w:val="both"/>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6. La disminución en el rubro de OTROS SERVICIOS PÚBLICOS se debe a que desde el mes de marzo de 2016, se cancelaron 50 líneas </w:t>
                  </w:r>
                  <w:proofErr w:type="spellStart"/>
                  <w:r w:rsidRPr="00994DA6">
                    <w:rPr>
                      <w:rFonts w:ascii="Century Gothic" w:eastAsia="Times New Roman" w:hAnsi="Century Gothic"/>
                      <w:color w:val="000000"/>
                      <w:sz w:val="14"/>
                      <w:szCs w:val="14"/>
                      <w:lang w:val="es-CO" w:eastAsia="es-CO"/>
                    </w:rPr>
                    <w:t>Avantel</w:t>
                  </w:r>
                  <w:proofErr w:type="spellEnd"/>
                  <w:r w:rsidRPr="00994DA6">
                    <w:rPr>
                      <w:rFonts w:ascii="Century Gothic" w:eastAsia="Times New Roman" w:hAnsi="Century Gothic"/>
                      <w:color w:val="000000"/>
                      <w:sz w:val="14"/>
                      <w:szCs w:val="14"/>
                      <w:lang w:val="es-CO" w:eastAsia="es-CO"/>
                    </w:rPr>
                    <w:t>.</w:t>
                  </w:r>
                </w:p>
              </w:tc>
            </w:tr>
            <w:tr w:rsidR="00994DA6" w:rsidRPr="00994DA6" w:rsidTr="00994DA6">
              <w:trPr>
                <w:trHeight w:val="372"/>
              </w:trPr>
              <w:tc>
                <w:tcPr>
                  <w:tcW w:w="10229" w:type="dxa"/>
                  <w:gridSpan w:val="6"/>
                  <w:vMerge/>
                  <w:vAlign w:val="center"/>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994DA6">
              <w:trPr>
                <w:trHeight w:val="372"/>
              </w:trPr>
              <w:tc>
                <w:tcPr>
                  <w:tcW w:w="10229" w:type="dxa"/>
                  <w:gridSpan w:val="6"/>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994DA6">
              <w:trPr>
                <w:trHeight w:val="372"/>
              </w:trPr>
              <w:tc>
                <w:tcPr>
                  <w:tcW w:w="10229" w:type="dxa"/>
                  <w:gridSpan w:val="6"/>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r w:rsidR="00994DA6" w:rsidRPr="00994DA6" w:rsidTr="00571C03">
              <w:trPr>
                <w:trHeight w:val="1504"/>
              </w:trPr>
              <w:tc>
                <w:tcPr>
                  <w:tcW w:w="10229" w:type="dxa"/>
                  <w:gridSpan w:val="6"/>
                  <w:vMerge/>
                  <w:vAlign w:val="center"/>
                  <w:hideMark/>
                </w:tcPr>
                <w:p w:rsidR="00994DA6" w:rsidRPr="00994DA6" w:rsidRDefault="00994DA6" w:rsidP="00571C03">
                  <w:pPr>
                    <w:spacing w:after="0"/>
                    <w:rPr>
                      <w:rFonts w:ascii="Century Gothic" w:eastAsia="Times New Roman" w:hAnsi="Century Gothic"/>
                      <w:color w:val="000000"/>
                      <w:sz w:val="14"/>
                      <w:szCs w:val="14"/>
                      <w:lang w:val="es-CO" w:eastAsia="es-CO"/>
                    </w:rPr>
                  </w:pPr>
                </w:p>
              </w:tc>
            </w:tr>
          </w:tbl>
          <w:p w:rsidR="00F8093F" w:rsidRDefault="00F8093F" w:rsidP="00F8093F">
            <w:pPr>
              <w:pStyle w:val="Ttulo1"/>
              <w:keepLines/>
              <w:numPr>
                <w:ilvl w:val="1"/>
                <w:numId w:val="25"/>
              </w:numPr>
              <w:spacing w:before="480"/>
              <w:jc w:val="left"/>
              <w:rPr>
                <w:rFonts w:ascii="Century Gothic" w:hAnsi="Century Gothic"/>
                <w:sz w:val="20"/>
                <w:szCs w:val="20"/>
              </w:rPr>
            </w:pPr>
            <w:r w:rsidRPr="00F577A0">
              <w:rPr>
                <w:rFonts w:ascii="Century Gothic" w:hAnsi="Century Gothic"/>
                <w:sz w:val="20"/>
                <w:szCs w:val="20"/>
              </w:rPr>
              <w:t>Vehículos.</w:t>
            </w:r>
          </w:p>
          <w:p w:rsidR="00F8093F" w:rsidRDefault="00F8093F" w:rsidP="00F8093F">
            <w:pPr>
              <w:rPr>
                <w:lang w:val="es-ES" w:eastAsia="es-ES"/>
              </w:rPr>
            </w:pPr>
          </w:p>
          <w:p w:rsidR="00F8093F" w:rsidRDefault="00F8093F" w:rsidP="00F8093F">
            <w:pPr>
              <w:rPr>
                <w:rFonts w:ascii="Century Gothic" w:hAnsi="Century Gothic" w:cs="Arial"/>
                <w:sz w:val="20"/>
                <w:szCs w:val="20"/>
                <w:lang w:val="es-CO" w:eastAsia="es-CO"/>
              </w:rPr>
            </w:pPr>
            <w:r w:rsidRPr="00BF17DA">
              <w:rPr>
                <w:rFonts w:ascii="Century Gothic" w:hAnsi="Century Gothic" w:cs="Arial"/>
                <w:sz w:val="20"/>
                <w:szCs w:val="20"/>
                <w:lang w:val="es-CO" w:eastAsia="es-CO"/>
              </w:rPr>
              <w:t>Dando cumplimiento al Art. 17 a 19 Capitulo IV del Decreto1737 de 1998 en temas relacionados en servicios administrativos – vehículos, se presenta a continuación la tabla donde se relaciona los pagos por cada concepto y una breve explicación de la dependencia</w:t>
            </w:r>
            <w:r>
              <w:rPr>
                <w:rFonts w:ascii="Century Gothic" w:hAnsi="Century Gothic" w:cs="Arial"/>
                <w:sz w:val="20"/>
                <w:szCs w:val="20"/>
                <w:lang w:val="es-CO" w:eastAsia="es-CO"/>
              </w:rPr>
              <w:t>.</w:t>
            </w:r>
          </w:p>
          <w:p w:rsidR="00571C03" w:rsidRDefault="00571C03" w:rsidP="00F8093F">
            <w:pPr>
              <w:rPr>
                <w:rFonts w:ascii="Century Gothic" w:hAnsi="Century Gothic" w:cs="Arial"/>
                <w:sz w:val="20"/>
                <w:szCs w:val="20"/>
                <w:lang w:val="es-CO" w:eastAsia="es-CO"/>
              </w:rPr>
            </w:pPr>
          </w:p>
          <w:p w:rsidR="00571C03" w:rsidRDefault="00571C03" w:rsidP="00F8093F">
            <w:pPr>
              <w:rPr>
                <w:rFonts w:ascii="Century Gothic" w:hAnsi="Century Gothic" w:cs="Arial"/>
                <w:sz w:val="20"/>
                <w:szCs w:val="20"/>
                <w:lang w:val="es-CO" w:eastAsia="es-CO"/>
              </w:rPr>
            </w:pPr>
          </w:p>
          <w:p w:rsidR="00571C03" w:rsidRDefault="00571C03" w:rsidP="00F8093F">
            <w:pPr>
              <w:rPr>
                <w:rFonts w:ascii="Century Gothic" w:hAnsi="Century Gothic" w:cs="Arial"/>
                <w:sz w:val="20"/>
                <w:szCs w:val="20"/>
                <w:lang w:val="es-CO" w:eastAsia="es-CO"/>
              </w:rPr>
            </w:pPr>
          </w:p>
          <w:p w:rsidR="00571C03" w:rsidRDefault="00571C03" w:rsidP="00F8093F">
            <w:pPr>
              <w:rPr>
                <w:rFonts w:ascii="Century Gothic" w:hAnsi="Century Gothic" w:cs="Arial"/>
                <w:sz w:val="20"/>
                <w:szCs w:val="20"/>
                <w:lang w:val="es-CO" w:eastAsia="es-CO"/>
              </w:rPr>
            </w:pPr>
          </w:p>
          <w:tbl>
            <w:tblPr>
              <w:tblStyle w:val="Tablaconcuadrcula"/>
              <w:tblW w:w="10377" w:type="dxa"/>
              <w:tblLayout w:type="fixed"/>
              <w:tblLook w:val="04A0" w:firstRow="1" w:lastRow="0" w:firstColumn="1" w:lastColumn="0" w:noHBand="0" w:noVBand="1"/>
            </w:tblPr>
            <w:tblGrid>
              <w:gridCol w:w="454"/>
              <w:gridCol w:w="1134"/>
              <w:gridCol w:w="993"/>
              <w:gridCol w:w="992"/>
              <w:gridCol w:w="850"/>
              <w:gridCol w:w="851"/>
              <w:gridCol w:w="709"/>
              <w:gridCol w:w="567"/>
              <w:gridCol w:w="1134"/>
              <w:gridCol w:w="2693"/>
            </w:tblGrid>
            <w:tr w:rsidR="005F1C58" w:rsidRPr="005C27AA" w:rsidTr="005C27AA">
              <w:trPr>
                <w:trHeight w:val="450"/>
              </w:trPr>
              <w:tc>
                <w:tcPr>
                  <w:tcW w:w="454" w:type="dxa"/>
                  <w:vMerge w:val="restart"/>
                  <w:noWrap/>
                  <w:vAlign w:val="center"/>
                  <w:hideMark/>
                </w:tcPr>
                <w:p w:rsidR="005F1C58" w:rsidRPr="005C27AA" w:rsidRDefault="005F1C58" w:rsidP="005F1C58">
                  <w:pPr>
                    <w:spacing w:after="0"/>
                    <w:jc w:val="center"/>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Nº</w:t>
                  </w:r>
                </w:p>
              </w:tc>
              <w:tc>
                <w:tcPr>
                  <w:tcW w:w="7230" w:type="dxa"/>
                  <w:gridSpan w:val="8"/>
                  <w:noWrap/>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Aspectos cuantitativos</w:t>
                  </w:r>
                </w:p>
              </w:tc>
              <w:tc>
                <w:tcPr>
                  <w:tcW w:w="2693" w:type="dxa"/>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Situaciones encontradas por la OCI</w:t>
                  </w:r>
                </w:p>
              </w:tc>
            </w:tr>
            <w:tr w:rsidR="005F1C58" w:rsidRPr="005C27AA" w:rsidTr="005C27AA">
              <w:trPr>
                <w:trHeight w:val="690"/>
              </w:trPr>
              <w:tc>
                <w:tcPr>
                  <w:tcW w:w="454" w:type="dxa"/>
                  <w:vMerge/>
                  <w:vAlign w:val="center"/>
                  <w:hideMark/>
                </w:tcPr>
                <w:p w:rsidR="005F1C58" w:rsidRPr="005C27AA" w:rsidRDefault="005F1C58" w:rsidP="005F1C58">
                  <w:pPr>
                    <w:spacing w:after="0"/>
                    <w:rPr>
                      <w:rFonts w:ascii="Century Gothic" w:eastAsia="Times New Roman" w:hAnsi="Century Gothic"/>
                      <w:color w:val="000000"/>
                      <w:sz w:val="12"/>
                      <w:szCs w:val="12"/>
                      <w:lang w:val="es-CO" w:eastAsia="es-CO"/>
                    </w:rPr>
                  </w:pPr>
                </w:p>
              </w:tc>
              <w:tc>
                <w:tcPr>
                  <w:tcW w:w="1134" w:type="dxa"/>
                  <w:vMerge w:val="restart"/>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Costo del servicio (Vehículos)</w:t>
                  </w:r>
                </w:p>
              </w:tc>
              <w:tc>
                <w:tcPr>
                  <w:tcW w:w="2835" w:type="dxa"/>
                  <w:gridSpan w:val="3"/>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Valor pagado entre Enero - Marzo de la vigencia 2015</w:t>
                  </w:r>
                </w:p>
              </w:tc>
              <w:tc>
                <w:tcPr>
                  <w:tcW w:w="2127" w:type="dxa"/>
                  <w:gridSpan w:val="3"/>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Valor pagado entre Enero - Marzo de la vigencia 2016</w:t>
                  </w:r>
                </w:p>
              </w:tc>
              <w:tc>
                <w:tcPr>
                  <w:tcW w:w="1134" w:type="dxa"/>
                  <w:vMerge w:val="restart"/>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 Variación del valor pagado entre Enero - Marzo de 2016 respecto al mismo periodo de la vigencia 2015</w:t>
                  </w:r>
                </w:p>
              </w:tc>
              <w:tc>
                <w:tcPr>
                  <w:tcW w:w="2693" w:type="dxa"/>
                  <w:vMerge w:val="restart"/>
                  <w:vAlign w:val="center"/>
                  <w:hideMark/>
                </w:tcPr>
                <w:p w:rsidR="005F1C58" w:rsidRPr="005C27AA" w:rsidRDefault="005F1C58" w:rsidP="00B05283">
                  <w:pPr>
                    <w:spacing w:after="0"/>
                    <w:jc w:val="both"/>
                    <w:rPr>
                      <w:rFonts w:ascii="Century Gothic" w:eastAsia="Times New Roman" w:hAnsi="Century Gothic"/>
                      <w:color w:val="000000"/>
                      <w:sz w:val="12"/>
                      <w:szCs w:val="12"/>
                      <w:lang w:val="es-CO" w:eastAsia="es-CO"/>
                    </w:rPr>
                  </w:pPr>
                  <w:r w:rsidRPr="00ED60C3">
                    <w:rPr>
                      <w:rFonts w:ascii="Century Gothic" w:eastAsia="Times New Roman" w:hAnsi="Century Gothic"/>
                      <w:color w:val="000000"/>
                      <w:sz w:val="16"/>
                      <w:szCs w:val="12"/>
                      <w:lang w:val="es-CO" w:eastAsia="es-CO"/>
                    </w:rPr>
                    <w:t>Para este trimestre no hay variación debido que el contrato Nº 1278 con</w:t>
                  </w:r>
                  <w:r w:rsidR="00967358">
                    <w:rPr>
                      <w:rFonts w:ascii="Century Gothic" w:eastAsia="Times New Roman" w:hAnsi="Century Gothic"/>
                      <w:color w:val="000000"/>
                      <w:sz w:val="16"/>
                      <w:szCs w:val="12"/>
                      <w:lang w:val="es-CO" w:eastAsia="es-CO"/>
                    </w:rPr>
                    <w:t xml:space="preserve"> fecha 17 de Marzo de 2016 quedó</w:t>
                  </w:r>
                  <w:r w:rsidRPr="00ED60C3">
                    <w:rPr>
                      <w:rFonts w:ascii="Century Gothic" w:eastAsia="Times New Roman" w:hAnsi="Century Gothic"/>
                      <w:color w:val="000000"/>
                      <w:sz w:val="16"/>
                      <w:szCs w:val="12"/>
                      <w:lang w:val="es-CO" w:eastAsia="es-CO"/>
                    </w:rPr>
                    <w:t xml:space="preserve"> en firme, por lo que se comenzaron a solicitar los servicios de camioneta</w:t>
                  </w:r>
                  <w:r w:rsidR="00B05283">
                    <w:rPr>
                      <w:rFonts w:ascii="Century Gothic" w:eastAsia="Times New Roman" w:hAnsi="Century Gothic"/>
                      <w:color w:val="000000"/>
                      <w:sz w:val="16"/>
                      <w:szCs w:val="12"/>
                      <w:lang w:val="es-CO" w:eastAsia="es-CO"/>
                    </w:rPr>
                    <w:t>s</w:t>
                  </w:r>
                  <w:r w:rsidRPr="00ED60C3">
                    <w:rPr>
                      <w:rFonts w:ascii="Century Gothic" w:eastAsia="Times New Roman" w:hAnsi="Century Gothic"/>
                      <w:color w:val="000000"/>
                      <w:sz w:val="16"/>
                      <w:szCs w:val="12"/>
                      <w:lang w:val="es-CO" w:eastAsia="es-CO"/>
                    </w:rPr>
                    <w:t xml:space="preserve"> en el mes de Abril 2016,</w:t>
                  </w:r>
                </w:p>
              </w:tc>
            </w:tr>
            <w:tr w:rsidR="005F1C58" w:rsidRPr="005C27AA" w:rsidTr="005C27AA">
              <w:trPr>
                <w:trHeight w:val="765"/>
              </w:trPr>
              <w:tc>
                <w:tcPr>
                  <w:tcW w:w="454" w:type="dxa"/>
                  <w:vMerge/>
                  <w:vAlign w:val="center"/>
                  <w:hideMark/>
                </w:tcPr>
                <w:p w:rsidR="005F1C58" w:rsidRPr="005C27AA" w:rsidRDefault="005F1C58" w:rsidP="005F1C58">
                  <w:pPr>
                    <w:spacing w:after="0"/>
                    <w:rPr>
                      <w:rFonts w:ascii="Century Gothic" w:eastAsia="Times New Roman" w:hAnsi="Century Gothic"/>
                      <w:color w:val="000000"/>
                      <w:sz w:val="12"/>
                      <w:szCs w:val="12"/>
                      <w:lang w:val="es-CO" w:eastAsia="es-CO"/>
                    </w:rPr>
                  </w:pPr>
                </w:p>
              </w:tc>
              <w:tc>
                <w:tcPr>
                  <w:tcW w:w="1134" w:type="dxa"/>
                  <w:vMerge/>
                  <w:vAlign w:val="center"/>
                  <w:hideMark/>
                </w:tcPr>
                <w:p w:rsidR="005F1C58" w:rsidRPr="005C27AA" w:rsidRDefault="005F1C58" w:rsidP="005F1C58">
                  <w:pPr>
                    <w:spacing w:after="0"/>
                    <w:rPr>
                      <w:rFonts w:ascii="Century Gothic" w:eastAsia="Times New Roman" w:hAnsi="Century Gothic"/>
                      <w:b/>
                      <w:bCs/>
                      <w:color w:val="000000"/>
                      <w:sz w:val="12"/>
                      <w:szCs w:val="12"/>
                      <w:lang w:val="es-CO" w:eastAsia="es-CO"/>
                    </w:rPr>
                  </w:pPr>
                </w:p>
              </w:tc>
              <w:tc>
                <w:tcPr>
                  <w:tcW w:w="993" w:type="dxa"/>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Valor total facturado</w:t>
                  </w:r>
                </w:p>
              </w:tc>
              <w:tc>
                <w:tcPr>
                  <w:tcW w:w="992" w:type="dxa"/>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Valor total del servicio</w:t>
                  </w:r>
                </w:p>
              </w:tc>
              <w:tc>
                <w:tcPr>
                  <w:tcW w:w="850" w:type="dxa"/>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Valor total de hora extra</w:t>
                  </w:r>
                </w:p>
              </w:tc>
              <w:tc>
                <w:tcPr>
                  <w:tcW w:w="851" w:type="dxa"/>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Valor total facturado</w:t>
                  </w:r>
                </w:p>
              </w:tc>
              <w:tc>
                <w:tcPr>
                  <w:tcW w:w="709" w:type="dxa"/>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Valor total del servicio</w:t>
                  </w:r>
                </w:p>
              </w:tc>
              <w:tc>
                <w:tcPr>
                  <w:tcW w:w="567" w:type="dxa"/>
                  <w:vAlign w:val="center"/>
                  <w:hideMark/>
                </w:tcPr>
                <w:p w:rsidR="005F1C58" w:rsidRPr="005C27AA" w:rsidRDefault="005F1C58" w:rsidP="005F1C58">
                  <w:pPr>
                    <w:spacing w:after="0"/>
                    <w:jc w:val="center"/>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Valor total de hora extra</w:t>
                  </w:r>
                </w:p>
              </w:tc>
              <w:tc>
                <w:tcPr>
                  <w:tcW w:w="1134" w:type="dxa"/>
                  <w:vMerge/>
                  <w:vAlign w:val="center"/>
                  <w:hideMark/>
                </w:tcPr>
                <w:p w:rsidR="005F1C58" w:rsidRPr="005C27AA" w:rsidRDefault="005F1C58" w:rsidP="005F1C58">
                  <w:pPr>
                    <w:spacing w:after="0"/>
                    <w:rPr>
                      <w:rFonts w:ascii="Century Gothic" w:eastAsia="Times New Roman" w:hAnsi="Century Gothic"/>
                      <w:b/>
                      <w:bCs/>
                      <w:color w:val="000000"/>
                      <w:sz w:val="12"/>
                      <w:szCs w:val="12"/>
                      <w:lang w:val="es-CO" w:eastAsia="es-CO"/>
                    </w:rPr>
                  </w:pPr>
                </w:p>
              </w:tc>
              <w:tc>
                <w:tcPr>
                  <w:tcW w:w="2693" w:type="dxa"/>
                  <w:vMerge/>
                  <w:vAlign w:val="center"/>
                  <w:hideMark/>
                </w:tcPr>
                <w:p w:rsidR="005F1C58" w:rsidRPr="005C27AA" w:rsidRDefault="005F1C58" w:rsidP="005F1C58">
                  <w:pPr>
                    <w:spacing w:after="0"/>
                    <w:rPr>
                      <w:rFonts w:ascii="Century Gothic" w:eastAsia="Times New Roman" w:hAnsi="Century Gothic"/>
                      <w:color w:val="000000"/>
                      <w:sz w:val="12"/>
                      <w:szCs w:val="12"/>
                      <w:lang w:val="es-CO" w:eastAsia="es-CO"/>
                    </w:rPr>
                  </w:pPr>
                </w:p>
              </w:tc>
            </w:tr>
            <w:tr w:rsidR="005F1C58" w:rsidRPr="005C27AA" w:rsidTr="005C27AA">
              <w:trPr>
                <w:trHeight w:val="300"/>
              </w:trPr>
              <w:tc>
                <w:tcPr>
                  <w:tcW w:w="454" w:type="dxa"/>
                  <w:noWrap/>
                  <w:vAlign w:val="center"/>
                  <w:hideMark/>
                </w:tcPr>
                <w:p w:rsidR="005F1C58" w:rsidRPr="005C27AA" w:rsidRDefault="005F1C58" w:rsidP="005F1C58">
                  <w:pPr>
                    <w:spacing w:after="0"/>
                    <w:jc w:val="center"/>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1</w:t>
                  </w:r>
                </w:p>
              </w:tc>
              <w:tc>
                <w:tcPr>
                  <w:tcW w:w="1134" w:type="dxa"/>
                  <w:noWrap/>
                  <w:vAlign w:val="center"/>
                  <w:hideMark/>
                </w:tcPr>
                <w:p w:rsidR="005F1C58" w:rsidRPr="005C27AA" w:rsidRDefault="005F1C58" w:rsidP="005F1C58">
                  <w:pPr>
                    <w:spacing w:after="0"/>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Administrativa</w:t>
                  </w:r>
                </w:p>
              </w:tc>
              <w:tc>
                <w:tcPr>
                  <w:tcW w:w="993"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$195.105.716</w:t>
                  </w:r>
                </w:p>
              </w:tc>
              <w:tc>
                <w:tcPr>
                  <w:tcW w:w="992"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$188.530.716</w:t>
                  </w:r>
                </w:p>
              </w:tc>
              <w:tc>
                <w:tcPr>
                  <w:tcW w:w="850"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$6.575.000</w:t>
                  </w:r>
                </w:p>
              </w:tc>
              <w:tc>
                <w:tcPr>
                  <w:tcW w:w="851"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 xml:space="preserve">$-   </w:t>
                  </w:r>
                </w:p>
              </w:tc>
              <w:tc>
                <w:tcPr>
                  <w:tcW w:w="709"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 xml:space="preserve">$-   </w:t>
                  </w:r>
                </w:p>
              </w:tc>
              <w:tc>
                <w:tcPr>
                  <w:tcW w:w="567"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 xml:space="preserve">$-   </w:t>
                  </w:r>
                </w:p>
              </w:tc>
              <w:tc>
                <w:tcPr>
                  <w:tcW w:w="1134"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0,00%</w:t>
                  </w:r>
                </w:p>
              </w:tc>
              <w:tc>
                <w:tcPr>
                  <w:tcW w:w="2693" w:type="dxa"/>
                  <w:vMerge/>
                  <w:vAlign w:val="center"/>
                  <w:hideMark/>
                </w:tcPr>
                <w:p w:rsidR="005F1C58" w:rsidRPr="005C27AA" w:rsidRDefault="005F1C58" w:rsidP="005F1C58">
                  <w:pPr>
                    <w:spacing w:after="0"/>
                    <w:rPr>
                      <w:rFonts w:ascii="Century Gothic" w:eastAsia="Times New Roman" w:hAnsi="Century Gothic"/>
                      <w:color w:val="000000"/>
                      <w:sz w:val="12"/>
                      <w:szCs w:val="12"/>
                      <w:lang w:val="es-CO" w:eastAsia="es-CO"/>
                    </w:rPr>
                  </w:pPr>
                </w:p>
              </w:tc>
            </w:tr>
            <w:tr w:rsidR="005F1C58" w:rsidRPr="005C27AA" w:rsidTr="005C27AA">
              <w:trPr>
                <w:trHeight w:val="300"/>
              </w:trPr>
              <w:tc>
                <w:tcPr>
                  <w:tcW w:w="454" w:type="dxa"/>
                  <w:noWrap/>
                  <w:vAlign w:val="center"/>
                  <w:hideMark/>
                </w:tcPr>
                <w:p w:rsidR="005F1C58" w:rsidRPr="005C27AA" w:rsidRDefault="005F1C58" w:rsidP="005F1C58">
                  <w:pPr>
                    <w:spacing w:after="0"/>
                    <w:jc w:val="center"/>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2</w:t>
                  </w:r>
                </w:p>
              </w:tc>
              <w:tc>
                <w:tcPr>
                  <w:tcW w:w="1134" w:type="dxa"/>
                  <w:vAlign w:val="center"/>
                  <w:hideMark/>
                </w:tcPr>
                <w:p w:rsidR="005F1C58" w:rsidRPr="005C27AA" w:rsidRDefault="005F1C58" w:rsidP="005F1C58">
                  <w:pPr>
                    <w:spacing w:after="0"/>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Fondo de Reparación</w:t>
                  </w:r>
                </w:p>
              </w:tc>
              <w:tc>
                <w:tcPr>
                  <w:tcW w:w="993" w:type="dxa"/>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$ 37.299.034</w:t>
                  </w:r>
                </w:p>
              </w:tc>
              <w:tc>
                <w:tcPr>
                  <w:tcW w:w="992" w:type="dxa"/>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$28.974.034</w:t>
                  </w:r>
                </w:p>
              </w:tc>
              <w:tc>
                <w:tcPr>
                  <w:tcW w:w="850"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$8.325.000</w:t>
                  </w:r>
                </w:p>
              </w:tc>
              <w:tc>
                <w:tcPr>
                  <w:tcW w:w="851"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 xml:space="preserve">$-   </w:t>
                  </w:r>
                </w:p>
              </w:tc>
              <w:tc>
                <w:tcPr>
                  <w:tcW w:w="709"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 xml:space="preserve">$-   </w:t>
                  </w:r>
                </w:p>
              </w:tc>
              <w:tc>
                <w:tcPr>
                  <w:tcW w:w="567"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 xml:space="preserve">$-   </w:t>
                  </w:r>
                </w:p>
              </w:tc>
              <w:tc>
                <w:tcPr>
                  <w:tcW w:w="1134"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0,00%</w:t>
                  </w:r>
                </w:p>
              </w:tc>
              <w:tc>
                <w:tcPr>
                  <w:tcW w:w="2693" w:type="dxa"/>
                  <w:vMerge/>
                  <w:vAlign w:val="center"/>
                  <w:hideMark/>
                </w:tcPr>
                <w:p w:rsidR="005F1C58" w:rsidRPr="005C27AA" w:rsidRDefault="005F1C58" w:rsidP="005F1C58">
                  <w:pPr>
                    <w:spacing w:after="0"/>
                    <w:rPr>
                      <w:rFonts w:ascii="Century Gothic" w:eastAsia="Times New Roman" w:hAnsi="Century Gothic"/>
                      <w:color w:val="000000"/>
                      <w:sz w:val="12"/>
                      <w:szCs w:val="12"/>
                      <w:lang w:val="es-CO" w:eastAsia="es-CO"/>
                    </w:rPr>
                  </w:pPr>
                </w:p>
              </w:tc>
            </w:tr>
            <w:tr w:rsidR="005F1C58" w:rsidRPr="005C27AA" w:rsidTr="005C27AA">
              <w:trPr>
                <w:trHeight w:val="300"/>
              </w:trPr>
              <w:tc>
                <w:tcPr>
                  <w:tcW w:w="1588" w:type="dxa"/>
                  <w:gridSpan w:val="2"/>
                  <w:noWrap/>
                  <w:vAlign w:val="center"/>
                  <w:hideMark/>
                </w:tcPr>
                <w:p w:rsidR="005F1C58" w:rsidRPr="005C27AA" w:rsidRDefault="005F1C58" w:rsidP="005F1C58">
                  <w:pPr>
                    <w:spacing w:after="0"/>
                    <w:jc w:val="right"/>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SUBTOTALES $</w:t>
                  </w:r>
                </w:p>
              </w:tc>
              <w:tc>
                <w:tcPr>
                  <w:tcW w:w="993"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$232.404.750</w:t>
                  </w:r>
                </w:p>
              </w:tc>
              <w:tc>
                <w:tcPr>
                  <w:tcW w:w="992"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 xml:space="preserve">$217.504.750 </w:t>
                  </w:r>
                </w:p>
              </w:tc>
              <w:tc>
                <w:tcPr>
                  <w:tcW w:w="850" w:type="dxa"/>
                  <w:noWrap/>
                  <w:vAlign w:val="center"/>
                  <w:hideMark/>
                </w:tcPr>
                <w:p w:rsidR="005F1C58" w:rsidRPr="005C27AA" w:rsidRDefault="005F1C58" w:rsidP="005F1C58">
                  <w:pPr>
                    <w:spacing w:after="0"/>
                    <w:jc w:val="right"/>
                    <w:rPr>
                      <w:rFonts w:ascii="Century Gothic" w:eastAsia="Times New Roman" w:hAnsi="Century Gothic"/>
                      <w:color w:val="000000"/>
                      <w:sz w:val="12"/>
                      <w:szCs w:val="12"/>
                      <w:lang w:val="es-CO" w:eastAsia="es-CO"/>
                    </w:rPr>
                  </w:pPr>
                  <w:r w:rsidRPr="005C27AA">
                    <w:rPr>
                      <w:rFonts w:ascii="Century Gothic" w:eastAsia="Times New Roman" w:hAnsi="Century Gothic"/>
                      <w:color w:val="000000"/>
                      <w:sz w:val="12"/>
                      <w:szCs w:val="12"/>
                      <w:lang w:val="es-CO" w:eastAsia="es-CO"/>
                    </w:rPr>
                    <w:t xml:space="preserve">$14.900.000 </w:t>
                  </w:r>
                </w:p>
              </w:tc>
              <w:tc>
                <w:tcPr>
                  <w:tcW w:w="851" w:type="dxa"/>
                  <w:noWrap/>
                  <w:vAlign w:val="center"/>
                  <w:hideMark/>
                </w:tcPr>
                <w:p w:rsidR="005F1C58" w:rsidRPr="005C27AA" w:rsidRDefault="005F1C58" w:rsidP="005F1C58">
                  <w:pPr>
                    <w:spacing w:after="0"/>
                    <w:jc w:val="right"/>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 xml:space="preserve">$-   </w:t>
                  </w:r>
                </w:p>
              </w:tc>
              <w:tc>
                <w:tcPr>
                  <w:tcW w:w="709" w:type="dxa"/>
                  <w:noWrap/>
                  <w:vAlign w:val="center"/>
                  <w:hideMark/>
                </w:tcPr>
                <w:p w:rsidR="005F1C58" w:rsidRPr="005C27AA" w:rsidRDefault="005F1C58" w:rsidP="005F1C58">
                  <w:pPr>
                    <w:spacing w:after="0"/>
                    <w:jc w:val="right"/>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 xml:space="preserve">$-   </w:t>
                  </w:r>
                </w:p>
              </w:tc>
              <w:tc>
                <w:tcPr>
                  <w:tcW w:w="567" w:type="dxa"/>
                  <w:noWrap/>
                  <w:vAlign w:val="center"/>
                  <w:hideMark/>
                </w:tcPr>
                <w:p w:rsidR="005F1C58" w:rsidRPr="005C27AA" w:rsidRDefault="005F1C58" w:rsidP="005F1C58">
                  <w:pPr>
                    <w:spacing w:after="0"/>
                    <w:jc w:val="right"/>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w:t>
                  </w:r>
                </w:p>
              </w:tc>
              <w:tc>
                <w:tcPr>
                  <w:tcW w:w="1134" w:type="dxa"/>
                  <w:noWrap/>
                  <w:vAlign w:val="center"/>
                  <w:hideMark/>
                </w:tcPr>
                <w:p w:rsidR="005F1C58" w:rsidRPr="005C27AA" w:rsidRDefault="005F1C58" w:rsidP="005F1C58">
                  <w:pPr>
                    <w:spacing w:after="0"/>
                    <w:jc w:val="right"/>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0,00%</w:t>
                  </w:r>
                </w:p>
              </w:tc>
              <w:tc>
                <w:tcPr>
                  <w:tcW w:w="2693" w:type="dxa"/>
                  <w:vMerge/>
                  <w:vAlign w:val="center"/>
                  <w:hideMark/>
                </w:tcPr>
                <w:p w:rsidR="005F1C58" w:rsidRPr="005C27AA" w:rsidRDefault="005F1C58" w:rsidP="005F1C58">
                  <w:pPr>
                    <w:spacing w:after="0"/>
                    <w:rPr>
                      <w:rFonts w:ascii="Century Gothic" w:eastAsia="Times New Roman" w:hAnsi="Century Gothic"/>
                      <w:color w:val="000000"/>
                      <w:sz w:val="12"/>
                      <w:szCs w:val="12"/>
                      <w:lang w:val="es-CO" w:eastAsia="es-CO"/>
                    </w:rPr>
                  </w:pPr>
                </w:p>
              </w:tc>
            </w:tr>
            <w:tr w:rsidR="005F1C58" w:rsidRPr="005C27AA" w:rsidTr="005C27AA">
              <w:trPr>
                <w:trHeight w:val="300"/>
              </w:trPr>
              <w:tc>
                <w:tcPr>
                  <w:tcW w:w="1588" w:type="dxa"/>
                  <w:gridSpan w:val="2"/>
                  <w:noWrap/>
                  <w:vAlign w:val="center"/>
                  <w:hideMark/>
                </w:tcPr>
                <w:p w:rsidR="005F1C58" w:rsidRPr="005C27AA" w:rsidRDefault="005F1C58" w:rsidP="005F1C58">
                  <w:pPr>
                    <w:spacing w:after="0"/>
                    <w:jc w:val="right"/>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TOTALES $</w:t>
                  </w:r>
                </w:p>
              </w:tc>
              <w:tc>
                <w:tcPr>
                  <w:tcW w:w="2835" w:type="dxa"/>
                  <w:gridSpan w:val="3"/>
                  <w:noWrap/>
                  <w:vAlign w:val="center"/>
                  <w:hideMark/>
                </w:tcPr>
                <w:p w:rsidR="005F1C58" w:rsidRPr="005C27AA" w:rsidRDefault="005F1C58" w:rsidP="005F1C58">
                  <w:pPr>
                    <w:spacing w:after="0"/>
                    <w:jc w:val="right"/>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 xml:space="preserve">$232.404.750,00 </w:t>
                  </w:r>
                </w:p>
              </w:tc>
              <w:tc>
                <w:tcPr>
                  <w:tcW w:w="2127" w:type="dxa"/>
                  <w:gridSpan w:val="3"/>
                  <w:noWrap/>
                  <w:vAlign w:val="center"/>
                  <w:hideMark/>
                </w:tcPr>
                <w:p w:rsidR="005F1C58" w:rsidRPr="005C27AA" w:rsidRDefault="005F1C58" w:rsidP="005F1C58">
                  <w:pPr>
                    <w:spacing w:after="0"/>
                    <w:jc w:val="right"/>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 xml:space="preserve">$-   </w:t>
                  </w:r>
                </w:p>
              </w:tc>
              <w:tc>
                <w:tcPr>
                  <w:tcW w:w="1134" w:type="dxa"/>
                  <w:noWrap/>
                  <w:vAlign w:val="center"/>
                  <w:hideMark/>
                </w:tcPr>
                <w:p w:rsidR="005F1C58" w:rsidRPr="005C27AA" w:rsidRDefault="005F1C58" w:rsidP="005F1C58">
                  <w:pPr>
                    <w:spacing w:after="0"/>
                    <w:jc w:val="right"/>
                    <w:rPr>
                      <w:rFonts w:ascii="Century Gothic" w:eastAsia="Times New Roman" w:hAnsi="Century Gothic"/>
                      <w:b/>
                      <w:bCs/>
                      <w:color w:val="000000"/>
                      <w:sz w:val="12"/>
                      <w:szCs w:val="12"/>
                      <w:lang w:val="es-CO" w:eastAsia="es-CO"/>
                    </w:rPr>
                  </w:pPr>
                  <w:r w:rsidRPr="005C27AA">
                    <w:rPr>
                      <w:rFonts w:ascii="Century Gothic" w:eastAsia="Times New Roman" w:hAnsi="Century Gothic"/>
                      <w:b/>
                      <w:bCs/>
                      <w:color w:val="000000"/>
                      <w:sz w:val="12"/>
                      <w:szCs w:val="12"/>
                      <w:lang w:val="es-CO" w:eastAsia="es-CO"/>
                    </w:rPr>
                    <w:t>0,00%</w:t>
                  </w:r>
                </w:p>
              </w:tc>
              <w:tc>
                <w:tcPr>
                  <w:tcW w:w="2693" w:type="dxa"/>
                  <w:vMerge/>
                  <w:vAlign w:val="center"/>
                  <w:hideMark/>
                </w:tcPr>
                <w:p w:rsidR="005F1C58" w:rsidRPr="005C27AA" w:rsidRDefault="005F1C58" w:rsidP="005F1C58">
                  <w:pPr>
                    <w:spacing w:after="0"/>
                    <w:rPr>
                      <w:rFonts w:ascii="Century Gothic" w:eastAsia="Times New Roman" w:hAnsi="Century Gothic"/>
                      <w:color w:val="000000"/>
                      <w:sz w:val="12"/>
                      <w:szCs w:val="12"/>
                      <w:lang w:val="es-CO" w:eastAsia="es-CO"/>
                    </w:rPr>
                  </w:pPr>
                </w:p>
              </w:tc>
            </w:tr>
            <w:tr w:rsidR="005F1C58" w:rsidRPr="005C27AA" w:rsidTr="005C27AA">
              <w:trPr>
                <w:trHeight w:val="660"/>
              </w:trPr>
              <w:tc>
                <w:tcPr>
                  <w:tcW w:w="10377" w:type="dxa"/>
                  <w:gridSpan w:val="10"/>
                  <w:vMerge w:val="restart"/>
                  <w:vAlign w:val="center"/>
                  <w:hideMark/>
                </w:tcPr>
                <w:p w:rsidR="005C27AA" w:rsidRPr="00ED60C3" w:rsidRDefault="005F1C58" w:rsidP="005F1C58">
                  <w:pPr>
                    <w:spacing w:after="0"/>
                    <w:jc w:val="both"/>
                    <w:rPr>
                      <w:rFonts w:ascii="Century Gothic" w:eastAsia="Times New Roman" w:hAnsi="Century Gothic"/>
                      <w:b/>
                      <w:bCs/>
                      <w:sz w:val="16"/>
                      <w:szCs w:val="12"/>
                      <w:lang w:val="es-CO" w:eastAsia="es-CO"/>
                    </w:rPr>
                  </w:pPr>
                  <w:r w:rsidRPr="00ED60C3">
                    <w:rPr>
                      <w:rFonts w:ascii="Century Gothic" w:eastAsia="Times New Roman" w:hAnsi="Century Gothic"/>
                      <w:b/>
                      <w:bCs/>
                      <w:sz w:val="16"/>
                      <w:szCs w:val="12"/>
                      <w:lang w:val="es-CO" w:eastAsia="es-CO"/>
                    </w:rPr>
                    <w:t>Información enviada por el proceso:</w:t>
                  </w:r>
                </w:p>
                <w:p w:rsidR="005C27AA" w:rsidRPr="00ED60C3" w:rsidRDefault="005F1C58" w:rsidP="005F1C58">
                  <w:pPr>
                    <w:spacing w:after="0"/>
                    <w:jc w:val="both"/>
                    <w:rPr>
                      <w:rFonts w:ascii="Century Gothic" w:eastAsia="Times New Roman" w:hAnsi="Century Gothic"/>
                      <w:sz w:val="16"/>
                      <w:szCs w:val="12"/>
                      <w:lang w:val="es-CO" w:eastAsia="es-CO"/>
                    </w:rPr>
                  </w:pPr>
                  <w:r w:rsidRPr="00ED60C3">
                    <w:rPr>
                      <w:rFonts w:ascii="Century Gothic" w:eastAsia="Times New Roman" w:hAnsi="Century Gothic"/>
                      <w:b/>
                      <w:bCs/>
                      <w:sz w:val="16"/>
                      <w:szCs w:val="12"/>
                      <w:lang w:val="es-CO" w:eastAsia="es-CO"/>
                    </w:rPr>
                    <w:br/>
                  </w:r>
                  <w:r w:rsidRPr="00ED60C3">
                    <w:rPr>
                      <w:rFonts w:ascii="Century Gothic" w:eastAsia="Times New Roman" w:hAnsi="Century Gothic"/>
                      <w:b/>
                      <w:bCs/>
                      <w:sz w:val="16"/>
                      <w:szCs w:val="12"/>
                      <w:u w:val="single"/>
                      <w:lang w:val="es-CO" w:eastAsia="es-CO"/>
                    </w:rPr>
                    <w:t xml:space="preserve">Administrativa: </w:t>
                  </w:r>
                  <w:r w:rsidRPr="00ED60C3">
                    <w:rPr>
                      <w:rFonts w:ascii="Century Gothic" w:eastAsia="Times New Roman" w:hAnsi="Century Gothic"/>
                      <w:sz w:val="16"/>
                      <w:szCs w:val="12"/>
                      <w:lang w:val="es-CO" w:eastAsia="es-CO"/>
                    </w:rPr>
                    <w:t xml:space="preserve">En el 2015 los precios aumentaron: </w:t>
                  </w:r>
                  <w:proofErr w:type="spellStart"/>
                  <w:r w:rsidRPr="00ED60C3">
                    <w:rPr>
                      <w:rFonts w:ascii="Century Gothic" w:eastAsia="Times New Roman" w:hAnsi="Century Gothic"/>
                      <w:sz w:val="16"/>
                      <w:szCs w:val="12"/>
                      <w:lang w:val="es-CO" w:eastAsia="es-CO"/>
                    </w:rPr>
                    <w:t>Station</w:t>
                  </w:r>
                  <w:proofErr w:type="spellEnd"/>
                  <w:r w:rsidRPr="00ED60C3">
                    <w:rPr>
                      <w:rFonts w:ascii="Century Gothic" w:eastAsia="Times New Roman" w:hAnsi="Century Gothic"/>
                      <w:sz w:val="16"/>
                      <w:szCs w:val="12"/>
                      <w:lang w:val="es-CO" w:eastAsia="es-CO"/>
                    </w:rPr>
                    <w:t xml:space="preserve"> </w:t>
                  </w:r>
                  <w:proofErr w:type="spellStart"/>
                  <w:r w:rsidRPr="00ED60C3">
                    <w:rPr>
                      <w:rFonts w:ascii="Century Gothic" w:eastAsia="Times New Roman" w:hAnsi="Century Gothic"/>
                      <w:sz w:val="16"/>
                      <w:szCs w:val="12"/>
                      <w:lang w:val="es-CO" w:eastAsia="es-CO"/>
                    </w:rPr>
                    <w:t>Wagon</w:t>
                  </w:r>
                  <w:proofErr w:type="spellEnd"/>
                  <w:r w:rsidRPr="00ED60C3">
                    <w:rPr>
                      <w:rFonts w:ascii="Century Gothic" w:eastAsia="Times New Roman" w:hAnsi="Century Gothic"/>
                      <w:sz w:val="16"/>
                      <w:szCs w:val="12"/>
                      <w:lang w:val="es-CO" w:eastAsia="es-CO"/>
                    </w:rPr>
                    <w:t xml:space="preserve"> $369.379 y 4X4 $391.541, los vehículos por demanda no tiene un valor fijo y cada mes varia para el mes de Marzo se Facturó un total de $3.915.410 para un total de 10 servicios adicionales. En el 2016 el contrato inicio en el mes de abril.</w:t>
                  </w:r>
                </w:p>
                <w:p w:rsidR="005F1C58" w:rsidRPr="005C27AA" w:rsidRDefault="005F1C58" w:rsidP="005F1C58">
                  <w:pPr>
                    <w:spacing w:after="0"/>
                    <w:jc w:val="both"/>
                    <w:rPr>
                      <w:rFonts w:ascii="Century Gothic" w:eastAsia="Times New Roman" w:hAnsi="Century Gothic"/>
                      <w:sz w:val="12"/>
                      <w:szCs w:val="12"/>
                      <w:lang w:val="es-CO" w:eastAsia="es-CO"/>
                    </w:rPr>
                  </w:pPr>
                  <w:r w:rsidRPr="00ED60C3">
                    <w:rPr>
                      <w:rFonts w:ascii="Century Gothic" w:eastAsia="Times New Roman" w:hAnsi="Century Gothic"/>
                      <w:sz w:val="16"/>
                      <w:szCs w:val="12"/>
                      <w:lang w:val="es-CO" w:eastAsia="es-CO"/>
                    </w:rPr>
                    <w:br/>
                  </w:r>
                  <w:r w:rsidRPr="00ED60C3">
                    <w:rPr>
                      <w:rFonts w:ascii="Century Gothic" w:eastAsia="Times New Roman" w:hAnsi="Century Gothic"/>
                      <w:b/>
                      <w:bCs/>
                      <w:sz w:val="16"/>
                      <w:szCs w:val="12"/>
                      <w:u w:val="single"/>
                      <w:lang w:val="es-CO" w:eastAsia="es-CO"/>
                    </w:rPr>
                    <w:t xml:space="preserve">FRV: </w:t>
                  </w:r>
                  <w:r w:rsidRPr="00ED60C3">
                    <w:rPr>
                      <w:rFonts w:ascii="Century Gothic" w:eastAsia="Times New Roman" w:hAnsi="Century Gothic"/>
                      <w:sz w:val="16"/>
                      <w:szCs w:val="12"/>
                      <w:lang w:val="es-CO" w:eastAsia="es-CO"/>
                    </w:rPr>
                    <w:t>En el año 2016 el contrato Nº 1278 con fec</w:t>
                  </w:r>
                  <w:r w:rsidR="00B05283">
                    <w:rPr>
                      <w:rFonts w:ascii="Century Gothic" w:eastAsia="Times New Roman" w:hAnsi="Century Gothic"/>
                      <w:sz w:val="16"/>
                      <w:szCs w:val="12"/>
                      <w:lang w:val="es-CO" w:eastAsia="es-CO"/>
                    </w:rPr>
                    <w:t>ha del 17 de marzo de 2016 quedó</w:t>
                  </w:r>
                  <w:r w:rsidRPr="00ED60C3">
                    <w:rPr>
                      <w:rFonts w:ascii="Century Gothic" w:eastAsia="Times New Roman" w:hAnsi="Century Gothic"/>
                      <w:sz w:val="16"/>
                      <w:szCs w:val="12"/>
                      <w:lang w:val="es-CO" w:eastAsia="es-CO"/>
                    </w:rPr>
                    <w:t xml:space="preserve"> en firme por lo que se comenzaron a solicitar los servicios de camioneta en el mes de </w:t>
                  </w:r>
                  <w:r w:rsidR="005C27AA" w:rsidRPr="00ED60C3">
                    <w:rPr>
                      <w:rFonts w:ascii="Century Gothic" w:eastAsia="Times New Roman" w:hAnsi="Century Gothic"/>
                      <w:sz w:val="16"/>
                      <w:szCs w:val="12"/>
                      <w:lang w:val="es-CO" w:eastAsia="es-CO"/>
                    </w:rPr>
                    <w:t>abril</w:t>
                  </w:r>
                  <w:r w:rsidRPr="00ED60C3">
                    <w:rPr>
                      <w:rFonts w:ascii="Century Gothic" w:eastAsia="Times New Roman" w:hAnsi="Century Gothic"/>
                      <w:sz w:val="16"/>
                      <w:szCs w:val="12"/>
                      <w:lang w:val="es-CO" w:eastAsia="es-CO"/>
                    </w:rPr>
                    <w:t xml:space="preserve"> por tal motivo la variación es negativa.</w:t>
                  </w:r>
                </w:p>
              </w:tc>
            </w:tr>
            <w:tr w:rsidR="005F1C58" w:rsidRPr="005C27AA" w:rsidTr="005C27AA">
              <w:trPr>
                <w:trHeight w:val="660"/>
              </w:trPr>
              <w:tc>
                <w:tcPr>
                  <w:tcW w:w="10377" w:type="dxa"/>
                  <w:gridSpan w:val="10"/>
                  <w:vMerge/>
                  <w:vAlign w:val="center"/>
                  <w:hideMark/>
                </w:tcPr>
                <w:p w:rsidR="005F1C58" w:rsidRPr="005C27AA" w:rsidRDefault="005F1C58" w:rsidP="005F1C58">
                  <w:pPr>
                    <w:spacing w:after="0"/>
                    <w:rPr>
                      <w:rFonts w:ascii="Century Gothic" w:eastAsia="Times New Roman" w:hAnsi="Century Gothic"/>
                      <w:sz w:val="12"/>
                      <w:szCs w:val="12"/>
                      <w:lang w:val="es-CO" w:eastAsia="es-CO"/>
                    </w:rPr>
                  </w:pPr>
                </w:p>
              </w:tc>
            </w:tr>
            <w:tr w:rsidR="005F1C58" w:rsidRPr="005C27AA" w:rsidTr="005C27AA">
              <w:trPr>
                <w:trHeight w:val="147"/>
              </w:trPr>
              <w:tc>
                <w:tcPr>
                  <w:tcW w:w="10377" w:type="dxa"/>
                  <w:gridSpan w:val="10"/>
                  <w:vMerge/>
                  <w:vAlign w:val="center"/>
                  <w:hideMark/>
                </w:tcPr>
                <w:p w:rsidR="005F1C58" w:rsidRPr="005C27AA" w:rsidRDefault="005F1C58" w:rsidP="005F1C58">
                  <w:pPr>
                    <w:spacing w:after="0"/>
                    <w:rPr>
                      <w:rFonts w:ascii="Century Gothic" w:eastAsia="Times New Roman" w:hAnsi="Century Gothic"/>
                      <w:sz w:val="12"/>
                      <w:szCs w:val="12"/>
                      <w:lang w:val="es-CO" w:eastAsia="es-CO"/>
                    </w:rPr>
                  </w:pPr>
                </w:p>
              </w:tc>
            </w:tr>
          </w:tbl>
          <w:p w:rsidR="00F8093F" w:rsidRPr="00F577A0" w:rsidRDefault="00F8093F" w:rsidP="00F8093F">
            <w:pPr>
              <w:rPr>
                <w:lang w:val="es-CO" w:eastAsia="es-ES"/>
              </w:rPr>
            </w:pPr>
          </w:p>
          <w:tbl>
            <w:tblPr>
              <w:tblStyle w:val="Tablaconcuadrcula"/>
              <w:tblW w:w="0" w:type="auto"/>
              <w:tblLayout w:type="fixed"/>
              <w:tblLook w:val="04A0" w:firstRow="1" w:lastRow="0" w:firstColumn="1" w:lastColumn="0" w:noHBand="0" w:noVBand="1"/>
            </w:tblPr>
            <w:tblGrid>
              <w:gridCol w:w="454"/>
              <w:gridCol w:w="1418"/>
              <w:gridCol w:w="1559"/>
              <w:gridCol w:w="1559"/>
              <w:gridCol w:w="2127"/>
              <w:gridCol w:w="3254"/>
            </w:tblGrid>
            <w:tr w:rsidR="005C27AA" w:rsidRPr="005C27AA" w:rsidTr="005C27AA">
              <w:trPr>
                <w:trHeight w:val="300"/>
              </w:trPr>
              <w:tc>
                <w:tcPr>
                  <w:tcW w:w="454" w:type="dxa"/>
                  <w:vMerge w:val="restart"/>
                  <w:noWrap/>
                  <w:vAlign w:val="center"/>
                  <w:hideMark/>
                </w:tcPr>
                <w:p w:rsidR="005C27AA" w:rsidRPr="005C27AA" w:rsidRDefault="005C27AA" w:rsidP="005C27AA">
                  <w:pPr>
                    <w:spacing w:after="0"/>
                    <w:jc w:val="center"/>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Nº</w:t>
                  </w:r>
                </w:p>
              </w:tc>
              <w:tc>
                <w:tcPr>
                  <w:tcW w:w="6663" w:type="dxa"/>
                  <w:gridSpan w:val="4"/>
                  <w:noWrap/>
                  <w:vAlign w:val="center"/>
                  <w:hideMark/>
                </w:tcPr>
                <w:p w:rsidR="005C27AA" w:rsidRPr="005C27AA" w:rsidRDefault="005C27AA" w:rsidP="005C27AA">
                  <w:pPr>
                    <w:spacing w:after="0"/>
                    <w:jc w:val="center"/>
                    <w:rPr>
                      <w:rFonts w:ascii="Century Gothic" w:eastAsia="Times New Roman" w:hAnsi="Century Gothic"/>
                      <w:b/>
                      <w:bCs/>
                      <w:color w:val="000000"/>
                      <w:sz w:val="16"/>
                      <w:szCs w:val="16"/>
                      <w:lang w:val="es-CO" w:eastAsia="es-CO"/>
                    </w:rPr>
                  </w:pPr>
                  <w:r w:rsidRPr="005C27AA">
                    <w:rPr>
                      <w:rFonts w:ascii="Century Gothic" w:eastAsia="Times New Roman" w:hAnsi="Century Gothic"/>
                      <w:b/>
                      <w:bCs/>
                      <w:color w:val="000000"/>
                      <w:sz w:val="16"/>
                      <w:szCs w:val="16"/>
                      <w:lang w:val="es-CO" w:eastAsia="es-CO"/>
                    </w:rPr>
                    <w:t>Aspectos cuantitativos</w:t>
                  </w:r>
                </w:p>
              </w:tc>
              <w:tc>
                <w:tcPr>
                  <w:tcW w:w="3254" w:type="dxa"/>
                  <w:vAlign w:val="center"/>
                  <w:hideMark/>
                </w:tcPr>
                <w:p w:rsidR="005C27AA" w:rsidRPr="005C27AA" w:rsidRDefault="005C27AA" w:rsidP="005C27AA">
                  <w:pPr>
                    <w:spacing w:after="0"/>
                    <w:jc w:val="center"/>
                    <w:rPr>
                      <w:rFonts w:ascii="Century Gothic" w:eastAsia="Times New Roman" w:hAnsi="Century Gothic"/>
                      <w:b/>
                      <w:bCs/>
                      <w:color w:val="000000"/>
                      <w:sz w:val="16"/>
                      <w:szCs w:val="16"/>
                      <w:lang w:val="es-CO" w:eastAsia="es-CO"/>
                    </w:rPr>
                  </w:pPr>
                  <w:r w:rsidRPr="005C27AA">
                    <w:rPr>
                      <w:rFonts w:ascii="Century Gothic" w:eastAsia="Times New Roman" w:hAnsi="Century Gothic"/>
                      <w:b/>
                      <w:bCs/>
                      <w:color w:val="000000"/>
                      <w:sz w:val="16"/>
                      <w:szCs w:val="16"/>
                      <w:lang w:val="es-CO" w:eastAsia="es-CO"/>
                    </w:rPr>
                    <w:t>Situaciones encontradas por la OCI</w:t>
                  </w:r>
                </w:p>
              </w:tc>
            </w:tr>
            <w:tr w:rsidR="005C27AA" w:rsidRPr="005C27AA" w:rsidTr="00ED60C3">
              <w:trPr>
                <w:trHeight w:val="883"/>
              </w:trPr>
              <w:tc>
                <w:tcPr>
                  <w:tcW w:w="454" w:type="dxa"/>
                  <w:vMerge/>
                  <w:vAlign w:val="center"/>
                  <w:hideMark/>
                </w:tcPr>
                <w:p w:rsidR="005C27AA" w:rsidRPr="005C27AA" w:rsidRDefault="005C27AA" w:rsidP="005C27AA">
                  <w:pPr>
                    <w:spacing w:after="0"/>
                    <w:rPr>
                      <w:rFonts w:ascii="Century Gothic" w:eastAsia="Times New Roman" w:hAnsi="Century Gothic"/>
                      <w:color w:val="000000"/>
                      <w:sz w:val="16"/>
                      <w:szCs w:val="16"/>
                      <w:lang w:val="es-CO" w:eastAsia="es-CO"/>
                    </w:rPr>
                  </w:pPr>
                </w:p>
              </w:tc>
              <w:tc>
                <w:tcPr>
                  <w:tcW w:w="1418" w:type="dxa"/>
                  <w:vAlign w:val="center"/>
                  <w:hideMark/>
                </w:tcPr>
                <w:p w:rsidR="005C27AA" w:rsidRPr="005C27AA" w:rsidRDefault="005C27AA" w:rsidP="005C27AA">
                  <w:pPr>
                    <w:spacing w:after="0"/>
                    <w:jc w:val="center"/>
                    <w:rPr>
                      <w:rFonts w:ascii="Century Gothic" w:eastAsia="Times New Roman" w:hAnsi="Century Gothic"/>
                      <w:b/>
                      <w:bCs/>
                      <w:color w:val="000000"/>
                      <w:sz w:val="16"/>
                      <w:szCs w:val="16"/>
                      <w:lang w:val="es-CO" w:eastAsia="es-CO"/>
                    </w:rPr>
                  </w:pPr>
                  <w:r w:rsidRPr="005C27AA">
                    <w:rPr>
                      <w:rFonts w:ascii="Century Gothic" w:eastAsia="Times New Roman" w:hAnsi="Century Gothic"/>
                      <w:b/>
                      <w:bCs/>
                      <w:color w:val="000000"/>
                      <w:sz w:val="16"/>
                      <w:szCs w:val="16"/>
                      <w:lang w:val="es-CO" w:eastAsia="es-CO"/>
                    </w:rPr>
                    <w:t>Cantidad vehículos</w:t>
                  </w:r>
                </w:p>
              </w:tc>
              <w:tc>
                <w:tcPr>
                  <w:tcW w:w="1559" w:type="dxa"/>
                  <w:vAlign w:val="center"/>
                  <w:hideMark/>
                </w:tcPr>
                <w:p w:rsidR="005C27AA" w:rsidRPr="005C27AA" w:rsidRDefault="005C27AA" w:rsidP="005C27AA">
                  <w:pPr>
                    <w:spacing w:after="0"/>
                    <w:jc w:val="center"/>
                    <w:rPr>
                      <w:rFonts w:ascii="Century Gothic" w:eastAsia="Times New Roman" w:hAnsi="Century Gothic"/>
                      <w:b/>
                      <w:bCs/>
                      <w:color w:val="000000"/>
                      <w:sz w:val="16"/>
                      <w:szCs w:val="16"/>
                      <w:lang w:val="es-CO" w:eastAsia="es-CO"/>
                    </w:rPr>
                  </w:pPr>
                  <w:r w:rsidRPr="005C27AA">
                    <w:rPr>
                      <w:rFonts w:ascii="Century Gothic" w:eastAsia="Times New Roman" w:hAnsi="Century Gothic"/>
                      <w:b/>
                      <w:bCs/>
                      <w:color w:val="000000"/>
                      <w:sz w:val="16"/>
                      <w:szCs w:val="16"/>
                      <w:lang w:val="es-CO" w:eastAsia="es-CO"/>
                    </w:rPr>
                    <w:t>Cantidad entre Enero - Marzo de la vigencia 2015</w:t>
                  </w:r>
                </w:p>
              </w:tc>
              <w:tc>
                <w:tcPr>
                  <w:tcW w:w="1559" w:type="dxa"/>
                  <w:vAlign w:val="center"/>
                  <w:hideMark/>
                </w:tcPr>
                <w:p w:rsidR="005C27AA" w:rsidRPr="005C27AA" w:rsidRDefault="005C27AA" w:rsidP="005C27AA">
                  <w:pPr>
                    <w:spacing w:after="0"/>
                    <w:jc w:val="center"/>
                    <w:rPr>
                      <w:rFonts w:ascii="Century Gothic" w:eastAsia="Times New Roman" w:hAnsi="Century Gothic"/>
                      <w:b/>
                      <w:bCs/>
                      <w:color w:val="000000"/>
                      <w:sz w:val="16"/>
                      <w:szCs w:val="16"/>
                      <w:lang w:val="es-CO" w:eastAsia="es-CO"/>
                    </w:rPr>
                  </w:pPr>
                  <w:r w:rsidRPr="005C27AA">
                    <w:rPr>
                      <w:rFonts w:ascii="Century Gothic" w:eastAsia="Times New Roman" w:hAnsi="Century Gothic"/>
                      <w:b/>
                      <w:bCs/>
                      <w:color w:val="000000"/>
                      <w:sz w:val="16"/>
                      <w:szCs w:val="16"/>
                      <w:lang w:val="es-CO" w:eastAsia="es-CO"/>
                    </w:rPr>
                    <w:t>Cantidad entre  Enero - Marzo de la vigencia 2016</w:t>
                  </w:r>
                </w:p>
              </w:tc>
              <w:tc>
                <w:tcPr>
                  <w:tcW w:w="2127" w:type="dxa"/>
                  <w:vAlign w:val="center"/>
                  <w:hideMark/>
                </w:tcPr>
                <w:p w:rsidR="005C27AA" w:rsidRPr="005C27AA" w:rsidRDefault="005C27AA" w:rsidP="005C27AA">
                  <w:pPr>
                    <w:spacing w:after="0"/>
                    <w:jc w:val="center"/>
                    <w:rPr>
                      <w:rFonts w:ascii="Century Gothic" w:eastAsia="Times New Roman" w:hAnsi="Century Gothic"/>
                      <w:b/>
                      <w:bCs/>
                      <w:color w:val="000000"/>
                      <w:sz w:val="16"/>
                      <w:szCs w:val="16"/>
                      <w:lang w:val="es-CO" w:eastAsia="es-CO"/>
                    </w:rPr>
                  </w:pPr>
                  <w:r w:rsidRPr="005C27AA">
                    <w:rPr>
                      <w:rFonts w:ascii="Century Gothic" w:eastAsia="Times New Roman" w:hAnsi="Century Gothic"/>
                      <w:b/>
                      <w:bCs/>
                      <w:color w:val="000000"/>
                      <w:sz w:val="16"/>
                      <w:szCs w:val="16"/>
                      <w:lang w:val="es-CO" w:eastAsia="es-CO"/>
                    </w:rPr>
                    <w:t>% Variación de la cantidad entre  Enero - Marzo de 2016 respecto al mismo periodo de la vigencia 2015</w:t>
                  </w:r>
                </w:p>
              </w:tc>
              <w:tc>
                <w:tcPr>
                  <w:tcW w:w="3254" w:type="dxa"/>
                  <w:vMerge w:val="restart"/>
                  <w:noWrap/>
                  <w:vAlign w:val="center"/>
                  <w:hideMark/>
                </w:tcPr>
                <w:p w:rsidR="005C27AA" w:rsidRPr="005C27AA" w:rsidRDefault="005C27AA" w:rsidP="005C27AA">
                  <w:pPr>
                    <w:spacing w:after="0"/>
                    <w:jc w:val="both"/>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Para este trimestre no hay variación debido que el contra</w:t>
                  </w:r>
                  <w:r>
                    <w:rPr>
                      <w:rFonts w:ascii="Century Gothic" w:eastAsia="Times New Roman" w:hAnsi="Century Gothic"/>
                      <w:color w:val="000000"/>
                      <w:sz w:val="16"/>
                      <w:szCs w:val="16"/>
                      <w:lang w:val="es-CO" w:eastAsia="es-CO"/>
                    </w:rPr>
                    <w:t>to Nº 1278 con fecha del 17 de m</w:t>
                  </w:r>
                  <w:r w:rsidR="00B05283">
                    <w:rPr>
                      <w:rFonts w:ascii="Century Gothic" w:eastAsia="Times New Roman" w:hAnsi="Century Gothic"/>
                      <w:color w:val="000000"/>
                      <w:sz w:val="16"/>
                      <w:szCs w:val="16"/>
                      <w:lang w:val="es-CO" w:eastAsia="es-CO"/>
                    </w:rPr>
                    <w:t>arzo de 2016 quedó</w:t>
                  </w:r>
                  <w:r w:rsidRPr="005C27AA">
                    <w:rPr>
                      <w:rFonts w:ascii="Century Gothic" w:eastAsia="Times New Roman" w:hAnsi="Century Gothic"/>
                      <w:color w:val="000000"/>
                      <w:sz w:val="16"/>
                      <w:szCs w:val="16"/>
                      <w:lang w:val="es-CO" w:eastAsia="es-CO"/>
                    </w:rPr>
                    <w:t xml:space="preserve"> en firme, por lo que se comenzaron a solicitar los servi</w:t>
                  </w:r>
                  <w:r>
                    <w:rPr>
                      <w:rFonts w:ascii="Century Gothic" w:eastAsia="Times New Roman" w:hAnsi="Century Gothic"/>
                      <w:color w:val="000000"/>
                      <w:sz w:val="16"/>
                      <w:szCs w:val="16"/>
                      <w:lang w:val="es-CO" w:eastAsia="es-CO"/>
                    </w:rPr>
                    <w:t>cios de camioneta en el mes de a</w:t>
                  </w:r>
                  <w:r w:rsidRPr="005C27AA">
                    <w:rPr>
                      <w:rFonts w:ascii="Century Gothic" w:eastAsia="Times New Roman" w:hAnsi="Century Gothic"/>
                      <w:color w:val="000000"/>
                      <w:sz w:val="16"/>
                      <w:szCs w:val="16"/>
                      <w:lang w:val="es-CO" w:eastAsia="es-CO"/>
                    </w:rPr>
                    <w:t>bril 2016,</w:t>
                  </w:r>
                </w:p>
              </w:tc>
            </w:tr>
            <w:tr w:rsidR="005C27AA" w:rsidRPr="005C27AA" w:rsidTr="00ED60C3">
              <w:trPr>
                <w:trHeight w:val="510"/>
              </w:trPr>
              <w:tc>
                <w:tcPr>
                  <w:tcW w:w="454" w:type="dxa"/>
                  <w:noWrap/>
                  <w:vAlign w:val="center"/>
                  <w:hideMark/>
                </w:tcPr>
                <w:p w:rsidR="005C27AA" w:rsidRPr="005C27AA" w:rsidRDefault="005C27AA" w:rsidP="005C27AA">
                  <w:pPr>
                    <w:spacing w:after="0"/>
                    <w:jc w:val="center"/>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3</w:t>
                  </w:r>
                </w:p>
              </w:tc>
              <w:tc>
                <w:tcPr>
                  <w:tcW w:w="1418" w:type="dxa"/>
                  <w:vAlign w:val="center"/>
                  <w:hideMark/>
                </w:tcPr>
                <w:p w:rsidR="005C27AA" w:rsidRPr="005C27AA" w:rsidRDefault="005C27AA" w:rsidP="005C27AA">
                  <w:pPr>
                    <w:spacing w:after="0"/>
                    <w:rPr>
                      <w:rFonts w:ascii="Century Gothic" w:eastAsia="Times New Roman" w:hAnsi="Century Gothic"/>
                      <w:b/>
                      <w:bCs/>
                      <w:color w:val="000000"/>
                      <w:sz w:val="16"/>
                      <w:szCs w:val="16"/>
                      <w:lang w:val="es-CO" w:eastAsia="es-CO"/>
                    </w:rPr>
                  </w:pPr>
                  <w:r w:rsidRPr="005C27AA">
                    <w:rPr>
                      <w:rFonts w:ascii="Century Gothic" w:eastAsia="Times New Roman" w:hAnsi="Century Gothic"/>
                      <w:b/>
                      <w:bCs/>
                      <w:color w:val="000000"/>
                      <w:sz w:val="16"/>
                      <w:szCs w:val="16"/>
                      <w:lang w:val="es-CO" w:eastAsia="es-CO"/>
                    </w:rPr>
                    <w:t xml:space="preserve">Administrativa </w:t>
                  </w:r>
                  <w:r w:rsidRPr="005C27AA">
                    <w:rPr>
                      <w:rFonts w:ascii="Century Gothic" w:eastAsia="Times New Roman" w:hAnsi="Century Gothic"/>
                      <w:b/>
                      <w:bCs/>
                      <w:color w:val="000000"/>
                      <w:sz w:val="16"/>
                      <w:szCs w:val="16"/>
                      <w:lang w:val="es-CO" w:eastAsia="es-CO"/>
                    </w:rPr>
                    <w:br/>
                    <w:t>(Vehículos)</w:t>
                  </w:r>
                </w:p>
              </w:tc>
              <w:tc>
                <w:tcPr>
                  <w:tcW w:w="1559" w:type="dxa"/>
                  <w:noWrap/>
                  <w:vAlign w:val="center"/>
                  <w:hideMark/>
                </w:tcPr>
                <w:p w:rsidR="005C27AA" w:rsidRPr="005C27AA" w:rsidRDefault="005C27AA" w:rsidP="005C27AA">
                  <w:pPr>
                    <w:spacing w:after="0"/>
                    <w:jc w:val="center"/>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23</w:t>
                  </w:r>
                </w:p>
              </w:tc>
              <w:tc>
                <w:tcPr>
                  <w:tcW w:w="1559" w:type="dxa"/>
                  <w:noWrap/>
                  <w:vAlign w:val="center"/>
                  <w:hideMark/>
                </w:tcPr>
                <w:p w:rsidR="005C27AA" w:rsidRPr="005C27AA" w:rsidRDefault="005C27AA" w:rsidP="005C27AA">
                  <w:pPr>
                    <w:spacing w:after="0"/>
                    <w:jc w:val="center"/>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0</w:t>
                  </w:r>
                </w:p>
              </w:tc>
              <w:tc>
                <w:tcPr>
                  <w:tcW w:w="2127" w:type="dxa"/>
                  <w:noWrap/>
                  <w:vAlign w:val="center"/>
                  <w:hideMark/>
                </w:tcPr>
                <w:p w:rsidR="005C27AA" w:rsidRPr="005C27AA" w:rsidRDefault="005C27AA" w:rsidP="005C27AA">
                  <w:pPr>
                    <w:spacing w:after="0"/>
                    <w:jc w:val="right"/>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0,00%</w:t>
                  </w:r>
                </w:p>
              </w:tc>
              <w:tc>
                <w:tcPr>
                  <w:tcW w:w="3254" w:type="dxa"/>
                  <w:vMerge/>
                  <w:vAlign w:val="center"/>
                  <w:hideMark/>
                </w:tcPr>
                <w:p w:rsidR="005C27AA" w:rsidRPr="005C27AA" w:rsidRDefault="005C27AA" w:rsidP="005C27AA">
                  <w:pPr>
                    <w:spacing w:after="0"/>
                    <w:rPr>
                      <w:rFonts w:ascii="Century Gothic" w:eastAsia="Times New Roman" w:hAnsi="Century Gothic"/>
                      <w:color w:val="000000"/>
                      <w:sz w:val="16"/>
                      <w:szCs w:val="16"/>
                      <w:lang w:val="es-CO" w:eastAsia="es-CO"/>
                    </w:rPr>
                  </w:pPr>
                </w:p>
              </w:tc>
            </w:tr>
            <w:tr w:rsidR="005C27AA" w:rsidRPr="005C27AA" w:rsidTr="00ED60C3">
              <w:trPr>
                <w:trHeight w:val="510"/>
              </w:trPr>
              <w:tc>
                <w:tcPr>
                  <w:tcW w:w="454" w:type="dxa"/>
                  <w:noWrap/>
                  <w:vAlign w:val="center"/>
                  <w:hideMark/>
                </w:tcPr>
                <w:p w:rsidR="005C27AA" w:rsidRPr="005C27AA" w:rsidRDefault="005C27AA" w:rsidP="005C27AA">
                  <w:pPr>
                    <w:spacing w:after="0"/>
                    <w:jc w:val="center"/>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4</w:t>
                  </w:r>
                </w:p>
              </w:tc>
              <w:tc>
                <w:tcPr>
                  <w:tcW w:w="1418" w:type="dxa"/>
                  <w:vAlign w:val="center"/>
                  <w:hideMark/>
                </w:tcPr>
                <w:p w:rsidR="005C27AA" w:rsidRPr="005C27AA" w:rsidRDefault="005C27AA" w:rsidP="005C27AA">
                  <w:pPr>
                    <w:spacing w:after="0"/>
                    <w:rPr>
                      <w:rFonts w:ascii="Century Gothic" w:eastAsia="Times New Roman" w:hAnsi="Century Gothic"/>
                      <w:b/>
                      <w:bCs/>
                      <w:color w:val="000000"/>
                      <w:sz w:val="16"/>
                      <w:szCs w:val="16"/>
                      <w:lang w:val="es-CO" w:eastAsia="es-CO"/>
                    </w:rPr>
                  </w:pPr>
                  <w:r w:rsidRPr="005C27AA">
                    <w:rPr>
                      <w:rFonts w:ascii="Century Gothic" w:eastAsia="Times New Roman" w:hAnsi="Century Gothic"/>
                      <w:b/>
                      <w:bCs/>
                      <w:color w:val="000000"/>
                      <w:sz w:val="16"/>
                      <w:szCs w:val="16"/>
                      <w:lang w:val="es-CO" w:eastAsia="es-CO"/>
                    </w:rPr>
                    <w:t>Fondo de Reparación (Servicio prestado)</w:t>
                  </w:r>
                </w:p>
              </w:tc>
              <w:tc>
                <w:tcPr>
                  <w:tcW w:w="1559" w:type="dxa"/>
                  <w:vAlign w:val="center"/>
                  <w:hideMark/>
                </w:tcPr>
                <w:p w:rsidR="005C27AA" w:rsidRPr="005C27AA" w:rsidRDefault="005C27AA" w:rsidP="005C27AA">
                  <w:pPr>
                    <w:spacing w:after="0"/>
                    <w:jc w:val="center"/>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21</w:t>
                  </w:r>
                </w:p>
              </w:tc>
              <w:tc>
                <w:tcPr>
                  <w:tcW w:w="1559" w:type="dxa"/>
                  <w:vAlign w:val="center"/>
                  <w:hideMark/>
                </w:tcPr>
                <w:p w:rsidR="005C27AA" w:rsidRPr="005C27AA" w:rsidRDefault="005C27AA" w:rsidP="005C27AA">
                  <w:pPr>
                    <w:spacing w:after="0"/>
                    <w:jc w:val="center"/>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0</w:t>
                  </w:r>
                </w:p>
              </w:tc>
              <w:tc>
                <w:tcPr>
                  <w:tcW w:w="2127" w:type="dxa"/>
                  <w:noWrap/>
                  <w:vAlign w:val="center"/>
                  <w:hideMark/>
                </w:tcPr>
                <w:p w:rsidR="005C27AA" w:rsidRPr="005C27AA" w:rsidRDefault="005C27AA" w:rsidP="005C27AA">
                  <w:pPr>
                    <w:spacing w:after="0"/>
                    <w:jc w:val="right"/>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0,00%</w:t>
                  </w:r>
                </w:p>
              </w:tc>
              <w:tc>
                <w:tcPr>
                  <w:tcW w:w="3254" w:type="dxa"/>
                  <w:vMerge/>
                  <w:vAlign w:val="center"/>
                  <w:hideMark/>
                </w:tcPr>
                <w:p w:rsidR="005C27AA" w:rsidRPr="005C27AA" w:rsidRDefault="005C27AA" w:rsidP="005C27AA">
                  <w:pPr>
                    <w:spacing w:after="0"/>
                    <w:rPr>
                      <w:rFonts w:ascii="Century Gothic" w:eastAsia="Times New Roman" w:hAnsi="Century Gothic"/>
                      <w:color w:val="000000"/>
                      <w:sz w:val="16"/>
                      <w:szCs w:val="16"/>
                      <w:lang w:val="es-CO" w:eastAsia="es-CO"/>
                    </w:rPr>
                  </w:pPr>
                </w:p>
              </w:tc>
            </w:tr>
            <w:tr w:rsidR="005C27AA" w:rsidRPr="005C27AA" w:rsidTr="00ED60C3">
              <w:trPr>
                <w:trHeight w:val="300"/>
              </w:trPr>
              <w:tc>
                <w:tcPr>
                  <w:tcW w:w="1872" w:type="dxa"/>
                  <w:gridSpan w:val="2"/>
                  <w:noWrap/>
                  <w:vAlign w:val="center"/>
                  <w:hideMark/>
                </w:tcPr>
                <w:p w:rsidR="005C27AA" w:rsidRPr="005C27AA" w:rsidRDefault="005C27AA" w:rsidP="005C27AA">
                  <w:pPr>
                    <w:spacing w:after="0"/>
                    <w:jc w:val="right"/>
                    <w:rPr>
                      <w:rFonts w:ascii="Century Gothic" w:eastAsia="Times New Roman" w:hAnsi="Century Gothic"/>
                      <w:b/>
                      <w:bCs/>
                      <w:color w:val="000000"/>
                      <w:sz w:val="16"/>
                      <w:szCs w:val="16"/>
                      <w:lang w:val="es-CO" w:eastAsia="es-CO"/>
                    </w:rPr>
                  </w:pPr>
                  <w:r w:rsidRPr="005C27AA">
                    <w:rPr>
                      <w:rFonts w:ascii="Century Gothic" w:eastAsia="Times New Roman" w:hAnsi="Century Gothic"/>
                      <w:b/>
                      <w:bCs/>
                      <w:color w:val="000000"/>
                      <w:sz w:val="16"/>
                      <w:szCs w:val="16"/>
                      <w:lang w:val="es-CO" w:eastAsia="es-CO"/>
                    </w:rPr>
                    <w:t>TOTAL Vehículos</w:t>
                  </w:r>
                </w:p>
              </w:tc>
              <w:tc>
                <w:tcPr>
                  <w:tcW w:w="1559" w:type="dxa"/>
                  <w:noWrap/>
                  <w:vAlign w:val="center"/>
                  <w:hideMark/>
                </w:tcPr>
                <w:p w:rsidR="005C27AA" w:rsidRPr="005C27AA" w:rsidRDefault="005C27AA" w:rsidP="005C27AA">
                  <w:pPr>
                    <w:spacing w:after="0"/>
                    <w:jc w:val="center"/>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44</w:t>
                  </w:r>
                </w:p>
              </w:tc>
              <w:tc>
                <w:tcPr>
                  <w:tcW w:w="1559" w:type="dxa"/>
                  <w:noWrap/>
                  <w:vAlign w:val="center"/>
                  <w:hideMark/>
                </w:tcPr>
                <w:p w:rsidR="005C27AA" w:rsidRPr="005C27AA" w:rsidRDefault="005C27AA" w:rsidP="005C27AA">
                  <w:pPr>
                    <w:spacing w:after="0"/>
                    <w:jc w:val="center"/>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0</w:t>
                  </w:r>
                </w:p>
              </w:tc>
              <w:tc>
                <w:tcPr>
                  <w:tcW w:w="2127" w:type="dxa"/>
                  <w:noWrap/>
                  <w:vAlign w:val="center"/>
                  <w:hideMark/>
                </w:tcPr>
                <w:p w:rsidR="005C27AA" w:rsidRPr="005C27AA" w:rsidRDefault="005C27AA" w:rsidP="005C27AA">
                  <w:pPr>
                    <w:spacing w:after="0"/>
                    <w:jc w:val="right"/>
                    <w:rPr>
                      <w:rFonts w:ascii="Century Gothic" w:eastAsia="Times New Roman" w:hAnsi="Century Gothic"/>
                      <w:color w:val="000000"/>
                      <w:sz w:val="16"/>
                      <w:szCs w:val="16"/>
                      <w:lang w:val="es-CO" w:eastAsia="es-CO"/>
                    </w:rPr>
                  </w:pPr>
                  <w:r w:rsidRPr="005C27AA">
                    <w:rPr>
                      <w:rFonts w:ascii="Century Gothic" w:eastAsia="Times New Roman" w:hAnsi="Century Gothic"/>
                      <w:color w:val="000000"/>
                      <w:sz w:val="16"/>
                      <w:szCs w:val="16"/>
                      <w:lang w:val="es-CO" w:eastAsia="es-CO"/>
                    </w:rPr>
                    <w:t>0,00%</w:t>
                  </w:r>
                </w:p>
              </w:tc>
              <w:tc>
                <w:tcPr>
                  <w:tcW w:w="3254" w:type="dxa"/>
                  <w:vMerge/>
                  <w:vAlign w:val="center"/>
                  <w:hideMark/>
                </w:tcPr>
                <w:p w:rsidR="005C27AA" w:rsidRPr="005C27AA" w:rsidRDefault="005C27AA" w:rsidP="005C27AA">
                  <w:pPr>
                    <w:spacing w:after="0"/>
                    <w:rPr>
                      <w:rFonts w:ascii="Century Gothic" w:eastAsia="Times New Roman" w:hAnsi="Century Gothic"/>
                      <w:color w:val="000000"/>
                      <w:sz w:val="16"/>
                      <w:szCs w:val="16"/>
                      <w:lang w:val="es-CO" w:eastAsia="es-CO"/>
                    </w:rPr>
                  </w:pPr>
                </w:p>
              </w:tc>
            </w:tr>
            <w:tr w:rsidR="005C27AA" w:rsidRPr="005C27AA" w:rsidTr="005C27AA">
              <w:trPr>
                <w:trHeight w:val="735"/>
              </w:trPr>
              <w:tc>
                <w:tcPr>
                  <w:tcW w:w="10371" w:type="dxa"/>
                  <w:gridSpan w:val="6"/>
                  <w:vMerge w:val="restart"/>
                  <w:vAlign w:val="center"/>
                  <w:hideMark/>
                </w:tcPr>
                <w:p w:rsidR="005C27AA" w:rsidRPr="005C27AA" w:rsidRDefault="005C27AA" w:rsidP="005C27AA">
                  <w:pPr>
                    <w:spacing w:after="0"/>
                    <w:jc w:val="both"/>
                    <w:rPr>
                      <w:rFonts w:ascii="Century Gothic" w:eastAsia="Times New Roman" w:hAnsi="Century Gothic"/>
                      <w:b/>
                      <w:bCs/>
                      <w:sz w:val="16"/>
                      <w:szCs w:val="16"/>
                      <w:lang w:val="es-CO" w:eastAsia="es-CO"/>
                    </w:rPr>
                  </w:pPr>
                  <w:r w:rsidRPr="005C27AA">
                    <w:rPr>
                      <w:rFonts w:ascii="Century Gothic" w:eastAsia="Times New Roman" w:hAnsi="Century Gothic"/>
                      <w:b/>
                      <w:bCs/>
                      <w:sz w:val="16"/>
                      <w:szCs w:val="16"/>
                      <w:lang w:val="es-CO" w:eastAsia="es-CO"/>
                    </w:rPr>
                    <w:t>Información enviada por el proceso:</w:t>
                  </w:r>
                </w:p>
                <w:p w:rsidR="005C27AA" w:rsidRDefault="005C27AA" w:rsidP="005C27AA">
                  <w:pPr>
                    <w:spacing w:after="0"/>
                    <w:jc w:val="both"/>
                    <w:rPr>
                      <w:rFonts w:ascii="Century Gothic" w:eastAsia="Times New Roman" w:hAnsi="Century Gothic"/>
                      <w:sz w:val="16"/>
                      <w:szCs w:val="16"/>
                      <w:lang w:val="es-CO" w:eastAsia="es-CO"/>
                    </w:rPr>
                  </w:pPr>
                  <w:r w:rsidRPr="005C27AA">
                    <w:rPr>
                      <w:rFonts w:ascii="Century Gothic" w:eastAsia="Times New Roman" w:hAnsi="Century Gothic"/>
                      <w:b/>
                      <w:bCs/>
                      <w:sz w:val="16"/>
                      <w:szCs w:val="16"/>
                      <w:lang w:val="es-CO" w:eastAsia="es-CO"/>
                    </w:rPr>
                    <w:br/>
                  </w:r>
                  <w:r w:rsidRPr="005C27AA">
                    <w:rPr>
                      <w:rFonts w:ascii="Century Gothic" w:eastAsia="Times New Roman" w:hAnsi="Century Gothic"/>
                      <w:b/>
                      <w:bCs/>
                      <w:sz w:val="16"/>
                      <w:szCs w:val="16"/>
                      <w:u w:val="single"/>
                      <w:lang w:val="es-CO" w:eastAsia="es-CO"/>
                    </w:rPr>
                    <w:t>Administrativa:</w:t>
                  </w:r>
                  <w:r w:rsidRPr="005C27AA">
                    <w:rPr>
                      <w:rFonts w:ascii="Century Gothic" w:eastAsia="Times New Roman" w:hAnsi="Century Gothic"/>
                      <w:b/>
                      <w:bCs/>
                      <w:sz w:val="16"/>
                      <w:szCs w:val="16"/>
                      <w:lang w:val="es-CO" w:eastAsia="es-CO"/>
                    </w:rPr>
                    <w:t xml:space="preserve"> </w:t>
                  </w:r>
                  <w:r w:rsidRPr="005C27AA">
                    <w:rPr>
                      <w:rFonts w:ascii="Century Gothic" w:eastAsia="Times New Roman" w:hAnsi="Century Gothic"/>
                      <w:sz w:val="16"/>
                      <w:szCs w:val="16"/>
                      <w:lang w:val="es-CO" w:eastAsia="es-CO"/>
                    </w:rPr>
                    <w:t xml:space="preserve">En el 2015 en Marzo se utilizó un total de 19 camionetas 4X4 para las territoriales, en Magdalena medio no conto con camioneta porque en el momento no había Director Territorial, 2 camionetas </w:t>
                  </w:r>
                  <w:proofErr w:type="spellStart"/>
                  <w:r w:rsidRPr="005C27AA">
                    <w:rPr>
                      <w:rFonts w:ascii="Century Gothic" w:eastAsia="Times New Roman" w:hAnsi="Century Gothic"/>
                      <w:sz w:val="16"/>
                      <w:szCs w:val="16"/>
                      <w:lang w:val="es-CO" w:eastAsia="es-CO"/>
                    </w:rPr>
                    <w:t>Station</w:t>
                  </w:r>
                  <w:proofErr w:type="spellEnd"/>
                  <w:r w:rsidRPr="005C27AA">
                    <w:rPr>
                      <w:rFonts w:ascii="Century Gothic" w:eastAsia="Times New Roman" w:hAnsi="Century Gothic"/>
                      <w:sz w:val="16"/>
                      <w:szCs w:val="16"/>
                      <w:lang w:val="es-CO" w:eastAsia="es-CO"/>
                    </w:rPr>
                    <w:t xml:space="preserve"> </w:t>
                  </w:r>
                  <w:proofErr w:type="spellStart"/>
                  <w:r w:rsidRPr="005C27AA">
                    <w:rPr>
                      <w:rFonts w:ascii="Century Gothic" w:eastAsia="Times New Roman" w:hAnsi="Century Gothic"/>
                      <w:sz w:val="16"/>
                      <w:szCs w:val="16"/>
                      <w:lang w:val="es-CO" w:eastAsia="es-CO"/>
                    </w:rPr>
                    <w:t>Wagon</w:t>
                  </w:r>
                  <w:proofErr w:type="spellEnd"/>
                  <w:r w:rsidRPr="005C27AA">
                    <w:rPr>
                      <w:rFonts w:ascii="Century Gothic" w:eastAsia="Times New Roman" w:hAnsi="Century Gothic"/>
                      <w:sz w:val="16"/>
                      <w:szCs w:val="16"/>
                      <w:lang w:val="es-CO" w:eastAsia="es-CO"/>
                    </w:rPr>
                    <w:t xml:space="preserve"> para Secretaria General y Subdirección, 1 Administrativa y 1 por demanda. En el 2016 el contrato inicio en el mes de abril.</w:t>
                  </w:r>
                </w:p>
                <w:p w:rsidR="005C27AA" w:rsidRPr="005C27AA" w:rsidRDefault="005C27AA" w:rsidP="005C27AA">
                  <w:pPr>
                    <w:spacing w:after="0"/>
                    <w:jc w:val="both"/>
                    <w:rPr>
                      <w:rFonts w:ascii="Century Gothic" w:eastAsia="Times New Roman" w:hAnsi="Century Gothic"/>
                      <w:b/>
                      <w:bCs/>
                      <w:sz w:val="16"/>
                      <w:szCs w:val="16"/>
                      <w:lang w:val="es-CO" w:eastAsia="es-CO"/>
                    </w:rPr>
                  </w:pPr>
                  <w:r w:rsidRPr="005C27AA">
                    <w:rPr>
                      <w:rFonts w:ascii="Century Gothic" w:eastAsia="Times New Roman" w:hAnsi="Century Gothic"/>
                      <w:sz w:val="16"/>
                      <w:szCs w:val="16"/>
                      <w:lang w:val="es-CO" w:eastAsia="es-CO"/>
                    </w:rPr>
                    <w:br/>
                  </w:r>
                  <w:r w:rsidRPr="005C27AA">
                    <w:rPr>
                      <w:rFonts w:ascii="Century Gothic" w:eastAsia="Times New Roman" w:hAnsi="Century Gothic"/>
                      <w:b/>
                      <w:bCs/>
                      <w:sz w:val="16"/>
                      <w:szCs w:val="16"/>
                      <w:u w:val="single"/>
                      <w:lang w:val="es-CO" w:eastAsia="es-CO"/>
                    </w:rPr>
                    <w:t xml:space="preserve">FRV: </w:t>
                  </w:r>
                  <w:r w:rsidRPr="005C27AA">
                    <w:rPr>
                      <w:rFonts w:ascii="Century Gothic" w:eastAsia="Times New Roman" w:hAnsi="Century Gothic"/>
                      <w:sz w:val="16"/>
                      <w:szCs w:val="16"/>
                      <w:lang w:val="es-CO" w:eastAsia="es-CO"/>
                    </w:rPr>
                    <w:t>En el año 2016 el contrato Nº 1278 con fec</w:t>
                  </w:r>
                  <w:r w:rsidR="00B05283">
                    <w:rPr>
                      <w:rFonts w:ascii="Century Gothic" w:eastAsia="Times New Roman" w:hAnsi="Century Gothic"/>
                      <w:sz w:val="16"/>
                      <w:szCs w:val="16"/>
                      <w:lang w:val="es-CO" w:eastAsia="es-CO"/>
                    </w:rPr>
                    <w:t>ha del 17 de marzo de 2016 quedó</w:t>
                  </w:r>
                  <w:r w:rsidRPr="005C27AA">
                    <w:rPr>
                      <w:rFonts w:ascii="Century Gothic" w:eastAsia="Times New Roman" w:hAnsi="Century Gothic"/>
                      <w:sz w:val="16"/>
                      <w:szCs w:val="16"/>
                      <w:lang w:val="es-CO" w:eastAsia="es-CO"/>
                    </w:rPr>
                    <w:t xml:space="preserve"> en firme por lo que se comenzaron a solicitar los servicios de camioneta en el mes de abril. Por tal motivo la variación es negativa.</w:t>
                  </w:r>
                </w:p>
              </w:tc>
            </w:tr>
            <w:tr w:rsidR="005C27AA" w:rsidRPr="005C27AA" w:rsidTr="005C27AA">
              <w:trPr>
                <w:trHeight w:val="735"/>
              </w:trPr>
              <w:tc>
                <w:tcPr>
                  <w:tcW w:w="10371" w:type="dxa"/>
                  <w:gridSpan w:val="6"/>
                  <w:vMerge/>
                  <w:vAlign w:val="center"/>
                  <w:hideMark/>
                </w:tcPr>
                <w:p w:rsidR="005C27AA" w:rsidRPr="005C27AA" w:rsidRDefault="005C27AA" w:rsidP="005C27AA">
                  <w:pPr>
                    <w:spacing w:after="0"/>
                    <w:rPr>
                      <w:rFonts w:ascii="Century Gothic" w:eastAsia="Times New Roman" w:hAnsi="Century Gothic"/>
                      <w:b/>
                      <w:bCs/>
                      <w:sz w:val="16"/>
                      <w:szCs w:val="16"/>
                      <w:lang w:val="es-CO" w:eastAsia="es-CO"/>
                    </w:rPr>
                  </w:pPr>
                </w:p>
              </w:tc>
            </w:tr>
            <w:tr w:rsidR="005C27AA" w:rsidRPr="005C27AA" w:rsidTr="005C27AA">
              <w:trPr>
                <w:trHeight w:val="196"/>
              </w:trPr>
              <w:tc>
                <w:tcPr>
                  <w:tcW w:w="10371" w:type="dxa"/>
                  <w:gridSpan w:val="6"/>
                  <w:vMerge/>
                  <w:vAlign w:val="center"/>
                  <w:hideMark/>
                </w:tcPr>
                <w:p w:rsidR="005C27AA" w:rsidRPr="005C27AA" w:rsidRDefault="005C27AA" w:rsidP="005C27AA">
                  <w:pPr>
                    <w:spacing w:after="0"/>
                    <w:rPr>
                      <w:rFonts w:ascii="Century Gothic" w:eastAsia="Times New Roman" w:hAnsi="Century Gothic"/>
                      <w:b/>
                      <w:bCs/>
                      <w:sz w:val="16"/>
                      <w:szCs w:val="16"/>
                      <w:lang w:val="es-CO" w:eastAsia="es-CO"/>
                    </w:rPr>
                  </w:pPr>
                </w:p>
              </w:tc>
            </w:tr>
          </w:tbl>
          <w:p w:rsidR="00F8093F" w:rsidRPr="00F577A0" w:rsidRDefault="00F8093F" w:rsidP="00F8093F">
            <w:pPr>
              <w:jc w:val="both"/>
              <w:rPr>
                <w:rFonts w:ascii="Century Gothic" w:hAnsi="Century Gothic"/>
                <w:sz w:val="20"/>
                <w:szCs w:val="20"/>
              </w:rPr>
            </w:pPr>
          </w:p>
          <w:p w:rsidR="00F8093F" w:rsidRDefault="00F8093F" w:rsidP="00F8093F">
            <w:pPr>
              <w:pStyle w:val="Ttulo1"/>
              <w:keepLines/>
              <w:numPr>
                <w:ilvl w:val="1"/>
                <w:numId w:val="25"/>
              </w:numPr>
              <w:spacing w:before="480"/>
              <w:jc w:val="left"/>
              <w:rPr>
                <w:rFonts w:ascii="Century Gothic" w:hAnsi="Century Gothic"/>
                <w:sz w:val="20"/>
                <w:szCs w:val="20"/>
              </w:rPr>
            </w:pPr>
            <w:r w:rsidRPr="00890529">
              <w:rPr>
                <w:rFonts w:ascii="Century Gothic" w:hAnsi="Century Gothic"/>
                <w:sz w:val="20"/>
                <w:szCs w:val="20"/>
              </w:rPr>
              <w:lastRenderedPageBreak/>
              <w:t>Inmuebles y Mantenimiento.</w:t>
            </w:r>
          </w:p>
          <w:p w:rsidR="00F8093F" w:rsidRDefault="00F8093F" w:rsidP="00F8093F">
            <w:pPr>
              <w:rPr>
                <w:lang w:val="es-ES" w:eastAsia="es-ES"/>
              </w:rPr>
            </w:pPr>
          </w:p>
          <w:p w:rsidR="00F8093F" w:rsidRDefault="00F8093F" w:rsidP="00F8093F">
            <w:pPr>
              <w:jc w:val="both"/>
              <w:rPr>
                <w:rFonts w:ascii="Century Gothic" w:hAnsi="Century Gothic" w:cs="Arial"/>
                <w:b/>
                <w:sz w:val="20"/>
                <w:szCs w:val="20"/>
                <w:lang w:eastAsia="es-CO"/>
              </w:rPr>
            </w:pPr>
            <w:r w:rsidRPr="00BF17DA">
              <w:rPr>
                <w:rFonts w:ascii="Century Gothic" w:hAnsi="Century Gothic" w:cs="Arial"/>
                <w:sz w:val="20"/>
                <w:szCs w:val="20"/>
                <w:lang w:val="es-CO" w:eastAsia="es-CO"/>
              </w:rPr>
              <w:t>Dando cumplimiento al Art. 20 del Capítulo IV del Decreto1737 de 1998 en temas relacionados en servicios administrativos – inmuebles y mantenimiento, se presenta a continuación la tabla donde se relaciona los pagos por cada concepto y una breve explicación de la dependencia.</w:t>
            </w:r>
          </w:p>
          <w:p w:rsidR="00F8093F" w:rsidRDefault="00F8093F" w:rsidP="00F8093F">
            <w:pPr>
              <w:rPr>
                <w:lang w:eastAsia="es-ES"/>
              </w:rPr>
            </w:pPr>
          </w:p>
          <w:tbl>
            <w:tblPr>
              <w:tblStyle w:val="Tablaconcuadrcula"/>
              <w:tblW w:w="0" w:type="auto"/>
              <w:tblLayout w:type="fixed"/>
              <w:tblLook w:val="04A0" w:firstRow="1" w:lastRow="0" w:firstColumn="1" w:lastColumn="0" w:noHBand="0" w:noVBand="1"/>
            </w:tblPr>
            <w:tblGrid>
              <w:gridCol w:w="1872"/>
              <w:gridCol w:w="1701"/>
              <w:gridCol w:w="1559"/>
              <w:gridCol w:w="2410"/>
              <w:gridCol w:w="2829"/>
            </w:tblGrid>
            <w:tr w:rsidR="00994DA6" w:rsidRPr="00994DA6" w:rsidTr="00994DA6">
              <w:trPr>
                <w:trHeight w:val="300"/>
              </w:trPr>
              <w:tc>
                <w:tcPr>
                  <w:tcW w:w="7542" w:type="dxa"/>
                  <w:gridSpan w:val="4"/>
                  <w:noWrap/>
                  <w:vAlign w:val="center"/>
                  <w:hideMark/>
                </w:tcPr>
                <w:p w:rsidR="00994DA6" w:rsidRPr="00994DA6" w:rsidRDefault="00994DA6" w:rsidP="00994DA6">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Aspectos cuantitativos</w:t>
                  </w:r>
                </w:p>
              </w:tc>
              <w:tc>
                <w:tcPr>
                  <w:tcW w:w="2829" w:type="dxa"/>
                  <w:noWrap/>
                  <w:vAlign w:val="center"/>
                  <w:hideMark/>
                </w:tcPr>
                <w:p w:rsidR="00994DA6" w:rsidRPr="00994DA6" w:rsidRDefault="00994DA6" w:rsidP="00994DA6">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Aspectos cualitativos</w:t>
                  </w:r>
                </w:p>
              </w:tc>
            </w:tr>
            <w:tr w:rsidR="00994DA6" w:rsidRPr="00994DA6" w:rsidTr="00994DA6">
              <w:trPr>
                <w:trHeight w:val="746"/>
              </w:trPr>
              <w:tc>
                <w:tcPr>
                  <w:tcW w:w="1872" w:type="dxa"/>
                  <w:vAlign w:val="center"/>
                  <w:hideMark/>
                </w:tcPr>
                <w:p w:rsidR="00994DA6" w:rsidRPr="00994DA6" w:rsidRDefault="00994DA6" w:rsidP="00994DA6">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Concepto</w:t>
                  </w:r>
                </w:p>
              </w:tc>
              <w:tc>
                <w:tcPr>
                  <w:tcW w:w="1701" w:type="dxa"/>
                  <w:vAlign w:val="center"/>
                  <w:hideMark/>
                </w:tcPr>
                <w:p w:rsidR="00994DA6" w:rsidRPr="00994DA6" w:rsidRDefault="00994DA6" w:rsidP="00994DA6">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Valor pagado entre  Enero - Marzo de la vigencia 2015</w:t>
                  </w:r>
                </w:p>
              </w:tc>
              <w:tc>
                <w:tcPr>
                  <w:tcW w:w="1559" w:type="dxa"/>
                  <w:vAlign w:val="center"/>
                  <w:hideMark/>
                </w:tcPr>
                <w:p w:rsidR="00994DA6" w:rsidRPr="00994DA6" w:rsidRDefault="00994DA6" w:rsidP="00994DA6">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Valor pagado entre  Enero - Marzo de la vigencia 2016</w:t>
                  </w:r>
                </w:p>
              </w:tc>
              <w:tc>
                <w:tcPr>
                  <w:tcW w:w="2410" w:type="dxa"/>
                  <w:vAlign w:val="center"/>
                  <w:hideMark/>
                </w:tcPr>
                <w:p w:rsidR="00994DA6" w:rsidRPr="00994DA6" w:rsidRDefault="00994DA6" w:rsidP="00994DA6">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 Variación del valor pagado entre Enero - Marzo de 2016 respecto al mismo periodo de la vigencia 2015</w:t>
                  </w:r>
                </w:p>
              </w:tc>
              <w:tc>
                <w:tcPr>
                  <w:tcW w:w="2829" w:type="dxa"/>
                  <w:vMerge w:val="restart"/>
                  <w:vAlign w:val="center"/>
                  <w:hideMark/>
                </w:tcPr>
                <w:p w:rsidR="00994DA6" w:rsidRPr="00994DA6" w:rsidRDefault="00994DA6" w:rsidP="00B05283">
                  <w:pPr>
                    <w:spacing w:after="0"/>
                    <w:jc w:val="both"/>
                    <w:rPr>
                      <w:rFonts w:ascii="Century Gothic" w:eastAsia="Times New Roman" w:hAnsi="Century Gothic"/>
                      <w:color w:val="000000"/>
                      <w:sz w:val="14"/>
                      <w:szCs w:val="14"/>
                      <w:lang w:val="es-CO" w:eastAsia="es-CO"/>
                    </w:rPr>
                  </w:pPr>
                  <w:r w:rsidRPr="00994DA6">
                    <w:rPr>
                      <w:rFonts w:ascii="Century Gothic" w:eastAsia="Times New Roman" w:hAnsi="Century Gothic"/>
                      <w:b/>
                      <w:bCs/>
                      <w:color w:val="000000"/>
                      <w:sz w:val="14"/>
                      <w:szCs w:val="14"/>
                      <w:u w:val="single"/>
                      <w:lang w:val="es-CO" w:eastAsia="es-CO"/>
                    </w:rPr>
                    <w:t>Arrendamientos bienes inmuebles:</w:t>
                  </w:r>
                  <w:r w:rsidRPr="00994DA6">
                    <w:rPr>
                      <w:rFonts w:ascii="Century Gothic" w:eastAsia="Times New Roman" w:hAnsi="Century Gothic"/>
                      <w:color w:val="000000"/>
                      <w:sz w:val="14"/>
                      <w:szCs w:val="14"/>
                      <w:lang w:val="es-CO" w:eastAsia="es-CO"/>
                    </w:rPr>
                    <w:t xml:space="preserve"> Este incremento de 5,41% se ve reflejado por el IPC y por el arrendamiento de los pisos 2, 3, 8 y 11 del Edificio </w:t>
                  </w:r>
                  <w:proofErr w:type="spellStart"/>
                  <w:r w:rsidRPr="00994DA6">
                    <w:rPr>
                      <w:rFonts w:ascii="Century Gothic" w:eastAsia="Times New Roman" w:hAnsi="Century Gothic"/>
                      <w:color w:val="000000"/>
                      <w:sz w:val="14"/>
                      <w:szCs w:val="14"/>
                      <w:lang w:val="es-CO" w:eastAsia="es-CO"/>
                    </w:rPr>
                    <w:t>Afinsa</w:t>
                  </w:r>
                  <w:proofErr w:type="spellEnd"/>
                  <w:r w:rsidRPr="00994DA6">
                    <w:rPr>
                      <w:rFonts w:ascii="Century Gothic" w:eastAsia="Times New Roman" w:hAnsi="Century Gothic"/>
                      <w:color w:val="000000"/>
                      <w:sz w:val="14"/>
                      <w:szCs w:val="14"/>
                      <w:lang w:val="es-CO" w:eastAsia="es-CO"/>
                    </w:rPr>
                    <w:t xml:space="preserve"> y el piso 4 del edificio Parque Santander en Bogotá para la presente vigencia, adicionalmente se ve reflejado en los soportes, que algunas Direcciones Territoriales no se ve reflejado el pago del mes de marzo y la DT de Nariño se encuentra en conciliación de pago debido a que el dueño del inmueble falleció por ende se debe</w:t>
                  </w:r>
                  <w:r w:rsidR="00B05283">
                    <w:rPr>
                      <w:rFonts w:ascii="Century Gothic" w:eastAsia="Times New Roman" w:hAnsi="Century Gothic"/>
                      <w:color w:val="000000"/>
                      <w:sz w:val="14"/>
                      <w:szCs w:val="14"/>
                      <w:lang w:val="es-CO" w:eastAsia="es-CO"/>
                    </w:rPr>
                    <w:t>n</w:t>
                  </w:r>
                  <w:r w:rsidRPr="00994DA6">
                    <w:rPr>
                      <w:rFonts w:ascii="Century Gothic" w:eastAsia="Times New Roman" w:hAnsi="Century Gothic"/>
                      <w:color w:val="000000"/>
                      <w:sz w:val="14"/>
                      <w:szCs w:val="14"/>
                      <w:lang w:val="es-CO" w:eastAsia="es-CO"/>
                    </w:rPr>
                    <w:t xml:space="preserve"> los tres meses.</w:t>
                  </w:r>
                  <w:r w:rsidRPr="00994DA6">
                    <w:rPr>
                      <w:rFonts w:ascii="Century Gothic" w:eastAsia="Times New Roman" w:hAnsi="Century Gothic"/>
                      <w:color w:val="000000"/>
                      <w:sz w:val="14"/>
                      <w:szCs w:val="14"/>
                      <w:lang w:val="es-CO" w:eastAsia="es-CO"/>
                    </w:rPr>
                    <w:br/>
                  </w:r>
                  <w:r w:rsidRPr="00994DA6">
                    <w:rPr>
                      <w:rFonts w:ascii="Century Gothic" w:eastAsia="Times New Roman" w:hAnsi="Century Gothic"/>
                      <w:color w:val="000000"/>
                      <w:sz w:val="14"/>
                      <w:szCs w:val="14"/>
                      <w:lang w:val="es-CO" w:eastAsia="es-CO"/>
                    </w:rPr>
                    <w:br/>
                  </w:r>
                  <w:r w:rsidRPr="00994DA6">
                    <w:rPr>
                      <w:rFonts w:ascii="Century Gothic" w:eastAsia="Times New Roman" w:hAnsi="Century Gothic"/>
                      <w:b/>
                      <w:bCs/>
                      <w:color w:val="000000"/>
                      <w:sz w:val="14"/>
                      <w:szCs w:val="14"/>
                      <w:u w:val="single"/>
                      <w:lang w:val="es-CO" w:eastAsia="es-CO"/>
                    </w:rPr>
                    <w:t xml:space="preserve">Mantenimiento de bienes inmuebles: </w:t>
                  </w:r>
                  <w:r w:rsidRPr="00994DA6">
                    <w:rPr>
                      <w:rFonts w:ascii="Century Gothic" w:eastAsia="Times New Roman" w:hAnsi="Century Gothic"/>
                      <w:color w:val="000000"/>
                      <w:sz w:val="14"/>
                      <w:szCs w:val="14"/>
                      <w:lang w:val="es-CO" w:eastAsia="es-CO"/>
                    </w:rPr>
                    <w:t>Para el rubro de mantenimiento se tiene en cuenta los gastos en mantenimiento de bienes inmuebles, servicio de aseo, servicio de cafetería y restaurante, servicio de seguridad y vigilancia y mantenimiento de otros bienes. Lo anterior presentó un incremento Servicio de Cafetería y Restaurante de 155,81% y para el rubro de Servicio de Aseo de 126,58% presentándose un incremento de mantenimiento de bienes inmuebles de 44,41%</w:t>
                  </w:r>
                  <w:r w:rsidR="00B05283">
                    <w:rPr>
                      <w:rFonts w:ascii="Century Gothic" w:eastAsia="Times New Roman" w:hAnsi="Century Gothic"/>
                      <w:color w:val="000000"/>
                      <w:sz w:val="14"/>
                      <w:szCs w:val="14"/>
                      <w:lang w:val="es-CO" w:eastAsia="es-CO"/>
                    </w:rPr>
                    <w:t xml:space="preserve">, lo anterior según reporte del SIIF, se le solicitó a administrativa </w:t>
                  </w:r>
                  <w:r w:rsidR="00AE5A2F">
                    <w:rPr>
                      <w:rFonts w:ascii="Century Gothic" w:eastAsia="Times New Roman" w:hAnsi="Century Gothic"/>
                      <w:color w:val="000000"/>
                      <w:sz w:val="14"/>
                      <w:szCs w:val="14"/>
                      <w:lang w:val="es-CO" w:eastAsia="es-CO"/>
                    </w:rPr>
                    <w:t>dar mayor claridad frente al tema pero no dieron respuesta.</w:t>
                  </w:r>
                </w:p>
              </w:tc>
            </w:tr>
            <w:tr w:rsidR="00994DA6" w:rsidRPr="00994DA6" w:rsidTr="00994DA6">
              <w:trPr>
                <w:trHeight w:val="1267"/>
              </w:trPr>
              <w:tc>
                <w:tcPr>
                  <w:tcW w:w="1872" w:type="dxa"/>
                  <w:vAlign w:val="center"/>
                  <w:hideMark/>
                </w:tcPr>
                <w:p w:rsidR="00994DA6" w:rsidRPr="00994DA6" w:rsidRDefault="00994DA6" w:rsidP="00994DA6">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Arrendamientos bienes inmuebles (1)</w:t>
                  </w:r>
                </w:p>
              </w:tc>
              <w:tc>
                <w:tcPr>
                  <w:tcW w:w="1701" w:type="dxa"/>
                  <w:noWrap/>
                  <w:vAlign w:val="center"/>
                  <w:hideMark/>
                </w:tcPr>
                <w:p w:rsidR="00994DA6" w:rsidRPr="00994DA6" w:rsidRDefault="00994DA6" w:rsidP="00994DA6">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                 1.196.809.436   </w:t>
                  </w:r>
                </w:p>
              </w:tc>
              <w:tc>
                <w:tcPr>
                  <w:tcW w:w="1559" w:type="dxa"/>
                  <w:noWrap/>
                  <w:vAlign w:val="center"/>
                  <w:hideMark/>
                </w:tcPr>
                <w:p w:rsidR="00994DA6" w:rsidRPr="00994DA6" w:rsidRDefault="00994DA6" w:rsidP="00994DA6">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                 1.261.556.497   </w:t>
                  </w:r>
                </w:p>
              </w:tc>
              <w:tc>
                <w:tcPr>
                  <w:tcW w:w="2410" w:type="dxa"/>
                  <w:noWrap/>
                  <w:vAlign w:val="center"/>
                  <w:hideMark/>
                </w:tcPr>
                <w:p w:rsidR="00994DA6" w:rsidRPr="00994DA6" w:rsidRDefault="00994DA6" w:rsidP="00994DA6">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5,41%</w:t>
                  </w:r>
                </w:p>
              </w:tc>
              <w:tc>
                <w:tcPr>
                  <w:tcW w:w="2829" w:type="dxa"/>
                  <w:vMerge/>
                  <w:vAlign w:val="center"/>
                  <w:hideMark/>
                </w:tcPr>
                <w:p w:rsidR="00994DA6" w:rsidRPr="00994DA6" w:rsidRDefault="00994DA6" w:rsidP="00994DA6">
                  <w:pPr>
                    <w:spacing w:after="0"/>
                    <w:rPr>
                      <w:rFonts w:ascii="Century Gothic" w:eastAsia="Times New Roman" w:hAnsi="Century Gothic"/>
                      <w:color w:val="000000"/>
                      <w:sz w:val="14"/>
                      <w:szCs w:val="14"/>
                      <w:lang w:val="es-CO" w:eastAsia="es-CO"/>
                    </w:rPr>
                  </w:pPr>
                </w:p>
              </w:tc>
            </w:tr>
            <w:tr w:rsidR="00994DA6" w:rsidRPr="00994DA6" w:rsidTr="00994DA6">
              <w:trPr>
                <w:trHeight w:val="1554"/>
              </w:trPr>
              <w:tc>
                <w:tcPr>
                  <w:tcW w:w="1872" w:type="dxa"/>
                  <w:vAlign w:val="center"/>
                  <w:hideMark/>
                </w:tcPr>
                <w:p w:rsidR="00994DA6" w:rsidRPr="00994DA6" w:rsidRDefault="00994DA6" w:rsidP="00994DA6">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Mantenimiento de bienes inmuebles (2)</w:t>
                  </w:r>
                </w:p>
              </w:tc>
              <w:tc>
                <w:tcPr>
                  <w:tcW w:w="1701" w:type="dxa"/>
                  <w:noWrap/>
                  <w:vAlign w:val="center"/>
                  <w:hideMark/>
                </w:tcPr>
                <w:p w:rsidR="00994DA6" w:rsidRPr="00994DA6" w:rsidRDefault="00994DA6" w:rsidP="00994DA6">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               350.971.765,81   </w:t>
                  </w:r>
                </w:p>
              </w:tc>
              <w:tc>
                <w:tcPr>
                  <w:tcW w:w="1559" w:type="dxa"/>
                  <w:noWrap/>
                  <w:vAlign w:val="center"/>
                  <w:hideMark/>
                </w:tcPr>
                <w:p w:rsidR="00994DA6" w:rsidRPr="00994DA6" w:rsidRDefault="00994DA6" w:rsidP="00994DA6">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 xml:space="preserve">               506.835.574,92   </w:t>
                  </w:r>
                </w:p>
              </w:tc>
              <w:tc>
                <w:tcPr>
                  <w:tcW w:w="2410" w:type="dxa"/>
                  <w:noWrap/>
                  <w:vAlign w:val="center"/>
                  <w:hideMark/>
                </w:tcPr>
                <w:p w:rsidR="00994DA6" w:rsidRPr="00994DA6" w:rsidRDefault="00994DA6" w:rsidP="00994DA6">
                  <w:pPr>
                    <w:spacing w:after="0"/>
                    <w:jc w:val="right"/>
                    <w:rPr>
                      <w:rFonts w:ascii="Century Gothic" w:eastAsia="Times New Roman" w:hAnsi="Century Gothic"/>
                      <w:color w:val="000000"/>
                      <w:sz w:val="14"/>
                      <w:szCs w:val="14"/>
                      <w:lang w:val="es-CO" w:eastAsia="es-CO"/>
                    </w:rPr>
                  </w:pPr>
                  <w:r w:rsidRPr="00994DA6">
                    <w:rPr>
                      <w:rFonts w:ascii="Century Gothic" w:eastAsia="Times New Roman" w:hAnsi="Century Gothic"/>
                      <w:color w:val="000000"/>
                      <w:sz w:val="14"/>
                      <w:szCs w:val="14"/>
                      <w:lang w:val="es-CO" w:eastAsia="es-CO"/>
                    </w:rPr>
                    <w:t>44,41%</w:t>
                  </w:r>
                </w:p>
              </w:tc>
              <w:tc>
                <w:tcPr>
                  <w:tcW w:w="2829" w:type="dxa"/>
                  <w:vMerge/>
                  <w:vAlign w:val="center"/>
                  <w:hideMark/>
                </w:tcPr>
                <w:p w:rsidR="00994DA6" w:rsidRPr="00994DA6" w:rsidRDefault="00994DA6" w:rsidP="00994DA6">
                  <w:pPr>
                    <w:spacing w:after="0"/>
                    <w:rPr>
                      <w:rFonts w:ascii="Century Gothic" w:eastAsia="Times New Roman" w:hAnsi="Century Gothic"/>
                      <w:color w:val="000000"/>
                      <w:sz w:val="14"/>
                      <w:szCs w:val="14"/>
                      <w:lang w:val="es-CO" w:eastAsia="es-CO"/>
                    </w:rPr>
                  </w:pPr>
                </w:p>
              </w:tc>
            </w:tr>
            <w:tr w:rsidR="00994DA6" w:rsidRPr="00994DA6" w:rsidTr="00994DA6">
              <w:trPr>
                <w:trHeight w:val="1548"/>
              </w:trPr>
              <w:tc>
                <w:tcPr>
                  <w:tcW w:w="1872" w:type="dxa"/>
                  <w:noWrap/>
                  <w:vAlign w:val="center"/>
                  <w:hideMark/>
                </w:tcPr>
                <w:p w:rsidR="00994DA6" w:rsidRPr="00994DA6" w:rsidRDefault="00994DA6" w:rsidP="00994DA6">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TOTALES $</w:t>
                  </w:r>
                </w:p>
              </w:tc>
              <w:tc>
                <w:tcPr>
                  <w:tcW w:w="1701" w:type="dxa"/>
                  <w:noWrap/>
                  <w:vAlign w:val="center"/>
                  <w:hideMark/>
                </w:tcPr>
                <w:p w:rsidR="00994DA6" w:rsidRPr="00994DA6" w:rsidRDefault="00994DA6" w:rsidP="00994DA6">
                  <w:pPr>
                    <w:spacing w:after="0"/>
                    <w:jc w:val="right"/>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 xml:space="preserve">                    350.971.766   </w:t>
                  </w:r>
                </w:p>
              </w:tc>
              <w:tc>
                <w:tcPr>
                  <w:tcW w:w="1559" w:type="dxa"/>
                  <w:noWrap/>
                  <w:vAlign w:val="center"/>
                  <w:hideMark/>
                </w:tcPr>
                <w:p w:rsidR="00994DA6" w:rsidRPr="00994DA6" w:rsidRDefault="00994DA6" w:rsidP="00994DA6">
                  <w:pPr>
                    <w:spacing w:after="0"/>
                    <w:jc w:val="right"/>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 xml:space="preserve">                    506.835.575   </w:t>
                  </w:r>
                </w:p>
              </w:tc>
              <w:tc>
                <w:tcPr>
                  <w:tcW w:w="2410" w:type="dxa"/>
                  <w:noWrap/>
                  <w:vAlign w:val="center"/>
                  <w:hideMark/>
                </w:tcPr>
                <w:p w:rsidR="00994DA6" w:rsidRPr="00994DA6" w:rsidRDefault="00994DA6" w:rsidP="00994DA6">
                  <w:pPr>
                    <w:spacing w:after="0"/>
                    <w:jc w:val="center"/>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N/A</w:t>
                  </w:r>
                </w:p>
              </w:tc>
              <w:tc>
                <w:tcPr>
                  <w:tcW w:w="2829" w:type="dxa"/>
                  <w:vMerge/>
                  <w:vAlign w:val="center"/>
                  <w:hideMark/>
                </w:tcPr>
                <w:p w:rsidR="00994DA6" w:rsidRPr="00994DA6" w:rsidRDefault="00994DA6" w:rsidP="00994DA6">
                  <w:pPr>
                    <w:spacing w:after="0"/>
                    <w:rPr>
                      <w:rFonts w:ascii="Century Gothic" w:eastAsia="Times New Roman" w:hAnsi="Century Gothic"/>
                      <w:color w:val="000000"/>
                      <w:sz w:val="14"/>
                      <w:szCs w:val="14"/>
                      <w:lang w:val="es-CO" w:eastAsia="es-CO"/>
                    </w:rPr>
                  </w:pPr>
                </w:p>
              </w:tc>
            </w:tr>
            <w:tr w:rsidR="00994DA6" w:rsidRPr="00994DA6" w:rsidTr="00994DA6">
              <w:trPr>
                <w:trHeight w:val="300"/>
              </w:trPr>
              <w:tc>
                <w:tcPr>
                  <w:tcW w:w="10371" w:type="dxa"/>
                  <w:gridSpan w:val="5"/>
                  <w:vMerge w:val="restart"/>
                  <w:vAlign w:val="center"/>
                  <w:hideMark/>
                </w:tcPr>
                <w:p w:rsidR="00994DA6" w:rsidRPr="00994DA6" w:rsidRDefault="00994DA6" w:rsidP="00994DA6">
                  <w:pPr>
                    <w:spacing w:after="0"/>
                    <w:rPr>
                      <w:rFonts w:ascii="Century Gothic" w:eastAsia="Times New Roman" w:hAnsi="Century Gothic"/>
                      <w:b/>
                      <w:bCs/>
                      <w:color w:val="000000"/>
                      <w:sz w:val="14"/>
                      <w:szCs w:val="14"/>
                      <w:lang w:val="es-CO" w:eastAsia="es-CO"/>
                    </w:rPr>
                  </w:pPr>
                  <w:r w:rsidRPr="00994DA6">
                    <w:rPr>
                      <w:rFonts w:ascii="Century Gothic" w:eastAsia="Times New Roman" w:hAnsi="Century Gothic"/>
                      <w:b/>
                      <w:bCs/>
                      <w:color w:val="000000"/>
                      <w:sz w:val="14"/>
                      <w:szCs w:val="14"/>
                      <w:lang w:val="es-CO" w:eastAsia="es-CO"/>
                    </w:rPr>
                    <w:t>Información enviada por el proceso:</w:t>
                  </w:r>
                  <w:r w:rsidRPr="00994DA6">
                    <w:rPr>
                      <w:rFonts w:ascii="Century Gothic" w:eastAsia="Times New Roman" w:hAnsi="Century Gothic"/>
                      <w:b/>
                      <w:bCs/>
                      <w:color w:val="000000"/>
                      <w:sz w:val="14"/>
                      <w:szCs w:val="14"/>
                      <w:lang w:val="es-CO" w:eastAsia="es-CO"/>
                    </w:rPr>
                    <w:br/>
                  </w:r>
                  <w:r w:rsidRPr="00994DA6">
                    <w:rPr>
                      <w:rFonts w:ascii="Century Gothic" w:eastAsia="Times New Roman" w:hAnsi="Century Gothic"/>
                      <w:b/>
                      <w:bCs/>
                      <w:color w:val="FF0000"/>
                      <w:sz w:val="14"/>
                      <w:szCs w:val="14"/>
                      <w:lang w:val="es-CO" w:eastAsia="es-CO"/>
                    </w:rPr>
                    <w:br/>
                  </w:r>
                  <w:r w:rsidRPr="00994DA6">
                    <w:rPr>
                      <w:rFonts w:ascii="Century Gothic" w:eastAsia="Times New Roman" w:hAnsi="Century Gothic"/>
                      <w:b/>
                      <w:bCs/>
                      <w:sz w:val="14"/>
                      <w:szCs w:val="14"/>
                      <w:u w:val="single"/>
                      <w:lang w:val="es-CO" w:eastAsia="es-CO"/>
                    </w:rPr>
                    <w:t xml:space="preserve">Arrendamientos bienes inmuebles: </w:t>
                  </w:r>
                  <w:r w:rsidRPr="00994DA6">
                    <w:rPr>
                      <w:rFonts w:ascii="Century Gothic" w:eastAsia="Times New Roman" w:hAnsi="Century Gothic"/>
                      <w:sz w:val="14"/>
                      <w:szCs w:val="14"/>
                      <w:lang w:val="es-CO" w:eastAsia="es-CO"/>
                    </w:rPr>
                    <w:t>La variación se presenta dado que se debe hacer el ajuste a los contratos de acuerdo al IPC , tanto de vigencias futuras como los que no las tienen, el cual fue del 6,77%</w:t>
                  </w:r>
                </w:p>
              </w:tc>
            </w:tr>
            <w:tr w:rsidR="00994DA6" w:rsidRPr="00994DA6" w:rsidTr="00994DA6">
              <w:trPr>
                <w:trHeight w:val="300"/>
              </w:trPr>
              <w:tc>
                <w:tcPr>
                  <w:tcW w:w="10371" w:type="dxa"/>
                  <w:gridSpan w:val="5"/>
                  <w:vMerge/>
                  <w:vAlign w:val="center"/>
                  <w:hideMark/>
                </w:tcPr>
                <w:p w:rsidR="00994DA6" w:rsidRPr="00994DA6" w:rsidRDefault="00994DA6" w:rsidP="00994DA6">
                  <w:pPr>
                    <w:spacing w:after="0"/>
                    <w:rPr>
                      <w:rFonts w:ascii="Century Gothic" w:eastAsia="Times New Roman" w:hAnsi="Century Gothic"/>
                      <w:b/>
                      <w:bCs/>
                      <w:color w:val="000000"/>
                      <w:sz w:val="14"/>
                      <w:szCs w:val="14"/>
                      <w:lang w:val="es-CO" w:eastAsia="es-CO"/>
                    </w:rPr>
                  </w:pPr>
                </w:p>
              </w:tc>
            </w:tr>
            <w:tr w:rsidR="00994DA6" w:rsidRPr="00994DA6" w:rsidTr="00994DA6">
              <w:trPr>
                <w:trHeight w:val="172"/>
              </w:trPr>
              <w:tc>
                <w:tcPr>
                  <w:tcW w:w="10371" w:type="dxa"/>
                  <w:gridSpan w:val="5"/>
                  <w:vMerge/>
                  <w:vAlign w:val="center"/>
                  <w:hideMark/>
                </w:tcPr>
                <w:p w:rsidR="00994DA6" w:rsidRPr="00994DA6" w:rsidRDefault="00994DA6" w:rsidP="00994DA6">
                  <w:pPr>
                    <w:spacing w:after="0"/>
                    <w:rPr>
                      <w:rFonts w:ascii="Century Gothic" w:eastAsia="Times New Roman" w:hAnsi="Century Gothic"/>
                      <w:b/>
                      <w:bCs/>
                      <w:color w:val="000000"/>
                      <w:sz w:val="14"/>
                      <w:szCs w:val="14"/>
                      <w:lang w:val="es-CO" w:eastAsia="es-CO"/>
                    </w:rPr>
                  </w:pPr>
                </w:p>
              </w:tc>
            </w:tr>
          </w:tbl>
          <w:p w:rsidR="00F8093F" w:rsidRPr="00890529" w:rsidRDefault="00F8093F" w:rsidP="00F8093F">
            <w:pPr>
              <w:rPr>
                <w:lang w:eastAsia="es-ES"/>
              </w:rPr>
            </w:pPr>
          </w:p>
          <w:p w:rsidR="00F8093F" w:rsidRPr="00BF17DA" w:rsidRDefault="00F8093F" w:rsidP="00F8093F">
            <w:pPr>
              <w:pStyle w:val="Ttulo1"/>
              <w:keepLines/>
              <w:numPr>
                <w:ilvl w:val="1"/>
                <w:numId w:val="25"/>
              </w:numPr>
              <w:spacing w:before="480"/>
              <w:jc w:val="left"/>
              <w:rPr>
                <w:rFonts w:ascii="Century Gothic" w:hAnsi="Century Gothic"/>
                <w:sz w:val="20"/>
                <w:szCs w:val="20"/>
              </w:rPr>
            </w:pPr>
            <w:r w:rsidRPr="00890529">
              <w:rPr>
                <w:rFonts w:ascii="Century Gothic" w:hAnsi="Century Gothic"/>
                <w:sz w:val="20"/>
                <w:szCs w:val="20"/>
              </w:rPr>
              <w:t xml:space="preserve">Otros temas relacionados con </w:t>
            </w:r>
            <w:r w:rsidRPr="00BF17DA">
              <w:rPr>
                <w:rFonts w:ascii="Century Gothic" w:hAnsi="Century Gothic"/>
                <w:sz w:val="20"/>
                <w:szCs w:val="20"/>
              </w:rPr>
              <w:t>servicios administrativos.</w:t>
            </w:r>
          </w:p>
          <w:p w:rsidR="00F8093F" w:rsidRPr="00BF17DA" w:rsidRDefault="00F8093F" w:rsidP="00F8093F">
            <w:pPr>
              <w:pStyle w:val="Ttulo2"/>
              <w:rPr>
                <w:rFonts w:ascii="Century Gothic" w:hAnsi="Century Gothic"/>
                <w:sz w:val="20"/>
                <w:szCs w:val="20"/>
              </w:rPr>
            </w:pPr>
          </w:p>
          <w:p w:rsidR="00F8093F" w:rsidRPr="00BF17DA" w:rsidRDefault="00F8093F" w:rsidP="00F8093F">
            <w:pPr>
              <w:jc w:val="both"/>
              <w:rPr>
                <w:rFonts w:ascii="Century Gothic" w:hAnsi="Century Gothic" w:cs="Arial"/>
                <w:bCs/>
                <w:sz w:val="20"/>
                <w:szCs w:val="20"/>
                <w:lang w:val="es-MX" w:eastAsia="es-MX"/>
              </w:rPr>
            </w:pPr>
            <w:r w:rsidRPr="00BF17DA">
              <w:rPr>
                <w:rFonts w:ascii="Century Gothic" w:hAnsi="Century Gothic" w:cs="Arial"/>
                <w:bCs/>
                <w:sz w:val="20"/>
                <w:szCs w:val="20"/>
                <w:lang w:val="es-MX" w:eastAsia="es-MX"/>
              </w:rPr>
              <w:t>A continuación se relaciona los temas relacionados en la norma como son celebraciones, conmemoraciones, agasajos públicos, gastos suntuarios y tarjetas de crédito. Las extensiones telefónicas tienen código o clave y los permisos a llamadas a celulares o exterior. En temas relacionados a papelería, erogaciones para afiliación clubes sociales, pagos por acciones, inscripciones, cuotas de sostenimiento o gastos para recepciones, invitaciones.</w:t>
            </w:r>
          </w:p>
          <w:p w:rsidR="00F8093F" w:rsidRPr="00890529" w:rsidRDefault="00F8093F" w:rsidP="00F8093F">
            <w:pPr>
              <w:jc w:val="both"/>
              <w:rPr>
                <w:rFonts w:ascii="Century Gothic" w:hAnsi="Century Gothic"/>
                <w:sz w:val="20"/>
                <w:szCs w:val="20"/>
                <w:lang w:val="es-MX"/>
              </w:rPr>
            </w:pPr>
          </w:p>
          <w:p w:rsidR="00F8093F" w:rsidRPr="00F577A0" w:rsidRDefault="00F8093F" w:rsidP="00F8093F">
            <w:pPr>
              <w:pStyle w:val="Prrafodelista"/>
              <w:ind w:left="0"/>
              <w:jc w:val="both"/>
              <w:rPr>
                <w:rFonts w:ascii="Century Gothic" w:hAnsi="Century Gothic"/>
                <w:sz w:val="20"/>
                <w:szCs w:val="20"/>
              </w:rPr>
            </w:pPr>
            <w:r w:rsidRPr="00241E5B">
              <w:rPr>
                <w:noProof/>
                <w:lang w:val="es-CO" w:eastAsia="es-CO"/>
              </w:rPr>
              <w:lastRenderedPageBreak/>
              <w:drawing>
                <wp:inline distT="0" distB="0" distL="0" distR="0" wp14:anchorId="22B0E76F" wp14:editId="77AB61D7">
                  <wp:extent cx="6083300" cy="1924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300" cy="1924050"/>
                          </a:xfrm>
                          <a:prstGeom prst="rect">
                            <a:avLst/>
                          </a:prstGeom>
                          <a:noFill/>
                          <a:ln>
                            <a:noFill/>
                          </a:ln>
                        </pic:spPr>
                      </pic:pic>
                    </a:graphicData>
                  </a:graphic>
                </wp:inline>
              </w:drawing>
            </w:r>
          </w:p>
          <w:p w:rsidR="00F8093F" w:rsidRPr="00F577A0" w:rsidRDefault="00F8093F" w:rsidP="00F8093F">
            <w:pPr>
              <w:pStyle w:val="Prrafodelista"/>
              <w:ind w:left="0"/>
              <w:jc w:val="both"/>
              <w:rPr>
                <w:rFonts w:ascii="Century Gothic" w:hAnsi="Century Gothic"/>
                <w:sz w:val="20"/>
                <w:szCs w:val="20"/>
              </w:rPr>
            </w:pPr>
          </w:p>
          <w:p w:rsidR="00F8093F" w:rsidRDefault="00F8093F" w:rsidP="00F8093F">
            <w:pPr>
              <w:pStyle w:val="Ttulo1"/>
              <w:keepLines/>
              <w:numPr>
                <w:ilvl w:val="0"/>
                <w:numId w:val="25"/>
              </w:numPr>
              <w:spacing w:before="480"/>
              <w:jc w:val="left"/>
              <w:rPr>
                <w:rFonts w:ascii="Century Gothic" w:hAnsi="Century Gothic"/>
                <w:sz w:val="20"/>
                <w:szCs w:val="20"/>
              </w:rPr>
            </w:pPr>
            <w:r w:rsidRPr="00BF17DA">
              <w:rPr>
                <w:rFonts w:ascii="Century Gothic" w:hAnsi="Century Gothic"/>
                <w:sz w:val="20"/>
                <w:szCs w:val="20"/>
              </w:rPr>
              <w:t>CONCILIACIONES JUDICIALES Y OTRAS SOLUCIONES ALTERNATIVAS DE CONFLICTO</w:t>
            </w:r>
          </w:p>
          <w:p w:rsidR="00F8093F" w:rsidRDefault="00F8093F" w:rsidP="00F8093F">
            <w:pPr>
              <w:rPr>
                <w:lang w:val="es-ES" w:eastAsia="es-ES"/>
              </w:rPr>
            </w:pPr>
          </w:p>
          <w:p w:rsidR="00F8093F" w:rsidRPr="00C80851" w:rsidRDefault="00F8093F" w:rsidP="00F8093F">
            <w:pPr>
              <w:jc w:val="both"/>
              <w:rPr>
                <w:rFonts w:ascii="Century Gothic" w:hAnsi="Century Gothic" w:cs="Arial"/>
                <w:sz w:val="20"/>
                <w:szCs w:val="20"/>
                <w:lang w:val="es-CO" w:eastAsia="es-CO"/>
              </w:rPr>
            </w:pPr>
            <w:r w:rsidRPr="00BF17DA">
              <w:rPr>
                <w:rFonts w:ascii="Century Gothic" w:hAnsi="Century Gothic" w:cs="Arial"/>
                <w:sz w:val="20"/>
                <w:szCs w:val="20"/>
                <w:lang w:val="es-CO" w:eastAsia="es-CO"/>
              </w:rPr>
              <w:t>Dando cumplimiento al Art. 6 Decreto 26 de 1998 en temas relacionados en conciliaciones judiciales y otras soluciones alternativas de conflicto, se presenta a continuación la tabla donde se relaciona los pagos por cada concepto y una breve explicación de la dependencia.</w:t>
            </w:r>
            <w:r w:rsidR="00531EC4">
              <w:rPr>
                <w:rFonts w:ascii="Century Gothic" w:hAnsi="Century Gothic" w:cs="Arial"/>
                <w:sz w:val="20"/>
                <w:szCs w:val="20"/>
                <w:lang w:val="es-CO" w:eastAsia="es-CO"/>
              </w:rPr>
              <w:t xml:space="preserve">   </w:t>
            </w:r>
          </w:p>
          <w:p w:rsidR="00F8093F" w:rsidRDefault="00F8093F" w:rsidP="00F8093F">
            <w:pPr>
              <w:rPr>
                <w:lang w:val="es-CO" w:eastAsia="es-ES"/>
              </w:rPr>
            </w:pPr>
          </w:p>
          <w:tbl>
            <w:tblPr>
              <w:tblStyle w:val="Tablaconcuadrcula"/>
              <w:tblW w:w="0" w:type="auto"/>
              <w:tblLayout w:type="fixed"/>
              <w:tblLook w:val="04A0" w:firstRow="1" w:lastRow="0" w:firstColumn="1" w:lastColumn="0" w:noHBand="0" w:noVBand="1"/>
            </w:tblPr>
            <w:tblGrid>
              <w:gridCol w:w="1580"/>
              <w:gridCol w:w="1800"/>
              <w:gridCol w:w="1327"/>
              <w:gridCol w:w="1128"/>
              <w:gridCol w:w="1276"/>
              <w:gridCol w:w="992"/>
              <w:gridCol w:w="1417"/>
            </w:tblGrid>
            <w:tr w:rsidR="00F47740" w:rsidRPr="00F47740" w:rsidTr="00F47740">
              <w:trPr>
                <w:trHeight w:val="315"/>
              </w:trPr>
              <w:tc>
                <w:tcPr>
                  <w:tcW w:w="9520" w:type="dxa"/>
                  <w:gridSpan w:val="7"/>
                  <w:noWrap/>
                  <w:vAlign w:val="center"/>
                  <w:hideMark/>
                </w:tcPr>
                <w:p w:rsidR="00F47740" w:rsidRPr="00F47740" w:rsidRDefault="00F47740" w:rsidP="00F47740">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Datos del 1er trimestre año 2015</w:t>
                  </w:r>
                </w:p>
              </w:tc>
            </w:tr>
            <w:tr w:rsidR="00F47740" w:rsidRPr="00F47740" w:rsidTr="00F47740">
              <w:trPr>
                <w:trHeight w:val="735"/>
              </w:trPr>
              <w:tc>
                <w:tcPr>
                  <w:tcW w:w="1580"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Tipo de Acción o medios de control (Demandas)</w:t>
                  </w:r>
                </w:p>
              </w:tc>
              <w:tc>
                <w:tcPr>
                  <w:tcW w:w="1800"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Tipo de Conciliación (Formas de solución de conflicto)</w:t>
                  </w:r>
                </w:p>
              </w:tc>
              <w:tc>
                <w:tcPr>
                  <w:tcW w:w="1327"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Convocante</w:t>
                  </w:r>
                </w:p>
              </w:tc>
              <w:tc>
                <w:tcPr>
                  <w:tcW w:w="1128"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Fecha Acordado</w:t>
                  </w:r>
                </w:p>
              </w:tc>
              <w:tc>
                <w:tcPr>
                  <w:tcW w:w="1276"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Valor Acordado</w:t>
                  </w:r>
                </w:p>
              </w:tc>
              <w:tc>
                <w:tcPr>
                  <w:tcW w:w="992"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Fecha de pago</w:t>
                  </w:r>
                </w:p>
              </w:tc>
              <w:tc>
                <w:tcPr>
                  <w:tcW w:w="1417"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Valor Pagado</w:t>
                  </w:r>
                </w:p>
              </w:tc>
            </w:tr>
            <w:tr w:rsidR="00F47740" w:rsidRPr="00F47740" w:rsidTr="00F47740">
              <w:trPr>
                <w:trHeight w:val="300"/>
              </w:trPr>
              <w:tc>
                <w:tcPr>
                  <w:tcW w:w="1580"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800"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327"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128"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276"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992"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417"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r>
            <w:tr w:rsidR="00F47740" w:rsidRPr="00F47740" w:rsidTr="00F47740">
              <w:trPr>
                <w:trHeight w:val="300"/>
              </w:trPr>
              <w:tc>
                <w:tcPr>
                  <w:tcW w:w="1580" w:type="dxa"/>
                  <w:vAlign w:val="center"/>
                  <w:hideMark/>
                </w:tcPr>
                <w:p w:rsidR="00F47740" w:rsidRPr="00F47740" w:rsidRDefault="00F47740" w:rsidP="00F47740">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800"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327"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128"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276"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992"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417"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r>
            <w:tr w:rsidR="00F47740" w:rsidRPr="00F47740" w:rsidTr="00F47740">
              <w:trPr>
                <w:trHeight w:val="330"/>
              </w:trPr>
              <w:tc>
                <w:tcPr>
                  <w:tcW w:w="1580" w:type="dxa"/>
                  <w:noWrap/>
                  <w:vAlign w:val="center"/>
                  <w:hideMark/>
                </w:tcPr>
                <w:p w:rsidR="00F47740" w:rsidRPr="00F47740" w:rsidRDefault="00F47740" w:rsidP="00F47740">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TOTALES $</w:t>
                  </w:r>
                </w:p>
              </w:tc>
              <w:tc>
                <w:tcPr>
                  <w:tcW w:w="1800"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327"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128"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276"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992"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417"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r>
            <w:tr w:rsidR="00F47740" w:rsidRPr="00F47740" w:rsidTr="00F47740">
              <w:trPr>
                <w:trHeight w:val="300"/>
              </w:trPr>
              <w:tc>
                <w:tcPr>
                  <w:tcW w:w="9520" w:type="dxa"/>
                  <w:gridSpan w:val="7"/>
                  <w:vMerge w:val="restart"/>
                  <w:vAlign w:val="center"/>
                  <w:hideMark/>
                </w:tcPr>
                <w:p w:rsidR="00F47740" w:rsidRPr="00F47740" w:rsidRDefault="00F47740" w:rsidP="00F47740">
                  <w:pPr>
                    <w:spacing w:after="0"/>
                    <w:rPr>
                      <w:rFonts w:ascii="Century Gothic" w:eastAsia="Times New Roman" w:hAnsi="Century Gothic"/>
                      <w:b/>
                      <w:bCs/>
                      <w:sz w:val="14"/>
                      <w:szCs w:val="14"/>
                      <w:lang w:val="es-CO" w:eastAsia="es-CO"/>
                    </w:rPr>
                  </w:pPr>
                  <w:r w:rsidRPr="00F47740">
                    <w:rPr>
                      <w:rFonts w:ascii="Century Gothic" w:eastAsia="Times New Roman" w:hAnsi="Century Gothic"/>
                      <w:b/>
                      <w:bCs/>
                      <w:sz w:val="16"/>
                      <w:szCs w:val="16"/>
                      <w:lang w:val="es-CO" w:eastAsia="es-CO"/>
                    </w:rPr>
                    <w:t>Información enviada por el proceso</w:t>
                  </w:r>
                  <w:r w:rsidRPr="00F47740">
                    <w:rPr>
                      <w:rFonts w:ascii="Century Gothic" w:eastAsia="Times New Roman" w:hAnsi="Century Gothic"/>
                      <w:b/>
                      <w:bCs/>
                      <w:sz w:val="14"/>
                      <w:szCs w:val="14"/>
                      <w:lang w:val="es-CO" w:eastAsia="es-CO"/>
                    </w:rPr>
                    <w:br/>
                  </w:r>
                  <w:r w:rsidRPr="00F47740">
                    <w:rPr>
                      <w:rFonts w:ascii="Century Gothic" w:eastAsia="Times New Roman" w:hAnsi="Century Gothic"/>
                      <w:sz w:val="16"/>
                      <w:szCs w:val="16"/>
                      <w:lang w:val="es-CO" w:eastAsia="es-CO"/>
                    </w:rPr>
                    <w:t>En el trimestre del año 2015 no se realizaron acuerdos conciliatorios</w:t>
                  </w:r>
                </w:p>
              </w:tc>
            </w:tr>
            <w:tr w:rsidR="00F47740" w:rsidRPr="00F47740" w:rsidTr="00F47740">
              <w:trPr>
                <w:trHeight w:val="315"/>
              </w:trPr>
              <w:tc>
                <w:tcPr>
                  <w:tcW w:w="9520" w:type="dxa"/>
                  <w:gridSpan w:val="7"/>
                  <w:vMerge/>
                  <w:vAlign w:val="center"/>
                  <w:hideMark/>
                </w:tcPr>
                <w:p w:rsidR="00F47740" w:rsidRPr="00F47740" w:rsidRDefault="00F47740" w:rsidP="00F47740">
                  <w:pPr>
                    <w:spacing w:after="0"/>
                    <w:rPr>
                      <w:rFonts w:ascii="Century Gothic" w:eastAsia="Times New Roman" w:hAnsi="Century Gothic"/>
                      <w:b/>
                      <w:bCs/>
                      <w:sz w:val="14"/>
                      <w:szCs w:val="14"/>
                      <w:lang w:val="es-CO" w:eastAsia="es-CO"/>
                    </w:rPr>
                  </w:pPr>
                </w:p>
              </w:tc>
            </w:tr>
          </w:tbl>
          <w:p w:rsidR="00F8093F" w:rsidRDefault="00F8093F" w:rsidP="00F8093F">
            <w:pPr>
              <w:rPr>
                <w:lang w:val="es-CO" w:eastAsia="es-ES"/>
              </w:rPr>
            </w:pPr>
          </w:p>
          <w:tbl>
            <w:tblPr>
              <w:tblStyle w:val="Tablaconcuadrcula"/>
              <w:tblW w:w="0" w:type="auto"/>
              <w:tblLayout w:type="fixed"/>
              <w:tblLook w:val="04A0" w:firstRow="1" w:lastRow="0" w:firstColumn="1" w:lastColumn="0" w:noHBand="0" w:noVBand="1"/>
            </w:tblPr>
            <w:tblGrid>
              <w:gridCol w:w="1580"/>
              <w:gridCol w:w="1800"/>
              <w:gridCol w:w="1327"/>
              <w:gridCol w:w="1128"/>
              <w:gridCol w:w="1276"/>
              <w:gridCol w:w="992"/>
              <w:gridCol w:w="1417"/>
            </w:tblGrid>
            <w:tr w:rsidR="00F47740" w:rsidRPr="00F47740" w:rsidTr="00F47740">
              <w:trPr>
                <w:trHeight w:val="315"/>
              </w:trPr>
              <w:tc>
                <w:tcPr>
                  <w:tcW w:w="9520" w:type="dxa"/>
                  <w:gridSpan w:val="7"/>
                  <w:noWrap/>
                  <w:vAlign w:val="center"/>
                  <w:hideMark/>
                </w:tcPr>
                <w:p w:rsidR="00F47740" w:rsidRPr="00F47740" w:rsidRDefault="00F47740" w:rsidP="00F47740">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Datos del 1er trimestre año 2016</w:t>
                  </w:r>
                </w:p>
              </w:tc>
            </w:tr>
            <w:tr w:rsidR="00F47740" w:rsidRPr="00F47740" w:rsidTr="00F47740">
              <w:trPr>
                <w:trHeight w:val="765"/>
              </w:trPr>
              <w:tc>
                <w:tcPr>
                  <w:tcW w:w="1580"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Tipo de Acción o medios de control (Demandas)</w:t>
                  </w:r>
                </w:p>
              </w:tc>
              <w:tc>
                <w:tcPr>
                  <w:tcW w:w="1800"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Tipo de Conciliación (Formas de solución de conflicto)</w:t>
                  </w:r>
                </w:p>
              </w:tc>
              <w:tc>
                <w:tcPr>
                  <w:tcW w:w="1327"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Convocante</w:t>
                  </w:r>
                </w:p>
              </w:tc>
              <w:tc>
                <w:tcPr>
                  <w:tcW w:w="1128"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Fecha Acordado</w:t>
                  </w:r>
                </w:p>
              </w:tc>
              <w:tc>
                <w:tcPr>
                  <w:tcW w:w="1276"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Valor Acordado</w:t>
                  </w:r>
                </w:p>
              </w:tc>
              <w:tc>
                <w:tcPr>
                  <w:tcW w:w="992"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Fecha de pago</w:t>
                  </w:r>
                </w:p>
              </w:tc>
              <w:tc>
                <w:tcPr>
                  <w:tcW w:w="1417"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Valor Pagado</w:t>
                  </w:r>
                </w:p>
              </w:tc>
            </w:tr>
            <w:tr w:rsidR="00F47740" w:rsidRPr="00F47740" w:rsidTr="00F47740">
              <w:trPr>
                <w:trHeight w:val="300"/>
              </w:trPr>
              <w:tc>
                <w:tcPr>
                  <w:tcW w:w="1580"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800"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327"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128"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276"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992"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417" w:type="dxa"/>
                  <w:vAlign w:val="center"/>
                  <w:hideMark/>
                </w:tcPr>
                <w:p w:rsidR="00F47740" w:rsidRPr="00F47740" w:rsidRDefault="00F47740" w:rsidP="00F47740">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r>
            <w:tr w:rsidR="00F47740" w:rsidRPr="00F47740" w:rsidTr="00F47740">
              <w:trPr>
                <w:trHeight w:val="315"/>
              </w:trPr>
              <w:tc>
                <w:tcPr>
                  <w:tcW w:w="1580" w:type="dxa"/>
                  <w:vAlign w:val="center"/>
                  <w:hideMark/>
                </w:tcPr>
                <w:p w:rsidR="00F47740" w:rsidRPr="00F47740" w:rsidRDefault="00F47740" w:rsidP="00F47740">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800"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327"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128"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276"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992"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417" w:type="dxa"/>
                  <w:noWrap/>
                  <w:vAlign w:val="center"/>
                  <w:hideMark/>
                </w:tcPr>
                <w:p w:rsidR="00F47740" w:rsidRPr="00F47740" w:rsidRDefault="00F47740" w:rsidP="00F47740">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r>
            <w:tr w:rsidR="00F47740" w:rsidRPr="00F47740" w:rsidTr="00F47740">
              <w:trPr>
                <w:trHeight w:val="330"/>
              </w:trPr>
              <w:tc>
                <w:tcPr>
                  <w:tcW w:w="1580" w:type="dxa"/>
                  <w:noWrap/>
                  <w:vAlign w:val="center"/>
                  <w:hideMark/>
                </w:tcPr>
                <w:p w:rsidR="00F47740" w:rsidRPr="00F47740" w:rsidRDefault="00F47740" w:rsidP="00F47740">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TOTALES $</w:t>
                  </w:r>
                </w:p>
              </w:tc>
              <w:tc>
                <w:tcPr>
                  <w:tcW w:w="1800"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327"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128"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276"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992"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417" w:type="dxa"/>
                  <w:noWrap/>
                  <w:vAlign w:val="center"/>
                  <w:hideMark/>
                </w:tcPr>
                <w:p w:rsidR="00F47740" w:rsidRPr="00F47740" w:rsidRDefault="00F47740" w:rsidP="00F47740">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r>
            <w:tr w:rsidR="00F47740" w:rsidRPr="00F47740" w:rsidTr="00F47740">
              <w:trPr>
                <w:trHeight w:val="300"/>
              </w:trPr>
              <w:tc>
                <w:tcPr>
                  <w:tcW w:w="9520" w:type="dxa"/>
                  <w:gridSpan w:val="7"/>
                  <w:vMerge w:val="restart"/>
                  <w:vAlign w:val="center"/>
                  <w:hideMark/>
                </w:tcPr>
                <w:p w:rsidR="00F47740" w:rsidRPr="00F47740" w:rsidRDefault="00F47740" w:rsidP="00F47740">
                  <w:pPr>
                    <w:spacing w:after="0"/>
                    <w:rPr>
                      <w:rFonts w:ascii="Century Gothic" w:eastAsia="Times New Roman" w:hAnsi="Century Gothic"/>
                      <w:b/>
                      <w:bCs/>
                      <w:sz w:val="14"/>
                      <w:szCs w:val="14"/>
                      <w:lang w:val="es-CO" w:eastAsia="es-CO"/>
                    </w:rPr>
                  </w:pPr>
                  <w:r w:rsidRPr="00F47740">
                    <w:rPr>
                      <w:rFonts w:ascii="Century Gothic" w:eastAsia="Times New Roman" w:hAnsi="Century Gothic"/>
                      <w:b/>
                      <w:bCs/>
                      <w:sz w:val="16"/>
                      <w:szCs w:val="16"/>
                      <w:lang w:val="es-CO" w:eastAsia="es-CO"/>
                    </w:rPr>
                    <w:t>Información enviada por el proceso</w:t>
                  </w:r>
                  <w:r w:rsidRPr="00F47740">
                    <w:rPr>
                      <w:rFonts w:ascii="Century Gothic" w:eastAsia="Times New Roman" w:hAnsi="Century Gothic"/>
                      <w:b/>
                      <w:bCs/>
                      <w:sz w:val="14"/>
                      <w:szCs w:val="14"/>
                      <w:lang w:val="es-CO" w:eastAsia="es-CO"/>
                    </w:rPr>
                    <w:br/>
                  </w:r>
                  <w:r w:rsidRPr="00F47740">
                    <w:rPr>
                      <w:rFonts w:ascii="Century Gothic" w:eastAsia="Times New Roman" w:hAnsi="Century Gothic"/>
                      <w:sz w:val="16"/>
                      <w:szCs w:val="16"/>
                      <w:lang w:val="es-CO" w:eastAsia="es-CO"/>
                    </w:rPr>
                    <w:t>En el trimestre del año 2015 no se realizaron acuerdos conciliatorios</w:t>
                  </w:r>
                </w:p>
              </w:tc>
            </w:tr>
            <w:tr w:rsidR="00F47740" w:rsidRPr="00F47740" w:rsidTr="00F47740">
              <w:trPr>
                <w:trHeight w:val="315"/>
              </w:trPr>
              <w:tc>
                <w:tcPr>
                  <w:tcW w:w="9520" w:type="dxa"/>
                  <w:gridSpan w:val="7"/>
                  <w:vMerge/>
                  <w:vAlign w:val="center"/>
                  <w:hideMark/>
                </w:tcPr>
                <w:p w:rsidR="00F47740" w:rsidRPr="00F47740" w:rsidRDefault="00F47740" w:rsidP="00F47740">
                  <w:pPr>
                    <w:spacing w:after="0"/>
                    <w:rPr>
                      <w:rFonts w:ascii="Century Gothic" w:eastAsia="Times New Roman" w:hAnsi="Century Gothic"/>
                      <w:b/>
                      <w:bCs/>
                      <w:sz w:val="14"/>
                      <w:szCs w:val="14"/>
                      <w:lang w:val="es-CO" w:eastAsia="es-CO"/>
                    </w:rPr>
                  </w:pPr>
                </w:p>
              </w:tc>
            </w:tr>
          </w:tbl>
          <w:p w:rsidR="00F8093F" w:rsidRDefault="00F8093F" w:rsidP="00F8093F">
            <w:pPr>
              <w:rPr>
                <w:lang w:val="es-CO" w:eastAsia="es-ES"/>
              </w:rPr>
            </w:pPr>
          </w:p>
          <w:p w:rsidR="00DD2063" w:rsidRDefault="00AE5A2F" w:rsidP="00F47740">
            <w:pPr>
              <w:rPr>
                <w:rFonts w:ascii="Century Gothic" w:hAnsi="Century Gothic" w:cs="Arial"/>
                <w:sz w:val="20"/>
                <w:szCs w:val="20"/>
                <w:lang w:val="es-CO" w:eastAsia="es-CO"/>
              </w:rPr>
            </w:pPr>
            <w:r>
              <w:rPr>
                <w:rFonts w:ascii="Century Gothic" w:hAnsi="Century Gothic" w:cs="Arial"/>
                <w:sz w:val="20"/>
                <w:szCs w:val="20"/>
                <w:lang w:val="es-CO" w:eastAsia="es-CO"/>
              </w:rPr>
              <w:lastRenderedPageBreak/>
              <w:t>En e</w:t>
            </w:r>
            <w:r w:rsidR="00F8093F" w:rsidRPr="00D42308">
              <w:rPr>
                <w:rFonts w:ascii="Century Gothic" w:hAnsi="Century Gothic" w:cs="Arial"/>
                <w:sz w:val="20"/>
                <w:szCs w:val="20"/>
                <w:lang w:val="es-CO" w:eastAsia="es-CO"/>
              </w:rPr>
              <w:t>l Trimestre en mención no se relaciona pagos por este concepto</w:t>
            </w:r>
            <w:r w:rsidR="00F8093F">
              <w:rPr>
                <w:rFonts w:ascii="Century Gothic" w:hAnsi="Century Gothic" w:cs="Arial"/>
                <w:sz w:val="20"/>
                <w:szCs w:val="20"/>
                <w:lang w:val="es-CO" w:eastAsia="es-CO"/>
              </w:rPr>
              <w:t>.</w:t>
            </w:r>
          </w:p>
          <w:p w:rsidR="000F0DF4" w:rsidRDefault="000F0DF4" w:rsidP="000F0DF4">
            <w:pPr>
              <w:pStyle w:val="Prrafodelista"/>
              <w:numPr>
                <w:ilvl w:val="0"/>
                <w:numId w:val="25"/>
              </w:numPr>
              <w:rPr>
                <w:rFonts w:ascii="Century Gothic" w:hAnsi="Century Gothic" w:cs="Arial"/>
                <w:b/>
                <w:sz w:val="20"/>
                <w:szCs w:val="20"/>
                <w:lang w:val="es-CO" w:eastAsia="es-CO"/>
              </w:rPr>
            </w:pPr>
            <w:r w:rsidRPr="000F0DF4">
              <w:rPr>
                <w:rFonts w:ascii="Century Gothic" w:hAnsi="Century Gothic" w:cs="Arial"/>
                <w:b/>
                <w:sz w:val="20"/>
                <w:szCs w:val="20"/>
                <w:lang w:val="es-CO" w:eastAsia="es-CO"/>
              </w:rPr>
              <w:t>SEGUIMIENTO AL PLAN DE AUSTERIDAD 2016.</w:t>
            </w:r>
          </w:p>
          <w:p w:rsidR="000F0DF4" w:rsidRDefault="00485E98" w:rsidP="00A10129">
            <w:pPr>
              <w:jc w:val="both"/>
              <w:rPr>
                <w:rFonts w:ascii="Century Gothic" w:hAnsi="Century Gothic" w:cs="Arial"/>
                <w:sz w:val="20"/>
                <w:szCs w:val="20"/>
                <w:lang w:val="es-CO" w:eastAsia="es-CO"/>
              </w:rPr>
            </w:pPr>
            <w:r>
              <w:rPr>
                <w:rFonts w:ascii="Century Gothic" w:hAnsi="Century Gothic" w:cs="Arial"/>
                <w:sz w:val="20"/>
                <w:szCs w:val="20"/>
                <w:lang w:val="es-CO" w:eastAsia="es-CO"/>
              </w:rPr>
              <w:t xml:space="preserve">La OCI para realizar el seguimiento solicita por vía telefónica </w:t>
            </w:r>
            <w:r w:rsidR="00747838">
              <w:rPr>
                <w:rFonts w:ascii="Century Gothic" w:hAnsi="Century Gothic" w:cs="Arial"/>
                <w:sz w:val="20"/>
                <w:szCs w:val="20"/>
                <w:lang w:val="es-CO" w:eastAsia="es-CO"/>
              </w:rPr>
              <w:t xml:space="preserve">el 11 de mayo de 2016 </w:t>
            </w:r>
            <w:r>
              <w:rPr>
                <w:rFonts w:ascii="Century Gothic" w:hAnsi="Century Gothic" w:cs="Arial"/>
                <w:sz w:val="20"/>
                <w:szCs w:val="20"/>
                <w:lang w:val="es-CO" w:eastAsia="es-CO"/>
              </w:rPr>
              <w:t>a Carmen Arenas de l</w:t>
            </w:r>
            <w:r w:rsidRPr="00485E98">
              <w:rPr>
                <w:rFonts w:ascii="Century Gothic" w:hAnsi="Century Gothic" w:cs="Arial"/>
                <w:sz w:val="20"/>
                <w:szCs w:val="20"/>
                <w:lang w:val="es-CO" w:eastAsia="es-CO"/>
              </w:rPr>
              <w:t>a Hoz</w:t>
            </w:r>
            <w:r>
              <w:rPr>
                <w:rFonts w:ascii="Century Gothic" w:hAnsi="Century Gothic" w:cs="Arial"/>
                <w:sz w:val="20"/>
                <w:szCs w:val="20"/>
                <w:lang w:val="es-CO" w:eastAsia="es-CO"/>
              </w:rPr>
              <w:t xml:space="preserve"> de Secretaría General, los rubros relacionados del Plan de Austeridad 2016 de la UARIV.  </w:t>
            </w:r>
            <w:r w:rsidR="008D5E24">
              <w:rPr>
                <w:rFonts w:ascii="Century Gothic" w:hAnsi="Century Gothic" w:cs="Arial"/>
                <w:sz w:val="20"/>
                <w:szCs w:val="20"/>
                <w:lang w:val="es-CO" w:eastAsia="es-CO"/>
              </w:rPr>
              <w:t>Luego l</w:t>
            </w:r>
            <w:r w:rsidRPr="00A923B4">
              <w:rPr>
                <w:rFonts w:ascii="Century Gothic" w:hAnsi="Century Gothic" w:cs="Arial"/>
                <w:sz w:val="20"/>
                <w:szCs w:val="20"/>
                <w:lang w:val="es-CO" w:eastAsia="es-CO"/>
              </w:rPr>
              <w:t xml:space="preserve">a </w:t>
            </w:r>
            <w:r w:rsidR="000F0DF4" w:rsidRPr="00A923B4">
              <w:rPr>
                <w:rFonts w:ascii="Century Gothic" w:hAnsi="Century Gothic" w:cs="Arial"/>
                <w:sz w:val="20"/>
                <w:szCs w:val="20"/>
                <w:lang w:val="es-CO" w:eastAsia="es-CO"/>
              </w:rPr>
              <w:t xml:space="preserve">OCI se reúne con Secretaría General el 13 de </w:t>
            </w:r>
            <w:r w:rsidR="00A923B4" w:rsidRPr="00A923B4">
              <w:rPr>
                <w:rFonts w:ascii="Century Gothic" w:hAnsi="Century Gothic" w:cs="Arial"/>
                <w:sz w:val="20"/>
                <w:szCs w:val="20"/>
                <w:lang w:val="es-CO" w:eastAsia="es-CO"/>
              </w:rPr>
              <w:t>mayo</w:t>
            </w:r>
            <w:r w:rsidR="000F0DF4" w:rsidRPr="00A923B4">
              <w:rPr>
                <w:rFonts w:ascii="Century Gothic" w:hAnsi="Century Gothic" w:cs="Arial"/>
                <w:sz w:val="20"/>
                <w:szCs w:val="20"/>
                <w:lang w:val="es-CO" w:eastAsia="es-CO"/>
              </w:rPr>
              <w:t xml:space="preserve"> para revisar la metodología del seguimiento al </w:t>
            </w:r>
            <w:r w:rsidR="00A923B4" w:rsidRPr="00A923B4">
              <w:rPr>
                <w:rFonts w:ascii="Century Gothic" w:hAnsi="Century Gothic" w:cs="Arial"/>
                <w:sz w:val="20"/>
                <w:szCs w:val="20"/>
                <w:lang w:val="es-CO" w:eastAsia="es-CO"/>
              </w:rPr>
              <w:t>P</w:t>
            </w:r>
            <w:r w:rsidR="000F0DF4" w:rsidRPr="00A923B4">
              <w:rPr>
                <w:rFonts w:ascii="Century Gothic" w:hAnsi="Century Gothic" w:cs="Arial"/>
                <w:sz w:val="20"/>
                <w:szCs w:val="20"/>
                <w:lang w:val="es-CO" w:eastAsia="es-CO"/>
              </w:rPr>
              <w:t xml:space="preserve">lan de Austeridad 2016, producto de esta reunión </w:t>
            </w:r>
            <w:r w:rsidR="008D5E24">
              <w:rPr>
                <w:rFonts w:ascii="Century Gothic" w:hAnsi="Century Gothic" w:cs="Arial"/>
                <w:sz w:val="20"/>
                <w:szCs w:val="20"/>
                <w:lang w:val="es-CO" w:eastAsia="es-CO"/>
              </w:rPr>
              <w:t xml:space="preserve">soportado por el </w:t>
            </w:r>
            <w:r w:rsidR="008D5E24">
              <w:rPr>
                <w:rFonts w:ascii="Century Gothic" w:hAnsi="Century Gothic" w:cs="Arial"/>
                <w:sz w:val="20"/>
                <w:szCs w:val="20"/>
                <w:lang w:val="es-CO" w:eastAsia="es-CO"/>
              </w:rPr>
              <w:t xml:space="preserve">Acta de </w:t>
            </w:r>
            <w:r w:rsidR="008D5E24">
              <w:rPr>
                <w:rFonts w:ascii="Century Gothic" w:hAnsi="Century Gothic" w:cs="Arial"/>
                <w:sz w:val="20"/>
                <w:szCs w:val="20"/>
                <w:lang w:val="es-CO" w:eastAsia="es-CO"/>
              </w:rPr>
              <w:t>R</w:t>
            </w:r>
            <w:r w:rsidR="008D5E24">
              <w:rPr>
                <w:rFonts w:ascii="Century Gothic" w:hAnsi="Century Gothic" w:cs="Arial"/>
                <w:sz w:val="20"/>
                <w:szCs w:val="20"/>
                <w:lang w:val="es-CO" w:eastAsia="es-CO"/>
              </w:rPr>
              <w:t>eunión 003 del 13 de mayo de 2016 de la Secretaría General</w:t>
            </w:r>
            <w:r w:rsidR="008D5E24">
              <w:rPr>
                <w:rFonts w:ascii="Century Gothic" w:hAnsi="Century Gothic" w:cs="Arial"/>
                <w:sz w:val="20"/>
                <w:szCs w:val="20"/>
                <w:lang w:val="es-CO" w:eastAsia="es-CO"/>
              </w:rPr>
              <w:t xml:space="preserve">, en el cual </w:t>
            </w:r>
            <w:r w:rsidR="00A923B4">
              <w:rPr>
                <w:rFonts w:ascii="Century Gothic" w:hAnsi="Century Gothic" w:cs="Arial"/>
                <w:sz w:val="20"/>
                <w:szCs w:val="20"/>
                <w:lang w:val="es-CO" w:eastAsia="es-CO"/>
              </w:rPr>
              <w:t>surgen inquietudes por parte de la OCI y se remite por medio electrónico a Secretaría General el 18 de mayo</w:t>
            </w:r>
            <w:r w:rsidR="00CA5788">
              <w:rPr>
                <w:rFonts w:ascii="Century Gothic" w:hAnsi="Century Gothic" w:cs="Arial"/>
                <w:sz w:val="20"/>
                <w:szCs w:val="20"/>
                <w:lang w:val="es-CO" w:eastAsia="es-CO"/>
              </w:rPr>
              <w:t>,</w:t>
            </w:r>
            <w:r w:rsidR="00A923B4">
              <w:rPr>
                <w:rFonts w:ascii="Century Gothic" w:hAnsi="Century Gothic" w:cs="Arial"/>
                <w:sz w:val="20"/>
                <w:szCs w:val="20"/>
                <w:lang w:val="es-CO" w:eastAsia="es-CO"/>
              </w:rPr>
              <w:t xml:space="preserve"> para que brinden respuesta.</w:t>
            </w:r>
          </w:p>
          <w:p w:rsidR="000F0DF4" w:rsidRDefault="00A923B4" w:rsidP="00CC12F5">
            <w:pPr>
              <w:jc w:val="both"/>
              <w:rPr>
                <w:rFonts w:ascii="Century Gothic" w:hAnsi="Century Gothic" w:cs="Arial"/>
                <w:sz w:val="20"/>
                <w:szCs w:val="20"/>
                <w:lang w:val="es-CO" w:eastAsia="es-CO"/>
              </w:rPr>
            </w:pPr>
            <w:r>
              <w:rPr>
                <w:rFonts w:ascii="Century Gothic" w:hAnsi="Century Gothic" w:cs="Arial"/>
                <w:sz w:val="20"/>
                <w:szCs w:val="20"/>
                <w:lang w:val="es-CO" w:eastAsia="es-CO"/>
              </w:rPr>
              <w:t>Para el seguimiento del Plan de Austeridad 2016 se aborda el punto de Viaticos y Gastos de Viaje debido a que se tomó como insumo el memorando emitido por el Secretario General con el radicado 20167700029783</w:t>
            </w:r>
            <w:r w:rsidR="00A10129">
              <w:rPr>
                <w:rFonts w:ascii="Century Gothic" w:hAnsi="Century Gothic" w:cs="Arial"/>
                <w:sz w:val="20"/>
                <w:szCs w:val="20"/>
                <w:lang w:val="es-CO" w:eastAsia="es-CO"/>
              </w:rPr>
              <w:t>, mostrando el máximo a ejecutar durante la presente vigencia</w:t>
            </w:r>
            <w:r w:rsidR="00AE5A2F">
              <w:rPr>
                <w:rFonts w:ascii="Century Gothic" w:hAnsi="Century Gothic" w:cs="Arial"/>
                <w:sz w:val="20"/>
                <w:szCs w:val="20"/>
                <w:lang w:val="es-CO" w:eastAsia="es-CO"/>
              </w:rPr>
              <w:t>,</w:t>
            </w:r>
            <w:r w:rsidR="00A10129">
              <w:rPr>
                <w:rFonts w:ascii="Century Gothic" w:hAnsi="Century Gothic" w:cs="Arial"/>
                <w:sz w:val="20"/>
                <w:szCs w:val="20"/>
                <w:lang w:val="es-CO" w:eastAsia="es-CO"/>
              </w:rPr>
              <w:t xml:space="preserve"> teniendo como base el total del presupuesto ejecutado del año anterior tanto para rubro de funcionamiento como en los rubros de inversión.</w:t>
            </w:r>
          </w:p>
          <w:p w:rsidR="00CC12F5" w:rsidRDefault="00CC12F5" w:rsidP="00CC12F5">
            <w:pPr>
              <w:jc w:val="both"/>
              <w:rPr>
                <w:rFonts w:ascii="Century Gothic" w:hAnsi="Century Gothic" w:cs="Arial"/>
                <w:sz w:val="20"/>
                <w:szCs w:val="20"/>
                <w:lang w:val="es-CO" w:eastAsia="es-CO"/>
              </w:rPr>
            </w:pPr>
          </w:p>
          <w:tbl>
            <w:tblPr>
              <w:tblStyle w:val="Tablaconcuadrcula"/>
              <w:tblW w:w="0" w:type="auto"/>
              <w:jc w:val="center"/>
              <w:tblLayout w:type="fixed"/>
              <w:tblLook w:val="04A0" w:firstRow="1" w:lastRow="0" w:firstColumn="1" w:lastColumn="0" w:noHBand="0" w:noVBand="1"/>
            </w:tblPr>
            <w:tblGrid>
              <w:gridCol w:w="2279"/>
              <w:gridCol w:w="1921"/>
              <w:gridCol w:w="1640"/>
              <w:gridCol w:w="1620"/>
              <w:gridCol w:w="1760"/>
            </w:tblGrid>
            <w:tr w:rsidR="00CF4401" w:rsidRPr="00CF4401" w:rsidTr="00CF4401">
              <w:trPr>
                <w:trHeight w:val="300"/>
                <w:jc w:val="center"/>
              </w:trPr>
              <w:tc>
                <w:tcPr>
                  <w:tcW w:w="9220" w:type="dxa"/>
                  <w:gridSpan w:val="5"/>
                  <w:shd w:val="clear" w:color="auto" w:fill="D9D9D9" w:themeFill="background1" w:themeFillShade="D9"/>
                  <w:noWrap/>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Presupuesto Viáticos, Gastos de desplazamiento y Tiquetes</w:t>
                  </w:r>
                </w:p>
              </w:tc>
            </w:tr>
            <w:tr w:rsidR="00CF4401" w:rsidRPr="00CF4401" w:rsidTr="00CF4401">
              <w:trPr>
                <w:trHeight w:val="900"/>
                <w:jc w:val="center"/>
              </w:trPr>
              <w:tc>
                <w:tcPr>
                  <w:tcW w:w="2279" w:type="dxa"/>
                  <w:shd w:val="clear" w:color="auto" w:fill="D9D9D9" w:themeFill="background1" w:themeFillShade="D9"/>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Variable</w:t>
                  </w:r>
                </w:p>
              </w:tc>
              <w:tc>
                <w:tcPr>
                  <w:tcW w:w="1921" w:type="dxa"/>
                  <w:shd w:val="clear" w:color="auto" w:fill="D9D9D9" w:themeFill="background1" w:themeFillShade="D9"/>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Valor Ejecutado de Tiquetes</w:t>
                  </w:r>
                </w:p>
              </w:tc>
              <w:tc>
                <w:tcPr>
                  <w:tcW w:w="1640" w:type="dxa"/>
                  <w:shd w:val="clear" w:color="auto" w:fill="D9D9D9" w:themeFill="background1" w:themeFillShade="D9"/>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Valor Ejecutado Viáticos Funcionamiento</w:t>
                  </w:r>
                </w:p>
              </w:tc>
              <w:tc>
                <w:tcPr>
                  <w:tcW w:w="1620" w:type="dxa"/>
                  <w:shd w:val="clear" w:color="auto" w:fill="D9D9D9" w:themeFill="background1" w:themeFillShade="D9"/>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Valor Ejecutado Gastos de Desplazamiento</w:t>
                  </w:r>
                </w:p>
              </w:tc>
              <w:tc>
                <w:tcPr>
                  <w:tcW w:w="1760" w:type="dxa"/>
                  <w:shd w:val="clear" w:color="auto" w:fill="D9D9D9" w:themeFill="background1" w:themeFillShade="D9"/>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Valor Ejecutado Caja Mejor</w:t>
                  </w:r>
                </w:p>
              </w:tc>
            </w:tr>
            <w:tr w:rsidR="00CF4401" w:rsidRPr="00CF4401" w:rsidTr="00CF4401">
              <w:trPr>
                <w:trHeight w:val="300"/>
                <w:jc w:val="center"/>
              </w:trPr>
              <w:tc>
                <w:tcPr>
                  <w:tcW w:w="2279" w:type="dxa"/>
                  <w:noWrap/>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2015</w:t>
                  </w:r>
                </w:p>
              </w:tc>
              <w:tc>
                <w:tcPr>
                  <w:tcW w:w="1921" w:type="dxa"/>
                  <w:noWrap/>
                  <w:vAlign w:val="center"/>
                  <w:hideMark/>
                </w:tcPr>
                <w:p w:rsidR="00CF4401" w:rsidRPr="00CF4401" w:rsidRDefault="00CF4401" w:rsidP="00CF4401">
                  <w:pPr>
                    <w:spacing w:after="0"/>
                    <w:jc w:val="right"/>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 xml:space="preserve"> $ 3.147.631.341 </w:t>
                  </w:r>
                </w:p>
              </w:tc>
              <w:tc>
                <w:tcPr>
                  <w:tcW w:w="1640" w:type="dxa"/>
                  <w:noWrap/>
                  <w:vAlign w:val="center"/>
                  <w:hideMark/>
                </w:tcPr>
                <w:p w:rsidR="00CF4401" w:rsidRPr="00CF4401" w:rsidRDefault="00CF4401" w:rsidP="00CF4401">
                  <w:pPr>
                    <w:spacing w:after="0"/>
                    <w:jc w:val="right"/>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 xml:space="preserve">$ 2.025.339.840 </w:t>
                  </w:r>
                </w:p>
              </w:tc>
              <w:tc>
                <w:tcPr>
                  <w:tcW w:w="1620" w:type="dxa"/>
                  <w:noWrap/>
                  <w:vAlign w:val="center"/>
                  <w:hideMark/>
                </w:tcPr>
                <w:p w:rsidR="00CF4401" w:rsidRPr="00CF4401" w:rsidRDefault="00CF4401" w:rsidP="00CF4401">
                  <w:pPr>
                    <w:spacing w:after="0"/>
                    <w:jc w:val="right"/>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 xml:space="preserve"> $ 1.823.941.100</w:t>
                  </w:r>
                </w:p>
              </w:tc>
              <w:tc>
                <w:tcPr>
                  <w:tcW w:w="1760" w:type="dxa"/>
                  <w:noWrap/>
                  <w:vAlign w:val="center"/>
                  <w:hideMark/>
                </w:tcPr>
                <w:p w:rsidR="00CF4401" w:rsidRPr="00CF4401" w:rsidRDefault="00CF4401" w:rsidP="00CF4401">
                  <w:pPr>
                    <w:spacing w:after="0"/>
                    <w:jc w:val="right"/>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 xml:space="preserve"> $ 381.527.815</w:t>
                  </w:r>
                </w:p>
              </w:tc>
            </w:tr>
            <w:tr w:rsidR="00CF4401" w:rsidRPr="00CF4401" w:rsidTr="00CF4401">
              <w:trPr>
                <w:trHeight w:val="300"/>
                <w:jc w:val="center"/>
              </w:trPr>
              <w:tc>
                <w:tcPr>
                  <w:tcW w:w="2279" w:type="dxa"/>
                  <w:shd w:val="clear" w:color="auto" w:fill="D9D9D9" w:themeFill="background1" w:themeFillShade="D9"/>
                  <w:noWrap/>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Total</w:t>
                  </w:r>
                </w:p>
              </w:tc>
              <w:tc>
                <w:tcPr>
                  <w:tcW w:w="6941" w:type="dxa"/>
                  <w:gridSpan w:val="4"/>
                  <w:shd w:val="clear" w:color="auto" w:fill="D9D9D9" w:themeFill="background1" w:themeFillShade="D9"/>
                  <w:vAlign w:val="center"/>
                  <w:hideMark/>
                </w:tcPr>
                <w:p w:rsidR="00CF4401" w:rsidRPr="00CF4401" w:rsidRDefault="00CF4401" w:rsidP="00CF4401">
                  <w:pPr>
                    <w:spacing w:after="0"/>
                    <w:jc w:val="center"/>
                    <w:rPr>
                      <w:rFonts w:ascii="Calibri" w:eastAsia="Times New Roman" w:hAnsi="Calibri"/>
                      <w:b/>
                      <w:bCs/>
                      <w:color w:val="000000"/>
                      <w:sz w:val="20"/>
                      <w:szCs w:val="22"/>
                      <w:lang w:val="es-CO" w:eastAsia="es-CO"/>
                    </w:rPr>
                  </w:pPr>
                  <w:r w:rsidRPr="00CF4401">
                    <w:rPr>
                      <w:rFonts w:ascii="Calibri" w:eastAsia="Times New Roman" w:hAnsi="Calibri"/>
                      <w:b/>
                      <w:bCs/>
                      <w:color w:val="000000"/>
                      <w:sz w:val="20"/>
                      <w:szCs w:val="22"/>
                      <w:lang w:val="es-CO" w:eastAsia="es-CO"/>
                    </w:rPr>
                    <w:t>$ 7.378.440.096</w:t>
                  </w:r>
                </w:p>
              </w:tc>
            </w:tr>
            <w:tr w:rsidR="00CF4401" w:rsidRPr="00CF4401" w:rsidTr="00CF4401">
              <w:trPr>
                <w:trHeight w:val="300"/>
                <w:jc w:val="center"/>
              </w:trPr>
              <w:tc>
                <w:tcPr>
                  <w:tcW w:w="2279" w:type="dxa"/>
                  <w:noWrap/>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Reducción 10%</w:t>
                  </w:r>
                </w:p>
              </w:tc>
              <w:tc>
                <w:tcPr>
                  <w:tcW w:w="1921" w:type="dxa"/>
                  <w:noWrap/>
                  <w:vAlign w:val="center"/>
                  <w:hideMark/>
                </w:tcPr>
                <w:p w:rsidR="00CF4401" w:rsidRPr="00CF4401" w:rsidRDefault="00CF4401" w:rsidP="00CF4401">
                  <w:pPr>
                    <w:spacing w:after="0"/>
                    <w:jc w:val="right"/>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 xml:space="preserve"> $ 2.832.868.207</w:t>
                  </w:r>
                </w:p>
              </w:tc>
              <w:tc>
                <w:tcPr>
                  <w:tcW w:w="1640" w:type="dxa"/>
                  <w:noWrap/>
                  <w:vAlign w:val="center"/>
                  <w:hideMark/>
                </w:tcPr>
                <w:p w:rsidR="00CF4401" w:rsidRPr="00CF4401" w:rsidRDefault="00CF4401" w:rsidP="00CF4401">
                  <w:pPr>
                    <w:spacing w:after="0"/>
                    <w:jc w:val="right"/>
                    <w:rPr>
                      <w:rFonts w:ascii="Calibri" w:eastAsia="Times New Roman" w:hAnsi="Calibri"/>
                      <w:color w:val="000000"/>
                      <w:sz w:val="20"/>
                      <w:szCs w:val="22"/>
                      <w:lang w:val="es-CO" w:eastAsia="es-CO"/>
                    </w:rPr>
                  </w:pPr>
                  <w:r>
                    <w:rPr>
                      <w:rFonts w:ascii="Calibri" w:eastAsia="Times New Roman" w:hAnsi="Calibri"/>
                      <w:color w:val="000000"/>
                      <w:sz w:val="20"/>
                      <w:szCs w:val="22"/>
                      <w:lang w:val="es-CO" w:eastAsia="es-CO"/>
                    </w:rPr>
                    <w:t xml:space="preserve"> $ </w:t>
                  </w:r>
                  <w:r w:rsidRPr="00CF4401">
                    <w:rPr>
                      <w:rFonts w:ascii="Calibri" w:eastAsia="Times New Roman" w:hAnsi="Calibri"/>
                      <w:color w:val="000000"/>
                      <w:sz w:val="20"/>
                      <w:szCs w:val="22"/>
                      <w:lang w:val="es-CO" w:eastAsia="es-CO"/>
                    </w:rPr>
                    <w:t xml:space="preserve">1.822.805.856 </w:t>
                  </w:r>
                </w:p>
              </w:tc>
              <w:tc>
                <w:tcPr>
                  <w:tcW w:w="1620" w:type="dxa"/>
                  <w:noWrap/>
                  <w:vAlign w:val="center"/>
                  <w:hideMark/>
                </w:tcPr>
                <w:p w:rsidR="00CF4401" w:rsidRPr="00CF4401" w:rsidRDefault="00CF4401" w:rsidP="00CF4401">
                  <w:pPr>
                    <w:spacing w:after="0"/>
                    <w:jc w:val="right"/>
                    <w:rPr>
                      <w:rFonts w:ascii="Calibri" w:eastAsia="Times New Roman" w:hAnsi="Calibri"/>
                      <w:color w:val="000000"/>
                      <w:sz w:val="20"/>
                      <w:szCs w:val="22"/>
                      <w:lang w:val="es-CO" w:eastAsia="es-CO"/>
                    </w:rPr>
                  </w:pPr>
                  <w:r>
                    <w:rPr>
                      <w:rFonts w:ascii="Calibri" w:eastAsia="Times New Roman" w:hAnsi="Calibri"/>
                      <w:color w:val="000000"/>
                      <w:sz w:val="20"/>
                      <w:szCs w:val="22"/>
                      <w:lang w:val="es-CO" w:eastAsia="es-CO"/>
                    </w:rPr>
                    <w:t xml:space="preserve"> $</w:t>
                  </w:r>
                  <w:r w:rsidRPr="00CF4401">
                    <w:rPr>
                      <w:rFonts w:ascii="Calibri" w:eastAsia="Times New Roman" w:hAnsi="Calibri"/>
                      <w:color w:val="000000"/>
                      <w:sz w:val="20"/>
                      <w:szCs w:val="22"/>
                      <w:lang w:val="es-CO" w:eastAsia="es-CO"/>
                    </w:rPr>
                    <w:t xml:space="preserve">1.641.546.990 </w:t>
                  </w:r>
                </w:p>
              </w:tc>
              <w:tc>
                <w:tcPr>
                  <w:tcW w:w="1760" w:type="dxa"/>
                  <w:noWrap/>
                  <w:vAlign w:val="center"/>
                  <w:hideMark/>
                </w:tcPr>
                <w:p w:rsidR="00CF4401" w:rsidRPr="00CF4401" w:rsidRDefault="00CF4401" w:rsidP="00CF4401">
                  <w:pPr>
                    <w:spacing w:after="0"/>
                    <w:jc w:val="right"/>
                    <w:rPr>
                      <w:rFonts w:ascii="Calibri" w:eastAsia="Times New Roman" w:hAnsi="Calibri"/>
                      <w:color w:val="000000"/>
                      <w:sz w:val="20"/>
                      <w:szCs w:val="22"/>
                      <w:lang w:val="es-CO" w:eastAsia="es-CO"/>
                    </w:rPr>
                  </w:pPr>
                  <w:r>
                    <w:rPr>
                      <w:rFonts w:ascii="Calibri" w:eastAsia="Times New Roman" w:hAnsi="Calibri"/>
                      <w:color w:val="000000"/>
                      <w:sz w:val="20"/>
                      <w:szCs w:val="22"/>
                      <w:lang w:val="es-CO" w:eastAsia="es-CO"/>
                    </w:rPr>
                    <w:t xml:space="preserve"> $</w:t>
                  </w:r>
                  <w:r w:rsidRPr="00CF4401">
                    <w:rPr>
                      <w:rFonts w:ascii="Calibri" w:eastAsia="Times New Roman" w:hAnsi="Calibri"/>
                      <w:color w:val="000000"/>
                      <w:sz w:val="20"/>
                      <w:szCs w:val="22"/>
                      <w:lang w:val="es-CO" w:eastAsia="es-CO"/>
                    </w:rPr>
                    <w:t xml:space="preserve">343.375.034 </w:t>
                  </w:r>
                </w:p>
              </w:tc>
            </w:tr>
            <w:tr w:rsidR="00CF4401" w:rsidRPr="00CF4401" w:rsidTr="00CF4401">
              <w:trPr>
                <w:trHeight w:val="345"/>
                <w:jc w:val="center"/>
              </w:trPr>
              <w:tc>
                <w:tcPr>
                  <w:tcW w:w="2279" w:type="dxa"/>
                  <w:shd w:val="clear" w:color="auto" w:fill="D9D9D9" w:themeFill="background1" w:themeFillShade="D9"/>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Techo Presupuestal</w:t>
                  </w:r>
                </w:p>
              </w:tc>
              <w:tc>
                <w:tcPr>
                  <w:tcW w:w="6941" w:type="dxa"/>
                  <w:gridSpan w:val="4"/>
                  <w:shd w:val="clear" w:color="auto" w:fill="D9D9D9" w:themeFill="background1" w:themeFillShade="D9"/>
                  <w:vAlign w:val="center"/>
                  <w:hideMark/>
                </w:tcPr>
                <w:p w:rsidR="00CF4401" w:rsidRPr="00CF4401" w:rsidRDefault="00CF4401" w:rsidP="00CF4401">
                  <w:pPr>
                    <w:spacing w:after="0"/>
                    <w:jc w:val="center"/>
                    <w:rPr>
                      <w:rFonts w:ascii="Calibri" w:eastAsia="Times New Roman" w:hAnsi="Calibri"/>
                      <w:b/>
                      <w:bCs/>
                      <w:color w:val="000000"/>
                      <w:sz w:val="20"/>
                      <w:szCs w:val="22"/>
                      <w:lang w:val="es-CO" w:eastAsia="es-CO"/>
                    </w:rPr>
                  </w:pPr>
                  <w:r w:rsidRPr="00CF4401">
                    <w:rPr>
                      <w:rFonts w:ascii="Calibri" w:eastAsia="Times New Roman" w:hAnsi="Calibri"/>
                      <w:b/>
                      <w:bCs/>
                      <w:color w:val="000000"/>
                      <w:sz w:val="20"/>
                      <w:szCs w:val="22"/>
                      <w:lang w:val="es-CO" w:eastAsia="es-CO"/>
                    </w:rPr>
                    <w:t>$ 6.640.596.087</w:t>
                  </w:r>
                </w:p>
              </w:tc>
            </w:tr>
            <w:tr w:rsidR="00CF4401" w:rsidRPr="00CF4401" w:rsidTr="00CF4401">
              <w:trPr>
                <w:trHeight w:val="315"/>
                <w:jc w:val="center"/>
              </w:trPr>
              <w:tc>
                <w:tcPr>
                  <w:tcW w:w="2279" w:type="dxa"/>
                  <w:shd w:val="clear" w:color="auto" w:fill="D9D9D9" w:themeFill="background1" w:themeFillShade="D9"/>
                  <w:noWrap/>
                  <w:vAlign w:val="center"/>
                  <w:hideMark/>
                </w:tcPr>
                <w:p w:rsidR="00CF4401" w:rsidRPr="00CF4401" w:rsidRDefault="00CF4401" w:rsidP="00CF4401">
                  <w:pPr>
                    <w:spacing w:after="0"/>
                    <w:jc w:val="center"/>
                    <w:rPr>
                      <w:rFonts w:ascii="Calibri" w:eastAsia="Times New Roman" w:hAnsi="Calibri"/>
                      <w:color w:val="000000"/>
                      <w:sz w:val="20"/>
                      <w:szCs w:val="22"/>
                      <w:lang w:val="es-CO" w:eastAsia="es-CO"/>
                    </w:rPr>
                  </w:pPr>
                  <w:r w:rsidRPr="00CF4401">
                    <w:rPr>
                      <w:rFonts w:ascii="Calibri" w:eastAsia="Times New Roman" w:hAnsi="Calibri"/>
                      <w:color w:val="000000"/>
                      <w:sz w:val="20"/>
                      <w:szCs w:val="22"/>
                      <w:lang w:val="es-CO" w:eastAsia="es-CO"/>
                    </w:rPr>
                    <w:t>Ahorro Proyectado 10%</w:t>
                  </w:r>
                </w:p>
              </w:tc>
              <w:tc>
                <w:tcPr>
                  <w:tcW w:w="6941" w:type="dxa"/>
                  <w:gridSpan w:val="4"/>
                  <w:shd w:val="clear" w:color="auto" w:fill="D9D9D9" w:themeFill="background1" w:themeFillShade="D9"/>
                  <w:vAlign w:val="center"/>
                  <w:hideMark/>
                </w:tcPr>
                <w:p w:rsidR="00CF4401" w:rsidRPr="00CF4401" w:rsidRDefault="00CF4401" w:rsidP="00CF4401">
                  <w:pPr>
                    <w:spacing w:after="0"/>
                    <w:jc w:val="center"/>
                    <w:rPr>
                      <w:rFonts w:ascii="Calibri" w:eastAsia="Times New Roman" w:hAnsi="Calibri"/>
                      <w:b/>
                      <w:bCs/>
                      <w:color w:val="000000"/>
                      <w:sz w:val="20"/>
                      <w:szCs w:val="22"/>
                      <w:lang w:val="es-CO" w:eastAsia="es-CO"/>
                    </w:rPr>
                  </w:pPr>
                  <w:r w:rsidRPr="00CF4401">
                    <w:rPr>
                      <w:rFonts w:ascii="Calibri" w:eastAsia="Times New Roman" w:hAnsi="Calibri"/>
                      <w:b/>
                      <w:bCs/>
                      <w:color w:val="000000"/>
                      <w:sz w:val="20"/>
                      <w:szCs w:val="22"/>
                      <w:lang w:val="es-CO" w:eastAsia="es-CO"/>
                    </w:rPr>
                    <w:t>$ 737.844.010</w:t>
                  </w:r>
                </w:p>
              </w:tc>
            </w:tr>
          </w:tbl>
          <w:p w:rsidR="00CF4401" w:rsidRDefault="00CF4401" w:rsidP="000F0DF4">
            <w:pPr>
              <w:rPr>
                <w:rFonts w:ascii="Century Gothic" w:hAnsi="Century Gothic" w:cs="Arial"/>
                <w:sz w:val="20"/>
                <w:szCs w:val="20"/>
                <w:lang w:val="es-CO" w:eastAsia="es-CO"/>
              </w:rPr>
            </w:pPr>
          </w:p>
          <w:p w:rsidR="00AE5A2F" w:rsidRDefault="00A10129" w:rsidP="000F0DF4">
            <w:pPr>
              <w:rPr>
                <w:rFonts w:ascii="Century Gothic" w:hAnsi="Century Gothic" w:cs="Arial"/>
                <w:sz w:val="20"/>
                <w:szCs w:val="20"/>
                <w:lang w:val="es-CO" w:eastAsia="es-CO"/>
              </w:rPr>
            </w:pPr>
            <w:r>
              <w:rPr>
                <w:rFonts w:ascii="Century Gothic" w:hAnsi="Century Gothic" w:cs="Arial"/>
                <w:sz w:val="20"/>
                <w:szCs w:val="20"/>
                <w:lang w:val="es-CO" w:eastAsia="es-CO"/>
              </w:rPr>
              <w:t>Para la presente vigencia se tiene proyectado un ahorro de $737.844.010 correspondiente al 10% del valor ejecutado del año anterior</w:t>
            </w:r>
            <w:r w:rsidR="00CC12F5">
              <w:rPr>
                <w:rFonts w:ascii="Century Gothic" w:hAnsi="Century Gothic" w:cs="Arial"/>
                <w:sz w:val="20"/>
                <w:szCs w:val="20"/>
                <w:lang w:val="es-CO" w:eastAsia="es-CO"/>
              </w:rPr>
              <w:t xml:space="preserve">, para un techo presupuestal para ejecutar en la presente vigencia por un valor de </w:t>
            </w:r>
            <w:r w:rsidR="00CC12F5" w:rsidRPr="00CC12F5">
              <w:rPr>
                <w:rFonts w:ascii="Century Gothic" w:hAnsi="Century Gothic" w:cs="Arial"/>
                <w:sz w:val="20"/>
                <w:szCs w:val="20"/>
                <w:lang w:val="es-CO" w:eastAsia="es-CO"/>
              </w:rPr>
              <w:t>$ 6.640.596.087 para dar cumplimiento a la Directiva presidencia 01 de 2016</w:t>
            </w:r>
            <w:r w:rsidR="00AE5A2F">
              <w:rPr>
                <w:rFonts w:ascii="Century Gothic" w:hAnsi="Century Gothic" w:cs="Arial"/>
                <w:sz w:val="20"/>
                <w:szCs w:val="20"/>
                <w:lang w:val="es-CO" w:eastAsia="es-CO"/>
              </w:rPr>
              <w:t>.</w:t>
            </w:r>
            <w:r w:rsidR="00CC12F5" w:rsidRPr="00CC12F5">
              <w:rPr>
                <w:rFonts w:ascii="Century Gothic" w:hAnsi="Century Gothic" w:cs="Arial"/>
                <w:sz w:val="20"/>
                <w:szCs w:val="20"/>
                <w:lang w:val="es-CO" w:eastAsia="es-CO"/>
              </w:rPr>
              <w:t xml:space="preserve"> </w:t>
            </w:r>
          </w:p>
          <w:p w:rsidR="00CC12F5" w:rsidRDefault="0010206D" w:rsidP="000F0DF4">
            <w:pPr>
              <w:rPr>
                <w:rFonts w:ascii="Century Gothic" w:hAnsi="Century Gothic" w:cs="Arial"/>
                <w:sz w:val="20"/>
                <w:szCs w:val="20"/>
                <w:lang w:val="es-CO" w:eastAsia="es-CO"/>
              </w:rPr>
            </w:pPr>
            <w:r>
              <w:rPr>
                <w:rFonts w:ascii="Century Gothic" w:hAnsi="Century Gothic" w:cs="Arial"/>
                <w:sz w:val="20"/>
                <w:szCs w:val="20"/>
                <w:lang w:val="es-CO" w:eastAsia="es-CO"/>
              </w:rPr>
              <w:t>El presupuesto destinado a viáticos, gastos de desplazamiento, gastos de viaje y tiquetes aéreos que se ha autorizado ejecutar durante el 2016 es:</w:t>
            </w:r>
          </w:p>
          <w:tbl>
            <w:tblPr>
              <w:tblStyle w:val="Tablaconcuadrcula"/>
              <w:tblW w:w="10235" w:type="dxa"/>
              <w:jc w:val="center"/>
              <w:tblLayout w:type="fixed"/>
              <w:tblLook w:val="04A0" w:firstRow="1" w:lastRow="0" w:firstColumn="1" w:lastColumn="0" w:noHBand="0" w:noVBand="1"/>
            </w:tblPr>
            <w:tblGrid>
              <w:gridCol w:w="8251"/>
              <w:gridCol w:w="1984"/>
            </w:tblGrid>
            <w:tr w:rsidR="001454BC" w:rsidRPr="001454BC" w:rsidTr="001454BC">
              <w:trPr>
                <w:trHeight w:val="300"/>
                <w:jc w:val="center"/>
              </w:trPr>
              <w:tc>
                <w:tcPr>
                  <w:tcW w:w="8251" w:type="dxa"/>
                  <w:shd w:val="clear" w:color="auto" w:fill="D9D9D9" w:themeFill="background1" w:themeFillShade="D9"/>
                  <w:noWrap/>
                  <w:vAlign w:val="center"/>
                  <w:hideMark/>
                </w:tcPr>
                <w:p w:rsidR="001454BC" w:rsidRPr="001454BC" w:rsidRDefault="001454BC" w:rsidP="001454BC">
                  <w:pPr>
                    <w:spacing w:after="0"/>
                    <w:jc w:val="center"/>
                    <w:rPr>
                      <w:rFonts w:ascii="Calibri" w:eastAsia="Times New Roman" w:hAnsi="Calibri"/>
                      <w:sz w:val="20"/>
                      <w:szCs w:val="20"/>
                      <w:lang w:val="es-CO" w:eastAsia="es-CO"/>
                    </w:rPr>
                  </w:pPr>
                  <w:r w:rsidRPr="001454BC">
                    <w:rPr>
                      <w:rFonts w:ascii="Calibri" w:eastAsia="Times New Roman" w:hAnsi="Calibri"/>
                      <w:sz w:val="20"/>
                      <w:szCs w:val="20"/>
                      <w:lang w:val="es-CO" w:eastAsia="es-CO"/>
                    </w:rPr>
                    <w:t>Concepto</w:t>
                  </w:r>
                </w:p>
              </w:tc>
              <w:tc>
                <w:tcPr>
                  <w:tcW w:w="1984" w:type="dxa"/>
                  <w:shd w:val="clear" w:color="auto" w:fill="D9D9D9" w:themeFill="background1" w:themeFillShade="D9"/>
                  <w:noWrap/>
                  <w:vAlign w:val="center"/>
                  <w:hideMark/>
                </w:tcPr>
                <w:p w:rsidR="001454BC" w:rsidRPr="001454BC" w:rsidRDefault="001454BC" w:rsidP="001454BC">
                  <w:pPr>
                    <w:spacing w:after="0"/>
                    <w:jc w:val="center"/>
                    <w:rPr>
                      <w:rFonts w:ascii="Calibri" w:eastAsia="Times New Roman" w:hAnsi="Calibri"/>
                      <w:sz w:val="20"/>
                      <w:szCs w:val="20"/>
                      <w:lang w:val="es-CO" w:eastAsia="es-CO"/>
                    </w:rPr>
                  </w:pPr>
                  <w:r w:rsidRPr="001454BC">
                    <w:rPr>
                      <w:rFonts w:ascii="Calibri" w:eastAsia="Times New Roman" w:hAnsi="Calibri"/>
                      <w:sz w:val="20"/>
                      <w:szCs w:val="20"/>
                      <w:lang w:val="es-CO" w:eastAsia="es-CO"/>
                    </w:rPr>
                    <w:t>Valor Autorizado</w:t>
                  </w:r>
                </w:p>
              </w:tc>
            </w:tr>
            <w:tr w:rsidR="001454BC" w:rsidRPr="001454BC" w:rsidTr="001454BC">
              <w:trPr>
                <w:trHeight w:val="372"/>
                <w:jc w:val="center"/>
              </w:trPr>
              <w:tc>
                <w:tcPr>
                  <w:tcW w:w="8251" w:type="dxa"/>
                  <w:noWrap/>
                  <w:vAlign w:val="center"/>
                  <w:hideMark/>
                </w:tcPr>
                <w:p w:rsidR="001454BC" w:rsidRPr="001454BC" w:rsidRDefault="001454BC" w:rsidP="00AE5A2F">
                  <w:pPr>
                    <w:spacing w:after="0"/>
                    <w:jc w:val="both"/>
                    <w:rPr>
                      <w:rFonts w:ascii="Calibri" w:eastAsia="Times New Roman" w:hAnsi="Calibri"/>
                      <w:color w:val="000000"/>
                      <w:sz w:val="20"/>
                      <w:szCs w:val="20"/>
                      <w:lang w:val="es-CO" w:eastAsia="es-CO"/>
                    </w:rPr>
                  </w:pPr>
                  <w:r w:rsidRPr="001454BC">
                    <w:rPr>
                      <w:rFonts w:ascii="Calibri" w:eastAsia="Times New Roman" w:hAnsi="Calibri"/>
                      <w:color w:val="000000"/>
                      <w:sz w:val="20"/>
                      <w:szCs w:val="20"/>
                      <w:lang w:val="es-CO" w:eastAsia="es-CO"/>
                    </w:rPr>
                    <w:t xml:space="preserve">Total Adición Contrato 1063 Tiquetes, desde el 04 de enero </w:t>
                  </w:r>
                  <w:r w:rsidR="00AE5A2F">
                    <w:rPr>
                      <w:rFonts w:ascii="Calibri" w:eastAsia="Times New Roman" w:hAnsi="Calibri"/>
                      <w:color w:val="000000"/>
                      <w:sz w:val="20"/>
                      <w:szCs w:val="20"/>
                      <w:lang w:val="es-CO" w:eastAsia="es-CO"/>
                    </w:rPr>
                    <w:t>h</w:t>
                  </w:r>
                  <w:r w:rsidRPr="001454BC">
                    <w:rPr>
                      <w:rFonts w:ascii="Calibri" w:eastAsia="Times New Roman" w:hAnsi="Calibri"/>
                      <w:color w:val="000000"/>
                      <w:sz w:val="20"/>
                      <w:szCs w:val="20"/>
                      <w:lang w:val="es-CO" w:eastAsia="es-CO"/>
                    </w:rPr>
                    <w:t>asta 31 de marzo 2016</w:t>
                  </w:r>
                </w:p>
              </w:tc>
              <w:tc>
                <w:tcPr>
                  <w:tcW w:w="1984" w:type="dxa"/>
                  <w:noWrap/>
                  <w:vAlign w:val="center"/>
                  <w:hideMark/>
                </w:tcPr>
                <w:p w:rsidR="001454BC" w:rsidRPr="001454BC" w:rsidRDefault="001454BC" w:rsidP="001454BC">
                  <w:pPr>
                    <w:spacing w:after="0"/>
                    <w:jc w:val="right"/>
                    <w:rPr>
                      <w:rFonts w:ascii="Calibri" w:eastAsia="Times New Roman" w:hAnsi="Calibri"/>
                      <w:color w:val="000000"/>
                      <w:sz w:val="20"/>
                      <w:szCs w:val="20"/>
                      <w:lang w:val="es-CO" w:eastAsia="es-CO"/>
                    </w:rPr>
                  </w:pPr>
                  <w:r>
                    <w:rPr>
                      <w:rFonts w:ascii="Calibri" w:eastAsia="Times New Roman" w:hAnsi="Calibri"/>
                      <w:color w:val="000000"/>
                      <w:sz w:val="20"/>
                      <w:szCs w:val="20"/>
                      <w:lang w:val="es-CO" w:eastAsia="es-CO"/>
                    </w:rPr>
                    <w:t xml:space="preserve"> $</w:t>
                  </w:r>
                  <w:r w:rsidRPr="001454BC">
                    <w:rPr>
                      <w:rFonts w:ascii="Calibri" w:eastAsia="Times New Roman" w:hAnsi="Calibri"/>
                      <w:color w:val="000000"/>
                      <w:sz w:val="20"/>
                      <w:szCs w:val="20"/>
                      <w:lang w:val="es-CO" w:eastAsia="es-CO"/>
                    </w:rPr>
                    <w:t>773.769.587</w:t>
                  </w:r>
                </w:p>
              </w:tc>
            </w:tr>
            <w:tr w:rsidR="001454BC" w:rsidRPr="001454BC" w:rsidTr="001454BC">
              <w:trPr>
                <w:trHeight w:val="420"/>
                <w:jc w:val="center"/>
              </w:trPr>
              <w:tc>
                <w:tcPr>
                  <w:tcW w:w="8251" w:type="dxa"/>
                  <w:noWrap/>
                  <w:vAlign w:val="center"/>
                  <w:hideMark/>
                </w:tcPr>
                <w:p w:rsidR="001454BC" w:rsidRPr="001454BC" w:rsidRDefault="001454BC" w:rsidP="001454BC">
                  <w:pPr>
                    <w:spacing w:after="0"/>
                    <w:jc w:val="both"/>
                    <w:rPr>
                      <w:rFonts w:ascii="Calibri" w:eastAsia="Times New Roman" w:hAnsi="Calibri"/>
                      <w:color w:val="000000"/>
                      <w:sz w:val="20"/>
                      <w:szCs w:val="20"/>
                      <w:lang w:val="es-CO" w:eastAsia="es-CO"/>
                    </w:rPr>
                  </w:pPr>
                  <w:r w:rsidRPr="001454BC">
                    <w:rPr>
                      <w:rFonts w:ascii="Calibri" w:eastAsia="Times New Roman" w:hAnsi="Calibri"/>
                      <w:color w:val="000000"/>
                      <w:sz w:val="20"/>
                      <w:szCs w:val="20"/>
                      <w:lang w:val="es-CO" w:eastAsia="es-CO"/>
                    </w:rPr>
                    <w:t>Total Orden de Compra Tiquetes Aéreos N° 7510, desde el 01 de abril hasta 31 de diciembre 2016</w:t>
                  </w:r>
                </w:p>
              </w:tc>
              <w:tc>
                <w:tcPr>
                  <w:tcW w:w="1984" w:type="dxa"/>
                  <w:noWrap/>
                  <w:vAlign w:val="center"/>
                  <w:hideMark/>
                </w:tcPr>
                <w:p w:rsidR="001454BC" w:rsidRPr="001454BC" w:rsidRDefault="001454BC" w:rsidP="001454BC">
                  <w:pPr>
                    <w:spacing w:after="0"/>
                    <w:jc w:val="right"/>
                    <w:rPr>
                      <w:rFonts w:ascii="Calibri" w:eastAsia="Times New Roman" w:hAnsi="Calibri"/>
                      <w:color w:val="000000"/>
                      <w:sz w:val="20"/>
                      <w:szCs w:val="20"/>
                      <w:lang w:val="es-CO" w:eastAsia="es-CO"/>
                    </w:rPr>
                  </w:pPr>
                  <w:r>
                    <w:rPr>
                      <w:rFonts w:ascii="Calibri" w:eastAsia="Times New Roman" w:hAnsi="Calibri"/>
                      <w:color w:val="000000"/>
                      <w:sz w:val="20"/>
                      <w:szCs w:val="20"/>
                      <w:lang w:val="es-CO" w:eastAsia="es-CO"/>
                    </w:rPr>
                    <w:t xml:space="preserve"> $</w:t>
                  </w:r>
                  <w:r w:rsidRPr="001454BC">
                    <w:rPr>
                      <w:rFonts w:ascii="Calibri" w:eastAsia="Times New Roman" w:hAnsi="Calibri"/>
                      <w:color w:val="000000"/>
                      <w:sz w:val="20"/>
                      <w:szCs w:val="20"/>
                      <w:lang w:val="es-CO" w:eastAsia="es-CO"/>
                    </w:rPr>
                    <w:t>2.073.234.000</w:t>
                  </w:r>
                </w:p>
              </w:tc>
            </w:tr>
            <w:tr w:rsidR="001454BC" w:rsidRPr="001454BC" w:rsidTr="001454BC">
              <w:trPr>
                <w:trHeight w:val="413"/>
                <w:jc w:val="center"/>
              </w:trPr>
              <w:tc>
                <w:tcPr>
                  <w:tcW w:w="8251" w:type="dxa"/>
                  <w:noWrap/>
                  <w:vAlign w:val="center"/>
                  <w:hideMark/>
                </w:tcPr>
                <w:p w:rsidR="001454BC" w:rsidRPr="001454BC" w:rsidRDefault="001454BC" w:rsidP="001454BC">
                  <w:pPr>
                    <w:spacing w:after="0"/>
                    <w:jc w:val="both"/>
                    <w:rPr>
                      <w:rFonts w:ascii="Calibri" w:eastAsia="Times New Roman" w:hAnsi="Calibri"/>
                      <w:color w:val="000000"/>
                      <w:sz w:val="20"/>
                      <w:szCs w:val="20"/>
                      <w:lang w:val="es-CO" w:eastAsia="es-CO"/>
                    </w:rPr>
                  </w:pPr>
                  <w:r w:rsidRPr="001454BC">
                    <w:rPr>
                      <w:rFonts w:ascii="Calibri" w:eastAsia="Times New Roman" w:hAnsi="Calibri"/>
                      <w:color w:val="000000"/>
                      <w:sz w:val="20"/>
                      <w:szCs w:val="20"/>
                      <w:lang w:val="es-CO" w:eastAsia="es-CO"/>
                    </w:rPr>
                    <w:t>Total Gastos de Desplazamiento y de viaje de inversión, desde el 12 de enero al 31 de diciembre</w:t>
                  </w:r>
                </w:p>
              </w:tc>
              <w:tc>
                <w:tcPr>
                  <w:tcW w:w="1984" w:type="dxa"/>
                  <w:noWrap/>
                  <w:vAlign w:val="center"/>
                  <w:hideMark/>
                </w:tcPr>
                <w:p w:rsidR="001454BC" w:rsidRPr="001454BC" w:rsidRDefault="001454BC" w:rsidP="001454BC">
                  <w:pPr>
                    <w:spacing w:after="0"/>
                    <w:jc w:val="right"/>
                    <w:rPr>
                      <w:rFonts w:ascii="Calibri" w:eastAsia="Times New Roman" w:hAnsi="Calibri"/>
                      <w:color w:val="000000"/>
                      <w:sz w:val="20"/>
                      <w:szCs w:val="20"/>
                      <w:lang w:val="es-CO" w:eastAsia="es-CO"/>
                    </w:rPr>
                  </w:pPr>
                  <w:r>
                    <w:rPr>
                      <w:rFonts w:ascii="Calibri" w:eastAsia="Times New Roman" w:hAnsi="Calibri"/>
                      <w:color w:val="000000"/>
                      <w:sz w:val="20"/>
                      <w:szCs w:val="20"/>
                      <w:lang w:val="es-CO" w:eastAsia="es-CO"/>
                    </w:rPr>
                    <w:t xml:space="preserve"> $</w:t>
                  </w:r>
                  <w:r w:rsidRPr="001454BC">
                    <w:rPr>
                      <w:rFonts w:ascii="Calibri" w:eastAsia="Times New Roman" w:hAnsi="Calibri"/>
                      <w:color w:val="000000"/>
                      <w:sz w:val="20"/>
                      <w:szCs w:val="20"/>
                      <w:lang w:val="es-CO" w:eastAsia="es-CO"/>
                    </w:rPr>
                    <w:t>1.644.545.536</w:t>
                  </w:r>
                </w:p>
              </w:tc>
            </w:tr>
            <w:tr w:rsidR="001454BC" w:rsidRPr="001454BC" w:rsidTr="001454BC">
              <w:trPr>
                <w:trHeight w:val="418"/>
                <w:jc w:val="center"/>
              </w:trPr>
              <w:tc>
                <w:tcPr>
                  <w:tcW w:w="8251" w:type="dxa"/>
                  <w:noWrap/>
                  <w:vAlign w:val="center"/>
                  <w:hideMark/>
                </w:tcPr>
                <w:p w:rsidR="001454BC" w:rsidRPr="001454BC" w:rsidRDefault="001454BC" w:rsidP="001454BC">
                  <w:pPr>
                    <w:spacing w:after="0"/>
                    <w:jc w:val="both"/>
                    <w:rPr>
                      <w:rFonts w:ascii="Calibri" w:eastAsia="Times New Roman" w:hAnsi="Calibri"/>
                      <w:color w:val="000000"/>
                      <w:sz w:val="20"/>
                      <w:szCs w:val="20"/>
                      <w:lang w:val="es-CO" w:eastAsia="es-CO"/>
                    </w:rPr>
                  </w:pPr>
                  <w:r w:rsidRPr="001454BC">
                    <w:rPr>
                      <w:rFonts w:ascii="Calibri" w:eastAsia="Times New Roman" w:hAnsi="Calibri"/>
                      <w:color w:val="000000"/>
                      <w:sz w:val="20"/>
                      <w:szCs w:val="20"/>
                      <w:lang w:val="es-CO" w:eastAsia="es-CO"/>
                    </w:rPr>
                    <w:t>Total Viáticos y Gastos de Viaje Funcionamiento, desde el 12 de enero al 31 de diciembre 2016</w:t>
                  </w:r>
                </w:p>
              </w:tc>
              <w:tc>
                <w:tcPr>
                  <w:tcW w:w="1984" w:type="dxa"/>
                  <w:noWrap/>
                  <w:vAlign w:val="center"/>
                  <w:hideMark/>
                </w:tcPr>
                <w:p w:rsidR="001454BC" w:rsidRPr="001454BC" w:rsidRDefault="001454BC" w:rsidP="001454BC">
                  <w:pPr>
                    <w:spacing w:after="0"/>
                    <w:jc w:val="right"/>
                    <w:rPr>
                      <w:rFonts w:ascii="Calibri" w:eastAsia="Times New Roman" w:hAnsi="Calibri"/>
                      <w:color w:val="000000"/>
                      <w:sz w:val="20"/>
                      <w:szCs w:val="20"/>
                      <w:lang w:val="es-CO" w:eastAsia="es-CO"/>
                    </w:rPr>
                  </w:pPr>
                  <w:r>
                    <w:rPr>
                      <w:rFonts w:ascii="Calibri" w:eastAsia="Times New Roman" w:hAnsi="Calibri"/>
                      <w:color w:val="000000"/>
                      <w:sz w:val="20"/>
                      <w:szCs w:val="20"/>
                      <w:lang w:val="es-CO" w:eastAsia="es-CO"/>
                    </w:rPr>
                    <w:t xml:space="preserve"> $</w:t>
                  </w:r>
                  <w:r w:rsidRPr="001454BC">
                    <w:rPr>
                      <w:rFonts w:ascii="Calibri" w:eastAsia="Times New Roman" w:hAnsi="Calibri"/>
                      <w:color w:val="000000"/>
                      <w:sz w:val="20"/>
                      <w:szCs w:val="20"/>
                      <w:lang w:val="es-CO" w:eastAsia="es-CO"/>
                    </w:rPr>
                    <w:t>2.149.046.965</w:t>
                  </w:r>
                </w:p>
              </w:tc>
            </w:tr>
            <w:tr w:rsidR="001454BC" w:rsidRPr="001454BC" w:rsidTr="001454BC">
              <w:trPr>
                <w:trHeight w:val="315"/>
                <w:jc w:val="center"/>
              </w:trPr>
              <w:tc>
                <w:tcPr>
                  <w:tcW w:w="8251" w:type="dxa"/>
                  <w:shd w:val="clear" w:color="auto" w:fill="D9D9D9" w:themeFill="background1" w:themeFillShade="D9"/>
                  <w:noWrap/>
                  <w:vAlign w:val="center"/>
                  <w:hideMark/>
                </w:tcPr>
                <w:p w:rsidR="001454BC" w:rsidRPr="001454BC" w:rsidRDefault="001454BC" w:rsidP="001454BC">
                  <w:pPr>
                    <w:spacing w:after="0"/>
                    <w:rPr>
                      <w:rFonts w:ascii="Calibri" w:eastAsia="Times New Roman" w:hAnsi="Calibri"/>
                      <w:color w:val="000000"/>
                      <w:sz w:val="20"/>
                      <w:szCs w:val="20"/>
                      <w:lang w:val="es-CO" w:eastAsia="es-CO"/>
                    </w:rPr>
                  </w:pPr>
                  <w:r w:rsidRPr="001454BC">
                    <w:rPr>
                      <w:rFonts w:ascii="Calibri" w:eastAsia="Times New Roman" w:hAnsi="Calibri"/>
                      <w:color w:val="000000"/>
                      <w:sz w:val="20"/>
                      <w:szCs w:val="20"/>
                      <w:lang w:val="es-CO" w:eastAsia="es-CO"/>
                    </w:rPr>
                    <w:t>Total</w:t>
                  </w:r>
                </w:p>
              </w:tc>
              <w:tc>
                <w:tcPr>
                  <w:tcW w:w="1984" w:type="dxa"/>
                  <w:shd w:val="clear" w:color="auto" w:fill="D9D9D9" w:themeFill="background1" w:themeFillShade="D9"/>
                  <w:noWrap/>
                  <w:vAlign w:val="center"/>
                  <w:hideMark/>
                </w:tcPr>
                <w:p w:rsidR="001454BC" w:rsidRPr="001454BC" w:rsidRDefault="001454BC" w:rsidP="001454BC">
                  <w:pPr>
                    <w:spacing w:after="0"/>
                    <w:jc w:val="right"/>
                    <w:rPr>
                      <w:rFonts w:ascii="Calibri" w:eastAsia="Times New Roman" w:hAnsi="Calibri"/>
                      <w:color w:val="000000"/>
                      <w:sz w:val="20"/>
                      <w:szCs w:val="20"/>
                      <w:lang w:val="es-CO" w:eastAsia="es-CO"/>
                    </w:rPr>
                  </w:pPr>
                  <w:r>
                    <w:rPr>
                      <w:rFonts w:ascii="Calibri" w:eastAsia="Times New Roman" w:hAnsi="Calibri"/>
                      <w:color w:val="000000"/>
                      <w:sz w:val="20"/>
                      <w:szCs w:val="20"/>
                      <w:lang w:val="es-CO" w:eastAsia="es-CO"/>
                    </w:rPr>
                    <w:t xml:space="preserve"> $</w:t>
                  </w:r>
                  <w:r w:rsidRPr="001454BC">
                    <w:rPr>
                      <w:rFonts w:ascii="Calibri" w:eastAsia="Times New Roman" w:hAnsi="Calibri"/>
                      <w:color w:val="000000"/>
                      <w:sz w:val="20"/>
                      <w:szCs w:val="20"/>
                      <w:lang w:val="es-CO" w:eastAsia="es-CO"/>
                    </w:rPr>
                    <w:t>6.640.596.088</w:t>
                  </w:r>
                </w:p>
              </w:tc>
            </w:tr>
          </w:tbl>
          <w:p w:rsidR="001454BC" w:rsidRPr="000F0DF4" w:rsidRDefault="001454BC" w:rsidP="000F0DF4">
            <w:pPr>
              <w:rPr>
                <w:rFonts w:ascii="Century Gothic" w:hAnsi="Century Gothic" w:cs="Arial"/>
                <w:sz w:val="20"/>
                <w:szCs w:val="20"/>
                <w:lang w:val="es-CO" w:eastAsia="es-CO"/>
              </w:rPr>
            </w:pPr>
          </w:p>
          <w:p w:rsidR="00CC12F5" w:rsidRDefault="0010206D" w:rsidP="00F47740">
            <w:pPr>
              <w:rPr>
                <w:rFonts w:ascii="Century Gothic" w:hAnsi="Century Gothic" w:cs="Arial"/>
                <w:sz w:val="20"/>
                <w:szCs w:val="20"/>
                <w:lang w:val="es-CO" w:eastAsia="es-CO"/>
              </w:rPr>
            </w:pPr>
            <w:r>
              <w:rPr>
                <w:rFonts w:ascii="Century Gothic" w:hAnsi="Century Gothic" w:cs="Arial"/>
                <w:sz w:val="20"/>
                <w:szCs w:val="20"/>
                <w:lang w:val="es-CO" w:eastAsia="es-CO"/>
              </w:rPr>
              <w:t xml:space="preserve">El valor ejecutado en materia de viáticos, gastos de viaje, gastos de desplazamientos y tiquetes aéreos corresponde a </w:t>
            </w:r>
            <w:r>
              <w:rPr>
                <w:rFonts w:ascii="Century Gothic" w:hAnsi="Century Gothic" w:cs="Arial"/>
                <w:sz w:val="20"/>
                <w:szCs w:val="20"/>
                <w:lang w:eastAsia="es-CO"/>
              </w:rPr>
              <w:t>$</w:t>
            </w:r>
            <w:r w:rsidRPr="0010206D">
              <w:rPr>
                <w:rFonts w:ascii="Century Gothic" w:hAnsi="Century Gothic" w:cs="Arial"/>
                <w:sz w:val="20"/>
                <w:szCs w:val="20"/>
                <w:lang w:eastAsia="es-CO"/>
              </w:rPr>
              <w:t xml:space="preserve">1.617.472.784 </w:t>
            </w:r>
            <w:r>
              <w:rPr>
                <w:rFonts w:ascii="Century Gothic" w:hAnsi="Century Gothic" w:cs="Arial"/>
                <w:sz w:val="20"/>
                <w:szCs w:val="20"/>
                <w:lang w:eastAsia="es-CO"/>
              </w:rPr>
              <w:t>a 31 de marzo de 2016, lo anterior significa que en los meses de febrero y marzo</w:t>
            </w:r>
            <w:r w:rsidR="00CE151D">
              <w:rPr>
                <w:rFonts w:ascii="Century Gothic" w:hAnsi="Century Gothic" w:cs="Arial"/>
                <w:sz w:val="20"/>
                <w:szCs w:val="20"/>
                <w:lang w:eastAsia="es-CO"/>
              </w:rPr>
              <w:t xml:space="preserve"> superaron el tope máximo mensual proyectado hasta el mes de diciembre d</w:t>
            </w:r>
            <w:r w:rsidR="00DB6DB0">
              <w:rPr>
                <w:rFonts w:ascii="Century Gothic" w:hAnsi="Century Gothic" w:cs="Arial"/>
                <w:sz w:val="20"/>
                <w:szCs w:val="20"/>
                <w:lang w:eastAsia="es-CO"/>
              </w:rPr>
              <w:t xml:space="preserve">el 2016, por lo tanto </w:t>
            </w:r>
            <w:r w:rsidR="00DB6DB0">
              <w:rPr>
                <w:rFonts w:ascii="Century Gothic" w:hAnsi="Century Gothic" w:cs="Arial"/>
                <w:sz w:val="20"/>
                <w:szCs w:val="20"/>
                <w:lang w:eastAsia="es-CO"/>
              </w:rPr>
              <w:lastRenderedPageBreak/>
              <w:t xml:space="preserve">cada jefe inmediato </w:t>
            </w:r>
            <w:r w:rsidR="00496939">
              <w:rPr>
                <w:rFonts w:ascii="Century Gothic" w:hAnsi="Century Gothic" w:cs="Arial"/>
                <w:sz w:val="20"/>
                <w:szCs w:val="20"/>
                <w:lang w:eastAsia="es-CO"/>
              </w:rPr>
              <w:t>debe realizar seguimiento al gasto privilegiando el uso de medios virtuales, desarrollar</w:t>
            </w:r>
            <w:r w:rsidR="0059414A">
              <w:rPr>
                <w:rFonts w:ascii="Century Gothic" w:hAnsi="Century Gothic" w:cs="Arial"/>
                <w:sz w:val="20"/>
                <w:szCs w:val="20"/>
                <w:lang w:eastAsia="es-CO"/>
              </w:rPr>
              <w:t xml:space="preserve"> estrategias que permita ahorrar y optimizar en desplazamientos del personal.</w:t>
            </w:r>
          </w:p>
          <w:p w:rsidR="00CC12F5" w:rsidRPr="00F47740" w:rsidRDefault="00CC12F5" w:rsidP="00F47740">
            <w:pPr>
              <w:rPr>
                <w:rFonts w:ascii="Century Gothic" w:hAnsi="Century Gothic" w:cs="Arial"/>
                <w:sz w:val="20"/>
                <w:szCs w:val="20"/>
                <w:lang w:val="es-CO" w:eastAsia="es-CO"/>
              </w:rPr>
            </w:pPr>
            <w:bookmarkStart w:id="0" w:name="_GoBack"/>
            <w:r w:rsidRPr="00CC12F5">
              <w:rPr>
                <w:rFonts w:ascii="Century Gothic" w:hAnsi="Century Gothic" w:cs="Arial"/>
                <w:noProof/>
                <w:sz w:val="20"/>
                <w:szCs w:val="20"/>
                <w:lang w:val="es-CO" w:eastAsia="es-CO"/>
              </w:rPr>
              <w:drawing>
                <wp:inline distT="0" distB="0" distL="0" distR="0" wp14:anchorId="7307C659" wp14:editId="588E65FE">
                  <wp:extent cx="6553200" cy="2727808"/>
                  <wp:effectExtent l="0" t="0" r="0"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0"/>
          </w:p>
        </w:tc>
      </w:tr>
      <w:tr w:rsidR="00DD2063" w:rsidRPr="006369FA" w:rsidTr="00E108C2">
        <w:tc>
          <w:tcPr>
            <w:tcW w:w="10632" w:type="dxa"/>
            <w:shd w:val="clear" w:color="auto" w:fill="D9D9D9"/>
            <w:vAlign w:val="center"/>
          </w:tcPr>
          <w:p w:rsidR="00DD2063" w:rsidRPr="004F3EE5" w:rsidRDefault="004F3EE5" w:rsidP="004F3EE5">
            <w:pPr>
              <w:pStyle w:val="Prrafodelista"/>
              <w:numPr>
                <w:ilvl w:val="0"/>
                <w:numId w:val="21"/>
              </w:numPr>
              <w:spacing w:after="0"/>
              <w:ind w:left="318"/>
              <w:rPr>
                <w:rFonts w:ascii="Arial" w:hAnsi="Arial" w:cs="Arial"/>
                <w:b/>
                <w:sz w:val="20"/>
                <w:szCs w:val="20"/>
              </w:rPr>
            </w:pPr>
            <w:r>
              <w:rPr>
                <w:rFonts w:ascii="Arial Narrow" w:hAnsi="Arial Narrow"/>
                <w:b/>
              </w:rPr>
              <w:lastRenderedPageBreak/>
              <w:t>C</w:t>
            </w:r>
            <w:r w:rsidRPr="004F3EE5">
              <w:rPr>
                <w:rFonts w:ascii="Arial Narrow" w:hAnsi="Arial Narrow"/>
                <w:b/>
              </w:rPr>
              <w:t xml:space="preserve">onclusiones y/o </w:t>
            </w:r>
            <w:r>
              <w:rPr>
                <w:rFonts w:ascii="Arial Narrow" w:hAnsi="Arial Narrow"/>
                <w:b/>
              </w:rPr>
              <w:t>R</w:t>
            </w:r>
            <w:r w:rsidRPr="004F3EE5">
              <w:rPr>
                <w:rFonts w:ascii="Arial Narrow" w:hAnsi="Arial Narrow"/>
                <w:b/>
              </w:rPr>
              <w:t>ecomendaciones</w:t>
            </w:r>
          </w:p>
          <w:p w:rsidR="004F3EE5" w:rsidRPr="006369FA" w:rsidRDefault="004F3EE5" w:rsidP="004F3EE5">
            <w:pPr>
              <w:pStyle w:val="Prrafodelista"/>
              <w:spacing w:after="0"/>
              <w:ind w:left="318"/>
              <w:rPr>
                <w:rFonts w:ascii="Arial" w:hAnsi="Arial" w:cs="Arial"/>
                <w:b/>
                <w:sz w:val="20"/>
                <w:szCs w:val="20"/>
              </w:rPr>
            </w:pPr>
          </w:p>
        </w:tc>
      </w:tr>
      <w:tr w:rsidR="00DD2063" w:rsidRPr="006369FA" w:rsidTr="00E108C2">
        <w:tc>
          <w:tcPr>
            <w:tcW w:w="10632" w:type="dxa"/>
            <w:shd w:val="clear" w:color="auto" w:fill="auto"/>
            <w:vAlign w:val="center"/>
          </w:tcPr>
          <w:p w:rsidR="00DD2063" w:rsidRDefault="00DD2063" w:rsidP="00481413">
            <w:pPr>
              <w:rPr>
                <w:rFonts w:ascii="Arial" w:eastAsia="PMingLiU" w:hAnsi="Arial" w:cs="Arial"/>
                <w:bCs/>
                <w:color w:val="0000FF"/>
                <w:sz w:val="20"/>
                <w:szCs w:val="20"/>
              </w:rPr>
            </w:pPr>
          </w:p>
          <w:p w:rsidR="0059414A" w:rsidRDefault="0059414A" w:rsidP="0059414A">
            <w:pPr>
              <w:jc w:val="both"/>
              <w:rPr>
                <w:rFonts w:ascii="Century Gothic" w:hAnsi="Century Gothic" w:cs="Arial"/>
                <w:sz w:val="20"/>
                <w:szCs w:val="20"/>
              </w:rPr>
            </w:pPr>
            <w:r>
              <w:rPr>
                <w:rFonts w:ascii="Century Gothic" w:hAnsi="Century Gothic" w:cs="Arial"/>
                <w:sz w:val="20"/>
                <w:szCs w:val="20"/>
              </w:rPr>
              <w:t>La Oficina de Control Interno presenta e</w:t>
            </w:r>
            <w:r w:rsidRPr="00BF17DA">
              <w:rPr>
                <w:rFonts w:ascii="Century Gothic" w:hAnsi="Century Gothic" w:cs="Arial"/>
                <w:sz w:val="20"/>
                <w:szCs w:val="20"/>
              </w:rPr>
              <w:t xml:space="preserve">n términos generales y </w:t>
            </w:r>
            <w:r>
              <w:rPr>
                <w:rFonts w:ascii="Century Gothic" w:hAnsi="Century Gothic" w:cs="Arial"/>
                <w:sz w:val="20"/>
                <w:szCs w:val="20"/>
              </w:rPr>
              <w:t>de acuerdo al seguimiento realizado y a la información aportada por los distintos procesos, frente al tema de Austeridad en el Gasto, para el primer trimestre de la vigencia 2016</w:t>
            </w:r>
            <w:r w:rsidRPr="00BF17DA">
              <w:rPr>
                <w:rFonts w:ascii="Century Gothic" w:hAnsi="Century Gothic" w:cs="Arial"/>
                <w:sz w:val="20"/>
                <w:szCs w:val="20"/>
              </w:rPr>
              <w:t xml:space="preserve">, </w:t>
            </w:r>
            <w:r>
              <w:rPr>
                <w:rFonts w:ascii="Century Gothic" w:hAnsi="Century Gothic" w:cs="Arial"/>
                <w:sz w:val="20"/>
                <w:szCs w:val="20"/>
              </w:rPr>
              <w:t xml:space="preserve">las siguientes </w:t>
            </w:r>
            <w:r w:rsidR="004E4A90">
              <w:rPr>
                <w:rFonts w:ascii="Century Gothic" w:hAnsi="Century Gothic" w:cs="Arial"/>
                <w:sz w:val="20"/>
                <w:szCs w:val="20"/>
              </w:rPr>
              <w:t>recomendaciones</w:t>
            </w:r>
            <w:r>
              <w:rPr>
                <w:rFonts w:ascii="Century Gothic" w:hAnsi="Century Gothic" w:cs="Arial"/>
                <w:sz w:val="20"/>
                <w:szCs w:val="20"/>
              </w:rPr>
              <w:t>:</w:t>
            </w:r>
          </w:p>
          <w:p w:rsidR="001665DC" w:rsidRPr="001665DC" w:rsidRDefault="00F41602" w:rsidP="001665DC">
            <w:pPr>
              <w:pStyle w:val="Prrafodelista"/>
              <w:numPr>
                <w:ilvl w:val="0"/>
                <w:numId w:val="29"/>
              </w:numPr>
              <w:jc w:val="both"/>
              <w:rPr>
                <w:rFonts w:ascii="Century Gothic" w:hAnsi="Century Gothic" w:cs="Arial"/>
                <w:sz w:val="20"/>
                <w:szCs w:val="20"/>
              </w:rPr>
            </w:pPr>
            <w:r>
              <w:rPr>
                <w:rFonts w:ascii="Century Gothic" w:hAnsi="Century Gothic" w:cs="Arial"/>
                <w:sz w:val="20"/>
                <w:szCs w:val="20"/>
              </w:rPr>
              <w:t>Se solicita fortalecer las medidas de control y seguimiento frente a los gastos que componen el plan de austeridad 2016.</w:t>
            </w:r>
          </w:p>
          <w:p w:rsidR="0059414A" w:rsidRPr="00F41602" w:rsidRDefault="0059414A" w:rsidP="00F41602">
            <w:pPr>
              <w:pStyle w:val="Prrafodelista"/>
              <w:numPr>
                <w:ilvl w:val="0"/>
                <w:numId w:val="29"/>
              </w:numPr>
              <w:jc w:val="both"/>
              <w:rPr>
                <w:rFonts w:ascii="Arial" w:eastAsia="PMingLiU" w:hAnsi="Arial" w:cs="Arial"/>
                <w:bCs/>
                <w:color w:val="0000FF"/>
                <w:sz w:val="20"/>
                <w:szCs w:val="20"/>
              </w:rPr>
            </w:pPr>
            <w:r w:rsidRPr="003C7A88">
              <w:rPr>
                <w:rFonts w:ascii="Century Gothic" w:hAnsi="Century Gothic" w:cs="Arial"/>
                <w:sz w:val="20"/>
                <w:szCs w:val="20"/>
              </w:rPr>
              <w:t xml:space="preserve">Dar cumplimiento </w:t>
            </w:r>
            <w:r w:rsidR="004E4A90">
              <w:rPr>
                <w:rFonts w:ascii="Century Gothic" w:hAnsi="Century Gothic" w:cs="Arial"/>
                <w:sz w:val="20"/>
                <w:szCs w:val="20"/>
              </w:rPr>
              <w:t>a</w:t>
            </w:r>
            <w:r w:rsidRPr="003C7A88">
              <w:rPr>
                <w:rFonts w:ascii="Century Gothic" w:hAnsi="Century Gothic" w:cs="Arial"/>
                <w:sz w:val="20"/>
                <w:szCs w:val="20"/>
              </w:rPr>
              <w:t xml:space="preserve"> las instrucciones de la directiva presidencial </w:t>
            </w:r>
            <w:r>
              <w:rPr>
                <w:rFonts w:ascii="Century Gothic" w:hAnsi="Century Gothic" w:cs="Arial"/>
                <w:sz w:val="20"/>
                <w:szCs w:val="20"/>
              </w:rPr>
              <w:t>01 de 2016</w:t>
            </w:r>
            <w:r w:rsidRPr="003C7A88">
              <w:rPr>
                <w:rFonts w:ascii="Century Gothic" w:hAnsi="Century Gothic" w:cs="Arial"/>
                <w:sz w:val="20"/>
                <w:szCs w:val="20"/>
              </w:rPr>
              <w:t xml:space="preserve"> en materia de reducción de gastos generales, en promover acciones </w:t>
            </w:r>
            <w:r>
              <w:rPr>
                <w:rFonts w:ascii="Century Gothic" w:hAnsi="Century Gothic" w:cs="Arial"/>
                <w:sz w:val="20"/>
                <w:szCs w:val="20"/>
              </w:rPr>
              <w:t xml:space="preserve">estratégicas e </w:t>
            </w:r>
            <w:r w:rsidRPr="003C7A88">
              <w:rPr>
                <w:rFonts w:ascii="Century Gothic" w:hAnsi="Century Gothic" w:cs="Arial"/>
                <w:sz w:val="20"/>
                <w:szCs w:val="20"/>
              </w:rPr>
              <w:t>innovadoras para alcanzar ahorros significativos en los gastos de fun</w:t>
            </w:r>
            <w:r>
              <w:rPr>
                <w:rFonts w:ascii="Century Gothic" w:hAnsi="Century Gothic" w:cs="Arial"/>
                <w:sz w:val="20"/>
                <w:szCs w:val="20"/>
              </w:rPr>
              <w:t xml:space="preserve">cionamiento </w:t>
            </w:r>
            <w:r w:rsidR="004E4A90">
              <w:rPr>
                <w:rFonts w:ascii="Century Gothic" w:hAnsi="Century Gothic" w:cs="Arial"/>
                <w:sz w:val="20"/>
                <w:szCs w:val="20"/>
              </w:rPr>
              <w:t>de la Unidad</w:t>
            </w:r>
            <w:r w:rsidR="00F41602">
              <w:rPr>
                <w:rFonts w:ascii="Century Gothic" w:hAnsi="Century Gothic" w:cs="Arial"/>
                <w:sz w:val="20"/>
                <w:szCs w:val="20"/>
              </w:rPr>
              <w:t>.</w:t>
            </w:r>
          </w:p>
          <w:p w:rsidR="00F41602" w:rsidRPr="00F41602" w:rsidRDefault="00F41602" w:rsidP="00F41602">
            <w:pPr>
              <w:pStyle w:val="Prrafodelista"/>
              <w:numPr>
                <w:ilvl w:val="0"/>
                <w:numId w:val="29"/>
              </w:numPr>
              <w:jc w:val="both"/>
              <w:rPr>
                <w:rFonts w:ascii="Arial" w:eastAsia="PMingLiU" w:hAnsi="Arial" w:cs="Arial"/>
                <w:bCs/>
                <w:color w:val="0000FF"/>
                <w:sz w:val="20"/>
                <w:szCs w:val="20"/>
              </w:rPr>
            </w:pPr>
            <w:r>
              <w:rPr>
                <w:rFonts w:ascii="Century Gothic" w:hAnsi="Century Gothic" w:cs="Arial"/>
                <w:sz w:val="20"/>
                <w:szCs w:val="20"/>
                <w:lang w:eastAsia="es-CO"/>
              </w:rPr>
              <w:t>Desarrollar estrategias que permitan dar cumplimiento al plan de Austeridad 2016 sin descuidar el cumplimiento de las metas establecidas en el plan de acción.</w:t>
            </w:r>
          </w:p>
          <w:p w:rsidR="00DD2063" w:rsidRPr="00843B6E" w:rsidRDefault="0059414A" w:rsidP="00481413">
            <w:pPr>
              <w:pStyle w:val="Prrafodelista"/>
              <w:numPr>
                <w:ilvl w:val="0"/>
                <w:numId w:val="29"/>
              </w:numPr>
              <w:rPr>
                <w:rFonts w:ascii="Arial" w:eastAsia="PMingLiU" w:hAnsi="Arial" w:cs="Arial"/>
                <w:bCs/>
                <w:color w:val="0000FF"/>
                <w:sz w:val="20"/>
                <w:szCs w:val="20"/>
              </w:rPr>
            </w:pPr>
            <w:r w:rsidRPr="0059414A">
              <w:rPr>
                <w:rFonts w:ascii="Century Gothic" w:hAnsi="Century Gothic" w:cs="Arial"/>
                <w:sz w:val="20"/>
                <w:szCs w:val="20"/>
              </w:rPr>
              <w:t>Para futuros seguimientos, emitir respuesta clara y debidamente argumentada de las variaciones presentadas y el cumplimento de las metas del plan de austeridad en el trimestre de cada vigencia con sus respectivos soportes en los tiempos pactados por la OCI.</w:t>
            </w:r>
          </w:p>
        </w:tc>
      </w:tr>
    </w:tbl>
    <w:p w:rsidR="00430BB9" w:rsidRDefault="00430BB9" w:rsidP="00DD2063">
      <w:pPr>
        <w:spacing w:after="0"/>
        <w:rPr>
          <w:rFonts w:ascii="Arial Narrow" w:hAnsi="Arial Narrow"/>
          <w:b/>
        </w:rPr>
      </w:pPr>
    </w:p>
    <w:p w:rsidR="00430BB9" w:rsidRPr="006C54C0" w:rsidRDefault="00430BB9" w:rsidP="00FE4F31">
      <w:pPr>
        <w:spacing w:after="0"/>
        <w:ind w:left="-567"/>
        <w:rPr>
          <w:rFonts w:ascii="Arial" w:hAnsi="Arial" w:cs="Arial"/>
          <w:b/>
        </w:rPr>
      </w:pPr>
      <w:r w:rsidRPr="006C54C0">
        <w:rPr>
          <w:rFonts w:ascii="Arial" w:hAnsi="Arial" w:cs="Arial"/>
          <w:b/>
        </w:rPr>
        <w:t>ANEXOS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481413">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481413">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481413">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481413">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481413">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481413">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481413">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481413">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531EC4" w:rsidRDefault="00531EC4">
      <w:pPr>
        <w:spacing w:after="0"/>
        <w:rPr>
          <w:rFonts w:ascii="Arial Narrow" w:hAnsi="Arial Narrow"/>
          <w:b/>
        </w:rPr>
      </w:pPr>
    </w:p>
    <w:sectPr w:rsidR="00531EC4" w:rsidSect="0082203A">
      <w:headerReference w:type="even" r:id="rId15"/>
      <w:headerReference w:type="default" r:id="rId16"/>
      <w:headerReference w:type="first" r:id="rId17"/>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1A4" w:rsidRDefault="00C721A4">
      <w:pPr>
        <w:spacing w:after="0"/>
      </w:pPr>
      <w:r>
        <w:separator/>
      </w:r>
    </w:p>
  </w:endnote>
  <w:endnote w:type="continuationSeparator" w:id="0">
    <w:p w:rsidR="00C721A4" w:rsidRDefault="00C721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1A4" w:rsidRDefault="00C721A4">
      <w:pPr>
        <w:spacing w:after="0"/>
      </w:pPr>
      <w:r>
        <w:separator/>
      </w:r>
    </w:p>
  </w:footnote>
  <w:footnote w:type="continuationSeparator" w:id="0">
    <w:p w:rsidR="00C721A4" w:rsidRDefault="00C721A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E98" w:rsidRDefault="00485E98">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E98" w:rsidRDefault="00485E98">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485E98" w:rsidTr="00481413">
      <w:trPr>
        <w:trHeight w:val="844"/>
      </w:trPr>
      <w:tc>
        <w:tcPr>
          <w:tcW w:w="3306" w:type="dxa"/>
          <w:vMerge w:val="restart"/>
        </w:tcPr>
        <w:p w:rsidR="00485E98" w:rsidRDefault="00485E98" w:rsidP="0060122A">
          <w:pPr>
            <w:pStyle w:val="Encabezado"/>
            <w:jc w:val="center"/>
          </w:pPr>
          <w:r>
            <w:rPr>
              <w:noProof/>
              <w:lang w:val="es-CO" w:eastAsia="es-CO"/>
            </w:rPr>
            <w:drawing>
              <wp:anchor distT="0" distB="0" distL="114300" distR="114300" simplePos="0" relativeHeight="251660800" behindDoc="0" locked="0" layoutInCell="1" allowOverlap="1" wp14:anchorId="20E53AAB" wp14:editId="15087496">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485E98" w:rsidRPr="009B12B0" w:rsidRDefault="00485E98"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485E98" w:rsidRPr="00075304" w:rsidRDefault="00485E98"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485E98" w:rsidRPr="00075304" w:rsidRDefault="00485E98" w:rsidP="0060122A">
          <w:pPr>
            <w:pStyle w:val="Encabezado"/>
            <w:rPr>
              <w:rFonts w:ascii="Arial" w:hAnsi="Arial" w:cs="Arial"/>
              <w:b/>
              <w:sz w:val="16"/>
              <w:szCs w:val="22"/>
            </w:rPr>
          </w:pPr>
        </w:p>
        <w:p w:rsidR="00485E98" w:rsidRPr="00075304" w:rsidRDefault="00485E98"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485E98" w:rsidRPr="00075304" w:rsidRDefault="00485E98" w:rsidP="0060122A">
          <w:pPr>
            <w:pStyle w:val="Encabezado"/>
            <w:rPr>
              <w:rFonts w:ascii="Arial" w:hAnsi="Arial" w:cs="Arial"/>
              <w:b/>
              <w:sz w:val="16"/>
              <w:szCs w:val="22"/>
            </w:rPr>
          </w:pPr>
        </w:p>
        <w:p w:rsidR="00485E98" w:rsidRPr="0060122A" w:rsidRDefault="00485E98"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485E98" w:rsidRPr="0060122A" w:rsidRDefault="00485E98" w:rsidP="0060122A">
          <w:pPr>
            <w:pStyle w:val="Encabezado"/>
            <w:rPr>
              <w:rFonts w:ascii="Arial" w:hAnsi="Arial" w:cs="Arial"/>
              <w:b/>
              <w:sz w:val="16"/>
              <w:szCs w:val="16"/>
            </w:rPr>
          </w:pPr>
        </w:p>
        <w:p w:rsidR="00485E98" w:rsidRPr="0060122A" w:rsidRDefault="00485E98"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Pr="0060122A">
                <w:rPr>
                  <w:rFonts w:ascii="Arial" w:hAnsi="Arial" w:cs="Arial"/>
                  <w:b/>
                  <w:sz w:val="16"/>
                  <w:szCs w:val="16"/>
                  <w:lang w:val="es-ES"/>
                </w:rPr>
                <w:t>PÁGINA</w:t>
              </w:r>
              <w:r>
                <w:rPr>
                  <w:rFonts w:ascii="Arial" w:hAnsi="Arial" w:cs="Arial"/>
                  <w:b/>
                  <w:sz w:val="16"/>
                  <w:szCs w:val="16"/>
                  <w:lang w:val="es-ES"/>
                </w:rPr>
                <w:t>:</w:t>
              </w:r>
              <w:r w:rsidRPr="0060122A">
                <w:rPr>
                  <w:rFonts w:ascii="Arial" w:hAnsi="Arial" w:cs="Arial"/>
                  <w:b/>
                  <w:sz w:val="16"/>
                  <w:szCs w:val="16"/>
                  <w:lang w:val="es-ES"/>
                </w:rPr>
                <w:t xml:space="preserve"> </w:t>
              </w:r>
              <w:r w:rsidRPr="0060122A">
                <w:rPr>
                  <w:rFonts w:ascii="Arial" w:hAnsi="Arial" w:cs="Arial"/>
                  <w:b/>
                  <w:bCs/>
                  <w:sz w:val="16"/>
                  <w:szCs w:val="16"/>
                </w:rPr>
                <w:fldChar w:fldCharType="begin"/>
              </w:r>
              <w:r w:rsidRPr="0060122A">
                <w:rPr>
                  <w:rFonts w:ascii="Arial" w:hAnsi="Arial" w:cs="Arial"/>
                  <w:b/>
                  <w:bCs/>
                  <w:sz w:val="16"/>
                  <w:szCs w:val="16"/>
                </w:rPr>
                <w:instrText>PAGE</w:instrText>
              </w:r>
              <w:r w:rsidRPr="0060122A">
                <w:rPr>
                  <w:rFonts w:ascii="Arial" w:hAnsi="Arial" w:cs="Arial"/>
                  <w:b/>
                  <w:bCs/>
                  <w:sz w:val="16"/>
                  <w:szCs w:val="16"/>
                </w:rPr>
                <w:fldChar w:fldCharType="separate"/>
              </w:r>
              <w:r w:rsidR="009C6E49">
                <w:rPr>
                  <w:rFonts w:ascii="Arial" w:hAnsi="Arial" w:cs="Arial"/>
                  <w:b/>
                  <w:bCs/>
                  <w:noProof/>
                  <w:sz w:val="16"/>
                  <w:szCs w:val="16"/>
                </w:rPr>
                <w:t>13</w:t>
              </w:r>
              <w:r w:rsidRPr="0060122A">
                <w:rPr>
                  <w:rFonts w:ascii="Arial" w:hAnsi="Arial" w:cs="Arial"/>
                  <w:b/>
                  <w:bCs/>
                  <w:sz w:val="16"/>
                  <w:szCs w:val="16"/>
                </w:rPr>
                <w:fldChar w:fldCharType="end"/>
              </w:r>
              <w:r w:rsidRPr="0060122A">
                <w:rPr>
                  <w:rFonts w:ascii="Arial" w:hAnsi="Arial" w:cs="Arial"/>
                  <w:b/>
                  <w:sz w:val="16"/>
                  <w:szCs w:val="16"/>
                  <w:lang w:val="es-ES"/>
                </w:rPr>
                <w:t xml:space="preserve"> de </w:t>
              </w:r>
              <w:r w:rsidRPr="0060122A">
                <w:rPr>
                  <w:rFonts w:ascii="Arial" w:hAnsi="Arial" w:cs="Arial"/>
                  <w:b/>
                  <w:bCs/>
                  <w:sz w:val="16"/>
                  <w:szCs w:val="16"/>
                </w:rPr>
                <w:fldChar w:fldCharType="begin"/>
              </w:r>
              <w:r w:rsidRPr="0060122A">
                <w:rPr>
                  <w:rFonts w:ascii="Arial" w:hAnsi="Arial" w:cs="Arial"/>
                  <w:b/>
                  <w:bCs/>
                  <w:sz w:val="16"/>
                  <w:szCs w:val="16"/>
                </w:rPr>
                <w:instrText>NUMPAGES</w:instrText>
              </w:r>
              <w:r w:rsidRPr="0060122A">
                <w:rPr>
                  <w:rFonts w:ascii="Arial" w:hAnsi="Arial" w:cs="Arial"/>
                  <w:b/>
                  <w:bCs/>
                  <w:sz w:val="16"/>
                  <w:szCs w:val="16"/>
                </w:rPr>
                <w:fldChar w:fldCharType="separate"/>
              </w:r>
              <w:r w:rsidR="009C6E49">
                <w:rPr>
                  <w:rFonts w:ascii="Arial" w:hAnsi="Arial" w:cs="Arial"/>
                  <w:b/>
                  <w:bCs/>
                  <w:noProof/>
                  <w:sz w:val="16"/>
                  <w:szCs w:val="16"/>
                </w:rPr>
                <w:t>13</w:t>
              </w:r>
              <w:r w:rsidRPr="0060122A">
                <w:rPr>
                  <w:rFonts w:ascii="Arial" w:hAnsi="Arial" w:cs="Arial"/>
                  <w:b/>
                  <w:bCs/>
                  <w:sz w:val="16"/>
                  <w:szCs w:val="16"/>
                </w:rPr>
                <w:fldChar w:fldCharType="end"/>
              </w:r>
            </w:sdtContent>
          </w:sdt>
        </w:p>
        <w:p w:rsidR="00485E98" w:rsidRPr="00171E31" w:rsidRDefault="00485E98" w:rsidP="0060122A">
          <w:pPr>
            <w:pStyle w:val="Encabezado"/>
            <w:rPr>
              <w:rFonts w:ascii="Arial" w:hAnsi="Arial" w:cs="Arial"/>
              <w:b/>
              <w:sz w:val="16"/>
              <w:szCs w:val="22"/>
            </w:rPr>
          </w:pPr>
          <w:r w:rsidRPr="00171E31">
            <w:rPr>
              <w:rFonts w:ascii="Arial" w:hAnsi="Arial" w:cs="Arial"/>
              <w:b/>
              <w:sz w:val="16"/>
              <w:szCs w:val="22"/>
            </w:rPr>
            <w:t xml:space="preserve"> </w:t>
          </w:r>
        </w:p>
      </w:tc>
    </w:tr>
    <w:tr w:rsidR="00485E98" w:rsidTr="00481413">
      <w:trPr>
        <w:trHeight w:val="557"/>
      </w:trPr>
      <w:tc>
        <w:tcPr>
          <w:tcW w:w="3306" w:type="dxa"/>
          <w:vMerge/>
        </w:tcPr>
        <w:p w:rsidR="00485E98" w:rsidRDefault="00485E98" w:rsidP="0060122A">
          <w:pPr>
            <w:pStyle w:val="Encabezado"/>
            <w:jc w:val="center"/>
            <w:rPr>
              <w:noProof/>
              <w:lang w:val="es-CO" w:eastAsia="es-CO"/>
            </w:rPr>
          </w:pPr>
        </w:p>
      </w:tc>
      <w:tc>
        <w:tcPr>
          <w:tcW w:w="4962" w:type="dxa"/>
          <w:vAlign w:val="center"/>
        </w:tcPr>
        <w:p w:rsidR="00485E98" w:rsidRDefault="00485E98"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485E98" w:rsidRPr="005174B1" w:rsidRDefault="00485E98" w:rsidP="0060122A">
          <w:pPr>
            <w:pStyle w:val="Encabezado"/>
            <w:rPr>
              <w:rFonts w:ascii="Arial" w:hAnsi="Arial" w:cs="Arial"/>
              <w:b/>
              <w:sz w:val="20"/>
              <w:szCs w:val="22"/>
            </w:rPr>
          </w:pPr>
        </w:p>
      </w:tc>
    </w:tr>
  </w:tbl>
  <w:p w:rsidR="00485E98" w:rsidRPr="00BB156A" w:rsidRDefault="00485E98"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E98" w:rsidRDefault="00485E98">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10CE"/>
    <w:multiLevelType w:val="multilevel"/>
    <w:tmpl w:val="AA701356"/>
    <w:lvl w:ilvl="0">
      <w:start w:val="1"/>
      <w:numFmt w:val="decimal"/>
      <w:lvlText w:val="%1."/>
      <w:lvlJc w:val="left"/>
      <w:pPr>
        <w:ind w:left="495" w:hanging="495"/>
      </w:pPr>
      <w:rPr>
        <w:rFonts w:cs="Arial" w:hint="default"/>
      </w:rPr>
    </w:lvl>
    <w:lvl w:ilvl="1">
      <w:start w:val="2"/>
      <w:numFmt w:val="decimal"/>
      <w:lvlText w:val="%1.%2."/>
      <w:lvlJc w:val="left"/>
      <w:pPr>
        <w:ind w:left="495" w:hanging="495"/>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FE4E97"/>
    <w:multiLevelType w:val="hybridMultilevel"/>
    <w:tmpl w:val="945C154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B677FDE"/>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40F18D8"/>
    <w:multiLevelType w:val="hybridMultilevel"/>
    <w:tmpl w:val="6298F280"/>
    <w:lvl w:ilvl="0" w:tplc="BB0C3868">
      <w:start w:val="1"/>
      <w:numFmt w:val="decimal"/>
      <w:lvlText w:val="%1."/>
      <w:lvlJc w:val="left"/>
      <w:pPr>
        <w:ind w:left="720" w:hanging="360"/>
      </w:pPr>
      <w:rPr>
        <w:rFonts w:ascii="Century Gothic" w:eastAsia="Cambria" w:hAnsi="Century Gothic"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9206B61"/>
    <w:multiLevelType w:val="hybridMultilevel"/>
    <w:tmpl w:val="580E62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2">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4">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FBD5458"/>
    <w:multiLevelType w:val="multilevel"/>
    <w:tmpl w:val="E48C87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8">
    <w:nsid w:val="5BA93E5B"/>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2">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6">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1"/>
  </w:num>
  <w:num w:numId="2">
    <w:abstractNumId w:val="3"/>
  </w:num>
  <w:num w:numId="3">
    <w:abstractNumId w:val="10"/>
  </w:num>
  <w:num w:numId="4">
    <w:abstractNumId w:val="14"/>
  </w:num>
  <w:num w:numId="5">
    <w:abstractNumId w:val="26"/>
  </w:num>
  <w:num w:numId="6">
    <w:abstractNumId w:val="16"/>
  </w:num>
  <w:num w:numId="7">
    <w:abstractNumId w:val="12"/>
  </w:num>
  <w:num w:numId="8">
    <w:abstractNumId w:val="8"/>
  </w:num>
  <w:num w:numId="9">
    <w:abstractNumId w:val="7"/>
  </w:num>
  <w:num w:numId="10">
    <w:abstractNumId w:val="19"/>
  </w:num>
  <w:num w:numId="11">
    <w:abstractNumId w:val="20"/>
  </w:num>
  <w:num w:numId="12">
    <w:abstractNumId w:val="23"/>
  </w:num>
  <w:num w:numId="13">
    <w:abstractNumId w:val="11"/>
  </w:num>
  <w:num w:numId="14">
    <w:abstractNumId w:val="4"/>
  </w:num>
  <w:num w:numId="15">
    <w:abstractNumId w:val="17"/>
  </w:num>
  <w:num w:numId="16">
    <w:abstractNumId w:val="24"/>
  </w:num>
  <w:num w:numId="17">
    <w:abstractNumId w:val="27"/>
  </w:num>
  <w:num w:numId="18">
    <w:abstractNumId w:val="22"/>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
  </w:num>
  <w:num w:numId="23">
    <w:abstractNumId w:val="18"/>
  </w:num>
  <w:num w:numId="24">
    <w:abstractNumId w:val="0"/>
  </w:num>
  <w:num w:numId="25">
    <w:abstractNumId w:val="15"/>
  </w:num>
  <w:num w:numId="26">
    <w:abstractNumId w:val="13"/>
  </w:num>
  <w:num w:numId="27">
    <w:abstractNumId w:val="9"/>
  </w:num>
  <w:num w:numId="28">
    <w:abstractNumId w:val="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11707"/>
    <w:rsid w:val="00021FA0"/>
    <w:rsid w:val="00033FB4"/>
    <w:rsid w:val="00035906"/>
    <w:rsid w:val="00037309"/>
    <w:rsid w:val="00046E51"/>
    <w:rsid w:val="00060535"/>
    <w:rsid w:val="00064EBC"/>
    <w:rsid w:val="00072130"/>
    <w:rsid w:val="00075304"/>
    <w:rsid w:val="00084629"/>
    <w:rsid w:val="00096A9C"/>
    <w:rsid w:val="00096E13"/>
    <w:rsid w:val="000A3C94"/>
    <w:rsid w:val="000A4528"/>
    <w:rsid w:val="000A66DC"/>
    <w:rsid w:val="000B13CD"/>
    <w:rsid w:val="000B1B69"/>
    <w:rsid w:val="000B1CAA"/>
    <w:rsid w:val="000B4A01"/>
    <w:rsid w:val="000C4045"/>
    <w:rsid w:val="000D0D69"/>
    <w:rsid w:val="000D5FE0"/>
    <w:rsid w:val="000F0DF4"/>
    <w:rsid w:val="000F10D2"/>
    <w:rsid w:val="000F1D5D"/>
    <w:rsid w:val="000F539E"/>
    <w:rsid w:val="0010206D"/>
    <w:rsid w:val="00103297"/>
    <w:rsid w:val="00110BEE"/>
    <w:rsid w:val="001111BB"/>
    <w:rsid w:val="00135323"/>
    <w:rsid w:val="001454BC"/>
    <w:rsid w:val="00145604"/>
    <w:rsid w:val="001458AE"/>
    <w:rsid w:val="00151F9E"/>
    <w:rsid w:val="00156DDE"/>
    <w:rsid w:val="001665DC"/>
    <w:rsid w:val="00166B8B"/>
    <w:rsid w:val="00166DE2"/>
    <w:rsid w:val="0017127A"/>
    <w:rsid w:val="00171E31"/>
    <w:rsid w:val="00177334"/>
    <w:rsid w:val="00180B3E"/>
    <w:rsid w:val="00182C88"/>
    <w:rsid w:val="00187F9F"/>
    <w:rsid w:val="001942E2"/>
    <w:rsid w:val="001A4320"/>
    <w:rsid w:val="001A4AB9"/>
    <w:rsid w:val="001B1713"/>
    <w:rsid w:val="001B3AE0"/>
    <w:rsid w:val="001C2753"/>
    <w:rsid w:val="001E6DEC"/>
    <w:rsid w:val="001F5D33"/>
    <w:rsid w:val="001F5E23"/>
    <w:rsid w:val="002006B0"/>
    <w:rsid w:val="00217165"/>
    <w:rsid w:val="0022123A"/>
    <w:rsid w:val="00244CA1"/>
    <w:rsid w:val="00256F9F"/>
    <w:rsid w:val="00260188"/>
    <w:rsid w:val="00270072"/>
    <w:rsid w:val="00273C21"/>
    <w:rsid w:val="00286317"/>
    <w:rsid w:val="00296C9A"/>
    <w:rsid w:val="00297BFC"/>
    <w:rsid w:val="002A08EF"/>
    <w:rsid w:val="002B7A41"/>
    <w:rsid w:val="002C241F"/>
    <w:rsid w:val="002F2E76"/>
    <w:rsid w:val="002F54DA"/>
    <w:rsid w:val="00310AE4"/>
    <w:rsid w:val="00315DEC"/>
    <w:rsid w:val="00323090"/>
    <w:rsid w:val="00327D50"/>
    <w:rsid w:val="00330E79"/>
    <w:rsid w:val="00331C1E"/>
    <w:rsid w:val="00332CC0"/>
    <w:rsid w:val="003653B5"/>
    <w:rsid w:val="00376A9C"/>
    <w:rsid w:val="00377591"/>
    <w:rsid w:val="00377A6E"/>
    <w:rsid w:val="003900A2"/>
    <w:rsid w:val="003A37A9"/>
    <w:rsid w:val="003B0748"/>
    <w:rsid w:val="003B7FFD"/>
    <w:rsid w:val="003C4CA7"/>
    <w:rsid w:val="003C70E9"/>
    <w:rsid w:val="003C7D7B"/>
    <w:rsid w:val="003D265E"/>
    <w:rsid w:val="003E78BD"/>
    <w:rsid w:val="003F0155"/>
    <w:rsid w:val="003F071E"/>
    <w:rsid w:val="003F3194"/>
    <w:rsid w:val="003F6F32"/>
    <w:rsid w:val="0040100D"/>
    <w:rsid w:val="00430BB9"/>
    <w:rsid w:val="00433975"/>
    <w:rsid w:val="004561AA"/>
    <w:rsid w:val="00456BAA"/>
    <w:rsid w:val="00466EC7"/>
    <w:rsid w:val="00471AC5"/>
    <w:rsid w:val="00476DD6"/>
    <w:rsid w:val="004806A4"/>
    <w:rsid w:val="00481413"/>
    <w:rsid w:val="00485E98"/>
    <w:rsid w:val="00496939"/>
    <w:rsid w:val="004A484F"/>
    <w:rsid w:val="004B7E93"/>
    <w:rsid w:val="004D48A0"/>
    <w:rsid w:val="004E2D95"/>
    <w:rsid w:val="004E374A"/>
    <w:rsid w:val="004E4A90"/>
    <w:rsid w:val="004F3EE5"/>
    <w:rsid w:val="0050432D"/>
    <w:rsid w:val="005174B1"/>
    <w:rsid w:val="00530671"/>
    <w:rsid w:val="00531EC4"/>
    <w:rsid w:val="00537B8F"/>
    <w:rsid w:val="005427E4"/>
    <w:rsid w:val="00560C49"/>
    <w:rsid w:val="00566B02"/>
    <w:rsid w:val="00571C03"/>
    <w:rsid w:val="005852F6"/>
    <w:rsid w:val="00590A54"/>
    <w:rsid w:val="0059414A"/>
    <w:rsid w:val="005A6567"/>
    <w:rsid w:val="005C1358"/>
    <w:rsid w:val="005C27AA"/>
    <w:rsid w:val="005C3375"/>
    <w:rsid w:val="005D0581"/>
    <w:rsid w:val="005D5EC5"/>
    <w:rsid w:val="005E2624"/>
    <w:rsid w:val="005E5AA4"/>
    <w:rsid w:val="005E6CDC"/>
    <w:rsid w:val="005F1C58"/>
    <w:rsid w:val="0060122A"/>
    <w:rsid w:val="00602963"/>
    <w:rsid w:val="00614BA9"/>
    <w:rsid w:val="00625C6E"/>
    <w:rsid w:val="0062603B"/>
    <w:rsid w:val="00626674"/>
    <w:rsid w:val="00643B53"/>
    <w:rsid w:val="006503C9"/>
    <w:rsid w:val="0065202F"/>
    <w:rsid w:val="00654A67"/>
    <w:rsid w:val="00657EEC"/>
    <w:rsid w:val="00666ED3"/>
    <w:rsid w:val="00670191"/>
    <w:rsid w:val="006765EC"/>
    <w:rsid w:val="00681E11"/>
    <w:rsid w:val="00682B06"/>
    <w:rsid w:val="006A06E8"/>
    <w:rsid w:val="006A6B5D"/>
    <w:rsid w:val="006B1949"/>
    <w:rsid w:val="006B359A"/>
    <w:rsid w:val="006B5344"/>
    <w:rsid w:val="006B53A1"/>
    <w:rsid w:val="006D46AA"/>
    <w:rsid w:val="006F19C5"/>
    <w:rsid w:val="006F3883"/>
    <w:rsid w:val="00704B2C"/>
    <w:rsid w:val="0072262D"/>
    <w:rsid w:val="007229DA"/>
    <w:rsid w:val="0073750F"/>
    <w:rsid w:val="00740283"/>
    <w:rsid w:val="00747838"/>
    <w:rsid w:val="00747B98"/>
    <w:rsid w:val="00751137"/>
    <w:rsid w:val="00752678"/>
    <w:rsid w:val="0076015E"/>
    <w:rsid w:val="007722AB"/>
    <w:rsid w:val="00773A6A"/>
    <w:rsid w:val="007817F2"/>
    <w:rsid w:val="00792049"/>
    <w:rsid w:val="00792591"/>
    <w:rsid w:val="007A541D"/>
    <w:rsid w:val="007B41D7"/>
    <w:rsid w:val="007C14BE"/>
    <w:rsid w:val="007C2D0E"/>
    <w:rsid w:val="007D58DF"/>
    <w:rsid w:val="007E52D0"/>
    <w:rsid w:val="007E75CF"/>
    <w:rsid w:val="00803762"/>
    <w:rsid w:val="00807908"/>
    <w:rsid w:val="008115E2"/>
    <w:rsid w:val="0082203A"/>
    <w:rsid w:val="008275CD"/>
    <w:rsid w:val="0083363E"/>
    <w:rsid w:val="00843B6E"/>
    <w:rsid w:val="00846532"/>
    <w:rsid w:val="008532B5"/>
    <w:rsid w:val="00867395"/>
    <w:rsid w:val="00872468"/>
    <w:rsid w:val="00874A09"/>
    <w:rsid w:val="008753A4"/>
    <w:rsid w:val="00890624"/>
    <w:rsid w:val="008A0111"/>
    <w:rsid w:val="008A1394"/>
    <w:rsid w:val="008A2C90"/>
    <w:rsid w:val="008A3595"/>
    <w:rsid w:val="008B02DD"/>
    <w:rsid w:val="008B7C4A"/>
    <w:rsid w:val="008C0846"/>
    <w:rsid w:val="008C4155"/>
    <w:rsid w:val="008C4FB9"/>
    <w:rsid w:val="008D4BC2"/>
    <w:rsid w:val="008D503C"/>
    <w:rsid w:val="008D5E24"/>
    <w:rsid w:val="008D7797"/>
    <w:rsid w:val="008D7AF3"/>
    <w:rsid w:val="008E3801"/>
    <w:rsid w:val="008E63F2"/>
    <w:rsid w:val="008E64E5"/>
    <w:rsid w:val="00912704"/>
    <w:rsid w:val="00914524"/>
    <w:rsid w:val="00914568"/>
    <w:rsid w:val="00920FC9"/>
    <w:rsid w:val="009218B3"/>
    <w:rsid w:val="00930F5A"/>
    <w:rsid w:val="00934FEF"/>
    <w:rsid w:val="00951306"/>
    <w:rsid w:val="009532C3"/>
    <w:rsid w:val="00955B94"/>
    <w:rsid w:val="009572B0"/>
    <w:rsid w:val="00967358"/>
    <w:rsid w:val="00973EA6"/>
    <w:rsid w:val="0097776E"/>
    <w:rsid w:val="009872C3"/>
    <w:rsid w:val="00991484"/>
    <w:rsid w:val="00992231"/>
    <w:rsid w:val="0099431D"/>
    <w:rsid w:val="00994DA6"/>
    <w:rsid w:val="009B12B0"/>
    <w:rsid w:val="009C6E49"/>
    <w:rsid w:val="009C6F9B"/>
    <w:rsid w:val="009D4572"/>
    <w:rsid w:val="009D7818"/>
    <w:rsid w:val="009E0C76"/>
    <w:rsid w:val="009E22F1"/>
    <w:rsid w:val="009E642B"/>
    <w:rsid w:val="009F1005"/>
    <w:rsid w:val="00A00E59"/>
    <w:rsid w:val="00A10129"/>
    <w:rsid w:val="00A103B8"/>
    <w:rsid w:val="00A16F07"/>
    <w:rsid w:val="00A22072"/>
    <w:rsid w:val="00A4098B"/>
    <w:rsid w:val="00A50231"/>
    <w:rsid w:val="00A53B74"/>
    <w:rsid w:val="00A544CE"/>
    <w:rsid w:val="00A56495"/>
    <w:rsid w:val="00A57572"/>
    <w:rsid w:val="00A65066"/>
    <w:rsid w:val="00A76CD1"/>
    <w:rsid w:val="00A82B2F"/>
    <w:rsid w:val="00A923B4"/>
    <w:rsid w:val="00AC155D"/>
    <w:rsid w:val="00AC731D"/>
    <w:rsid w:val="00AE266C"/>
    <w:rsid w:val="00AE5A2F"/>
    <w:rsid w:val="00AF13C9"/>
    <w:rsid w:val="00AF28B3"/>
    <w:rsid w:val="00B0504F"/>
    <w:rsid w:val="00B05283"/>
    <w:rsid w:val="00B07556"/>
    <w:rsid w:val="00B17087"/>
    <w:rsid w:val="00B22CFC"/>
    <w:rsid w:val="00B322E7"/>
    <w:rsid w:val="00B349DE"/>
    <w:rsid w:val="00B40884"/>
    <w:rsid w:val="00B42314"/>
    <w:rsid w:val="00B62DC6"/>
    <w:rsid w:val="00B818DE"/>
    <w:rsid w:val="00B84145"/>
    <w:rsid w:val="00B877BD"/>
    <w:rsid w:val="00B877CC"/>
    <w:rsid w:val="00B91F95"/>
    <w:rsid w:val="00BB156A"/>
    <w:rsid w:val="00BB2D1B"/>
    <w:rsid w:val="00BC0D1E"/>
    <w:rsid w:val="00BD027D"/>
    <w:rsid w:val="00BD2535"/>
    <w:rsid w:val="00BE0573"/>
    <w:rsid w:val="00BF4194"/>
    <w:rsid w:val="00C109E9"/>
    <w:rsid w:val="00C17081"/>
    <w:rsid w:val="00C2751D"/>
    <w:rsid w:val="00C43BAF"/>
    <w:rsid w:val="00C55B7B"/>
    <w:rsid w:val="00C71EBB"/>
    <w:rsid w:val="00C721A4"/>
    <w:rsid w:val="00C73F46"/>
    <w:rsid w:val="00C7450E"/>
    <w:rsid w:val="00C87C6F"/>
    <w:rsid w:val="00C91CCB"/>
    <w:rsid w:val="00C97A50"/>
    <w:rsid w:val="00CA5788"/>
    <w:rsid w:val="00CA78B6"/>
    <w:rsid w:val="00CA7E74"/>
    <w:rsid w:val="00CB1814"/>
    <w:rsid w:val="00CB5C3D"/>
    <w:rsid w:val="00CC12F5"/>
    <w:rsid w:val="00CC75CC"/>
    <w:rsid w:val="00CD73A2"/>
    <w:rsid w:val="00CD7616"/>
    <w:rsid w:val="00CE151D"/>
    <w:rsid w:val="00CF4401"/>
    <w:rsid w:val="00CF526F"/>
    <w:rsid w:val="00D072E5"/>
    <w:rsid w:val="00D14AD4"/>
    <w:rsid w:val="00D15C90"/>
    <w:rsid w:val="00D17B0F"/>
    <w:rsid w:val="00D2285A"/>
    <w:rsid w:val="00D304E0"/>
    <w:rsid w:val="00D30871"/>
    <w:rsid w:val="00D45786"/>
    <w:rsid w:val="00D4622D"/>
    <w:rsid w:val="00D55146"/>
    <w:rsid w:val="00D56A39"/>
    <w:rsid w:val="00D60CE9"/>
    <w:rsid w:val="00D6225E"/>
    <w:rsid w:val="00D62C30"/>
    <w:rsid w:val="00D65E24"/>
    <w:rsid w:val="00D73F0B"/>
    <w:rsid w:val="00D7687A"/>
    <w:rsid w:val="00D84A48"/>
    <w:rsid w:val="00D851C8"/>
    <w:rsid w:val="00D86B29"/>
    <w:rsid w:val="00DA125E"/>
    <w:rsid w:val="00DB6DB0"/>
    <w:rsid w:val="00DC11C0"/>
    <w:rsid w:val="00DC63E8"/>
    <w:rsid w:val="00DD0C05"/>
    <w:rsid w:val="00DD2063"/>
    <w:rsid w:val="00DF0635"/>
    <w:rsid w:val="00DF61CF"/>
    <w:rsid w:val="00DF7F68"/>
    <w:rsid w:val="00E02216"/>
    <w:rsid w:val="00E108C2"/>
    <w:rsid w:val="00E112D4"/>
    <w:rsid w:val="00E23353"/>
    <w:rsid w:val="00E23CF9"/>
    <w:rsid w:val="00E50204"/>
    <w:rsid w:val="00E52BA4"/>
    <w:rsid w:val="00E619FD"/>
    <w:rsid w:val="00E65C24"/>
    <w:rsid w:val="00E71BBA"/>
    <w:rsid w:val="00E72035"/>
    <w:rsid w:val="00E73C1B"/>
    <w:rsid w:val="00E74B4F"/>
    <w:rsid w:val="00E80823"/>
    <w:rsid w:val="00E82F7C"/>
    <w:rsid w:val="00EA189F"/>
    <w:rsid w:val="00EA7502"/>
    <w:rsid w:val="00EB2102"/>
    <w:rsid w:val="00EB298A"/>
    <w:rsid w:val="00EB7616"/>
    <w:rsid w:val="00EC5791"/>
    <w:rsid w:val="00ED520D"/>
    <w:rsid w:val="00ED60C3"/>
    <w:rsid w:val="00ED66AB"/>
    <w:rsid w:val="00EE169F"/>
    <w:rsid w:val="00EE192F"/>
    <w:rsid w:val="00F237D2"/>
    <w:rsid w:val="00F338AD"/>
    <w:rsid w:val="00F41602"/>
    <w:rsid w:val="00F47740"/>
    <w:rsid w:val="00F5099C"/>
    <w:rsid w:val="00F65943"/>
    <w:rsid w:val="00F65D55"/>
    <w:rsid w:val="00F677DF"/>
    <w:rsid w:val="00F75054"/>
    <w:rsid w:val="00F8093F"/>
    <w:rsid w:val="00FA23DC"/>
    <w:rsid w:val="00FB47CA"/>
    <w:rsid w:val="00FB7544"/>
    <w:rsid w:val="00FC23F7"/>
    <w:rsid w:val="00FD20D7"/>
    <w:rsid w:val="00FD40C2"/>
    <w:rsid w:val="00FD639F"/>
    <w:rsid w:val="00FE4F31"/>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53A3ABA-4496-4BE8-9545-40CA0CF1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F8093F"/>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uiPriority w:val="9"/>
    <w:semiHidden/>
    <w:unhideWhenUsed/>
    <w:qFormat/>
    <w:rsid w:val="00F809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Ttulo1Car">
    <w:name w:val="Título 1 Car"/>
    <w:basedOn w:val="Fuentedeprrafopredeter"/>
    <w:link w:val="Ttulo1"/>
    <w:uiPriority w:val="9"/>
    <w:rsid w:val="00F8093F"/>
    <w:rPr>
      <w:rFonts w:ascii="Arial Narrow" w:eastAsia="Times New Roman" w:hAnsi="Arial Narrow"/>
      <w:b/>
      <w:bCs/>
      <w:sz w:val="14"/>
      <w:szCs w:val="24"/>
    </w:rPr>
  </w:style>
  <w:style w:type="character" w:customStyle="1" w:styleId="Ttulo2Car">
    <w:name w:val="Título 2 Car"/>
    <w:basedOn w:val="Fuentedeprrafopredeter"/>
    <w:link w:val="Ttulo2"/>
    <w:uiPriority w:val="9"/>
    <w:semiHidden/>
    <w:rsid w:val="00F8093F"/>
    <w:rPr>
      <w:rFonts w:asciiTheme="majorHAnsi" w:eastAsiaTheme="majorEastAsia" w:hAnsiTheme="majorHAnsi" w:cstheme="majorBidi"/>
      <w:color w:val="365F91" w:themeColor="accent1" w:themeShade="BF"/>
      <w:sz w:val="26"/>
      <w:szCs w:val="26"/>
      <w:lang w:val="es-ES_tradnl" w:eastAsia="en-US"/>
    </w:rPr>
  </w:style>
  <w:style w:type="character" w:styleId="nfasis">
    <w:name w:val="Emphasis"/>
    <w:qFormat/>
    <w:rsid w:val="00F809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7392">
      <w:bodyDiv w:val="1"/>
      <w:marLeft w:val="0"/>
      <w:marRight w:val="0"/>
      <w:marTop w:val="0"/>
      <w:marBottom w:val="0"/>
      <w:divBdr>
        <w:top w:val="none" w:sz="0" w:space="0" w:color="auto"/>
        <w:left w:val="none" w:sz="0" w:space="0" w:color="auto"/>
        <w:bottom w:val="none" w:sz="0" w:space="0" w:color="auto"/>
        <w:right w:val="none" w:sz="0" w:space="0" w:color="auto"/>
      </w:divBdr>
    </w:div>
    <w:div w:id="43140989">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35437575">
      <w:bodyDiv w:val="1"/>
      <w:marLeft w:val="0"/>
      <w:marRight w:val="0"/>
      <w:marTop w:val="0"/>
      <w:marBottom w:val="0"/>
      <w:divBdr>
        <w:top w:val="none" w:sz="0" w:space="0" w:color="auto"/>
        <w:left w:val="none" w:sz="0" w:space="0" w:color="auto"/>
        <w:bottom w:val="none" w:sz="0" w:space="0" w:color="auto"/>
        <w:right w:val="none" w:sz="0" w:space="0" w:color="auto"/>
      </w:divBdr>
    </w:div>
    <w:div w:id="328365358">
      <w:bodyDiv w:val="1"/>
      <w:marLeft w:val="0"/>
      <w:marRight w:val="0"/>
      <w:marTop w:val="0"/>
      <w:marBottom w:val="0"/>
      <w:divBdr>
        <w:top w:val="none" w:sz="0" w:space="0" w:color="auto"/>
        <w:left w:val="none" w:sz="0" w:space="0" w:color="auto"/>
        <w:bottom w:val="none" w:sz="0" w:space="0" w:color="auto"/>
        <w:right w:val="none" w:sz="0" w:space="0" w:color="auto"/>
      </w:divBdr>
    </w:div>
    <w:div w:id="398990205">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3714324">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6036366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06086499">
      <w:bodyDiv w:val="1"/>
      <w:marLeft w:val="0"/>
      <w:marRight w:val="0"/>
      <w:marTop w:val="0"/>
      <w:marBottom w:val="0"/>
      <w:divBdr>
        <w:top w:val="none" w:sz="0" w:space="0" w:color="auto"/>
        <w:left w:val="none" w:sz="0" w:space="0" w:color="auto"/>
        <w:bottom w:val="none" w:sz="0" w:space="0" w:color="auto"/>
        <w:right w:val="none" w:sz="0" w:space="0" w:color="auto"/>
      </w:divBdr>
    </w:div>
    <w:div w:id="615524936">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68356233">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8647493">
      <w:bodyDiv w:val="1"/>
      <w:marLeft w:val="0"/>
      <w:marRight w:val="0"/>
      <w:marTop w:val="0"/>
      <w:marBottom w:val="0"/>
      <w:divBdr>
        <w:top w:val="none" w:sz="0" w:space="0" w:color="auto"/>
        <w:left w:val="none" w:sz="0" w:space="0" w:color="auto"/>
        <w:bottom w:val="none" w:sz="0" w:space="0" w:color="auto"/>
        <w:right w:val="none" w:sz="0" w:space="0" w:color="auto"/>
      </w:divBdr>
    </w:div>
    <w:div w:id="85696247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889926142">
      <w:bodyDiv w:val="1"/>
      <w:marLeft w:val="0"/>
      <w:marRight w:val="0"/>
      <w:marTop w:val="0"/>
      <w:marBottom w:val="0"/>
      <w:divBdr>
        <w:top w:val="none" w:sz="0" w:space="0" w:color="auto"/>
        <w:left w:val="none" w:sz="0" w:space="0" w:color="auto"/>
        <w:bottom w:val="none" w:sz="0" w:space="0" w:color="auto"/>
        <w:right w:val="none" w:sz="0" w:space="0" w:color="auto"/>
      </w:divBdr>
    </w:div>
    <w:div w:id="904754987">
      <w:bodyDiv w:val="1"/>
      <w:marLeft w:val="0"/>
      <w:marRight w:val="0"/>
      <w:marTop w:val="0"/>
      <w:marBottom w:val="0"/>
      <w:divBdr>
        <w:top w:val="none" w:sz="0" w:space="0" w:color="auto"/>
        <w:left w:val="none" w:sz="0" w:space="0" w:color="auto"/>
        <w:bottom w:val="none" w:sz="0" w:space="0" w:color="auto"/>
        <w:right w:val="none" w:sz="0" w:space="0" w:color="auto"/>
      </w:divBdr>
    </w:div>
    <w:div w:id="973950378">
      <w:bodyDiv w:val="1"/>
      <w:marLeft w:val="0"/>
      <w:marRight w:val="0"/>
      <w:marTop w:val="0"/>
      <w:marBottom w:val="0"/>
      <w:divBdr>
        <w:top w:val="none" w:sz="0" w:space="0" w:color="auto"/>
        <w:left w:val="none" w:sz="0" w:space="0" w:color="auto"/>
        <w:bottom w:val="none" w:sz="0" w:space="0" w:color="auto"/>
        <w:right w:val="none" w:sz="0" w:space="0" w:color="auto"/>
      </w:divBdr>
    </w:div>
    <w:div w:id="978339069">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5522872">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97098695">
      <w:bodyDiv w:val="1"/>
      <w:marLeft w:val="0"/>
      <w:marRight w:val="0"/>
      <w:marTop w:val="0"/>
      <w:marBottom w:val="0"/>
      <w:divBdr>
        <w:top w:val="none" w:sz="0" w:space="0" w:color="auto"/>
        <w:left w:val="none" w:sz="0" w:space="0" w:color="auto"/>
        <w:bottom w:val="none" w:sz="0" w:space="0" w:color="auto"/>
        <w:right w:val="none" w:sz="0" w:space="0" w:color="auto"/>
      </w:divBdr>
    </w:div>
    <w:div w:id="1190527643">
      <w:bodyDiv w:val="1"/>
      <w:marLeft w:val="0"/>
      <w:marRight w:val="0"/>
      <w:marTop w:val="0"/>
      <w:marBottom w:val="0"/>
      <w:divBdr>
        <w:top w:val="none" w:sz="0" w:space="0" w:color="auto"/>
        <w:left w:val="none" w:sz="0" w:space="0" w:color="auto"/>
        <w:bottom w:val="none" w:sz="0" w:space="0" w:color="auto"/>
        <w:right w:val="none" w:sz="0" w:space="0" w:color="auto"/>
      </w:divBdr>
    </w:div>
    <w:div w:id="1221207295">
      <w:bodyDiv w:val="1"/>
      <w:marLeft w:val="0"/>
      <w:marRight w:val="0"/>
      <w:marTop w:val="0"/>
      <w:marBottom w:val="0"/>
      <w:divBdr>
        <w:top w:val="none" w:sz="0" w:space="0" w:color="auto"/>
        <w:left w:val="none" w:sz="0" w:space="0" w:color="auto"/>
        <w:bottom w:val="none" w:sz="0" w:space="0" w:color="auto"/>
        <w:right w:val="none" w:sz="0" w:space="0" w:color="auto"/>
      </w:divBdr>
    </w:div>
    <w:div w:id="1302269698">
      <w:bodyDiv w:val="1"/>
      <w:marLeft w:val="0"/>
      <w:marRight w:val="0"/>
      <w:marTop w:val="0"/>
      <w:marBottom w:val="0"/>
      <w:divBdr>
        <w:top w:val="none" w:sz="0" w:space="0" w:color="auto"/>
        <w:left w:val="none" w:sz="0" w:space="0" w:color="auto"/>
        <w:bottom w:val="none" w:sz="0" w:space="0" w:color="auto"/>
        <w:right w:val="none" w:sz="0" w:space="0" w:color="auto"/>
      </w:divBdr>
    </w:div>
    <w:div w:id="134120270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500">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2171053">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48427762">
      <w:bodyDiv w:val="1"/>
      <w:marLeft w:val="0"/>
      <w:marRight w:val="0"/>
      <w:marTop w:val="0"/>
      <w:marBottom w:val="0"/>
      <w:divBdr>
        <w:top w:val="none" w:sz="0" w:space="0" w:color="auto"/>
        <w:left w:val="none" w:sz="0" w:space="0" w:color="auto"/>
        <w:bottom w:val="none" w:sz="0" w:space="0" w:color="auto"/>
        <w:right w:val="none" w:sz="0" w:space="0" w:color="auto"/>
      </w:divBdr>
    </w:div>
    <w:div w:id="1459497174">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28968984">
      <w:bodyDiv w:val="1"/>
      <w:marLeft w:val="0"/>
      <w:marRight w:val="0"/>
      <w:marTop w:val="0"/>
      <w:marBottom w:val="0"/>
      <w:divBdr>
        <w:top w:val="none" w:sz="0" w:space="0" w:color="auto"/>
        <w:left w:val="none" w:sz="0" w:space="0" w:color="auto"/>
        <w:bottom w:val="none" w:sz="0" w:space="0" w:color="auto"/>
        <w:right w:val="none" w:sz="0" w:space="0" w:color="auto"/>
      </w:divBdr>
    </w:div>
    <w:div w:id="1649476960">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46688634">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29903147">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7640525">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77949479">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86339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r>
              <a:rPr lang="es-CO" sz="1200" b="1">
                <a:latin typeface="Century Gothic" panose="020B0502020202020204" pitchFamily="34" charset="0"/>
              </a:rPr>
              <a:t>Viaticos, Gasto de Viaje y Tiquetes ejecutado</a:t>
            </a:r>
            <a:r>
              <a:rPr lang="es-CO" sz="1200" b="1" baseline="0">
                <a:latin typeface="Century Gothic" panose="020B0502020202020204" pitchFamily="34" charset="0"/>
              </a:rPr>
              <a:t> en el primer timestre </a:t>
            </a:r>
            <a:r>
              <a:rPr lang="es-CO" sz="1200" b="1">
                <a:latin typeface="Century Gothic" panose="020B0502020202020204" pitchFamily="34" charset="0"/>
              </a:rPr>
              <a:t>2016</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es-CO"/>
        </a:p>
      </c:txPr>
    </c:title>
    <c:autoTitleDeleted val="0"/>
    <c:plotArea>
      <c:layout>
        <c:manualLayout>
          <c:layoutTarget val="inner"/>
          <c:xMode val="edge"/>
          <c:yMode val="edge"/>
          <c:x val="0.13777955807849601"/>
          <c:y val="0.23017462165308497"/>
          <c:w val="0.84090261246413966"/>
          <c:h val="0.685083735895062"/>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
                  <c:y val="3.24074074074073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111111111111213E-2"/>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Hoja1!$A$20:$A$22</c:f>
              <c:strCache>
                <c:ptCount val="3"/>
                <c:pt idx="0">
                  <c:v>Enero</c:v>
                </c:pt>
                <c:pt idx="1">
                  <c:v>Febrero</c:v>
                </c:pt>
                <c:pt idx="2">
                  <c:v>Marzo</c:v>
                </c:pt>
              </c:strCache>
            </c:strRef>
          </c:cat>
          <c:val>
            <c:numRef>
              <c:f>Hoja1!$B$20:$B$22</c:f>
              <c:numCache>
                <c:formatCode>_-"$"\ * #,##0_-;\-"$"\ * #,##0_-;_-"$"\ * "-"??_-;_-@_-</c:formatCode>
                <c:ptCount val="3"/>
                <c:pt idx="0">
                  <c:v>196508470</c:v>
                </c:pt>
                <c:pt idx="1">
                  <c:v>665189778</c:v>
                </c:pt>
                <c:pt idx="2">
                  <c:v>755774536</c:v>
                </c:pt>
              </c:numCache>
            </c:numRef>
          </c:val>
          <c:smooth val="0"/>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777452237075017E-2"/>
                  <c:y val="-8.876703286340705E-2"/>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Hoja1!$A$20:$A$22</c:f>
              <c:strCache>
                <c:ptCount val="3"/>
                <c:pt idx="0">
                  <c:v>Enero</c:v>
                </c:pt>
                <c:pt idx="1">
                  <c:v>Febrero</c:v>
                </c:pt>
                <c:pt idx="2">
                  <c:v>Marzo</c:v>
                </c:pt>
              </c:strCache>
            </c:strRef>
          </c:cat>
          <c:val>
            <c:numRef>
              <c:f>Hoja1!$C$20:$C$22</c:f>
              <c:numCache>
                <c:formatCode>_-"$"\ * #,##0_-;\-"$"\ * #,##0_-;_-"$"\ * "-"??_-;_-@_-</c:formatCode>
                <c:ptCount val="3"/>
                <c:pt idx="0">
                  <c:v>553383008</c:v>
                </c:pt>
                <c:pt idx="1">
                  <c:v>553383008</c:v>
                </c:pt>
                <c:pt idx="2">
                  <c:v>553383008</c:v>
                </c:pt>
              </c:numCache>
            </c:numRef>
          </c:val>
          <c:smooth val="0"/>
        </c:ser>
        <c:dLbls>
          <c:showLegendKey val="0"/>
          <c:showVal val="0"/>
          <c:showCatName val="0"/>
          <c:showSerName val="0"/>
          <c:showPercent val="0"/>
          <c:showBubbleSize val="0"/>
        </c:dLbls>
        <c:marker val="1"/>
        <c:smooth val="0"/>
        <c:axId val="435770256"/>
        <c:axId val="435770816"/>
      </c:lineChart>
      <c:catAx>
        <c:axId val="43577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5770816"/>
        <c:crosses val="autoZero"/>
        <c:auto val="1"/>
        <c:lblAlgn val="ctr"/>
        <c:lblOffset val="100"/>
        <c:noMultiLvlLbl val="0"/>
      </c:catAx>
      <c:valAx>
        <c:axId val="4357708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577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BC906-5F95-4610-97BF-A6FF422E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8372</TotalTime>
  <Pages>13</Pages>
  <Words>4339</Words>
  <Characters>23867</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28150</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dc:description/>
  <cp:lastModifiedBy>Jose David Murcia Rodriguez</cp:lastModifiedBy>
  <cp:revision>3</cp:revision>
  <cp:lastPrinted>2016-05-31T18:52:00Z</cp:lastPrinted>
  <dcterms:created xsi:type="dcterms:W3CDTF">2015-03-11T13:43:00Z</dcterms:created>
  <dcterms:modified xsi:type="dcterms:W3CDTF">2016-05-31T19:09:00Z</dcterms:modified>
</cp:coreProperties>
</file>