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3"/>
              <w:rPr>
                <w:rFonts w:ascii="Times New Roman"/>
                <w:sz w:val="26"/>
              </w:rPr>
            </w:pPr>
          </w:p>
          <w:p>
            <w:pPr>
              <w:pStyle w:val="TableParagraph"/>
              <w:ind w:left="297"/>
              <w:rPr>
                <w:rFonts w:ascii="Times New Roman"/>
                <w:sz w:val="20"/>
              </w:rPr>
            </w:pPr>
            <w:r>
              <w:rPr>
                <w:rFonts w:ascii="Times New Roman"/>
                <w:sz w:val="20"/>
              </w:rPr>
              <w:drawing>
                <wp:inline distT="0" distB="0" distL="0" distR="0">
                  <wp:extent cx="1702466" cy="493775"/>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02466" cy="493775"/>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rPr>
                <w:rFonts w:ascii="Times New Roman"/>
                <w:sz w:val="20"/>
              </w:rPr>
            </w:pPr>
          </w:p>
        </w:tc>
        <w:tc>
          <w:tcPr>
            <w:tcW w:w="4964" w:type="dxa"/>
          </w:tcPr>
          <w:p>
            <w:pPr>
              <w:pStyle w:val="TableParagraph"/>
              <w:spacing w:before="2"/>
              <w:rPr>
                <w:rFonts w:ascii="Times New Roman"/>
                <w:sz w:val="23"/>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spacing w:before="10"/>
              <w:rPr>
                <w:rFonts w:ascii="Times New Roman"/>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rFonts w:ascii="Times New Roman"/>
                <w:sz w:val="14"/>
              </w:rPr>
            </w:pPr>
          </w:p>
          <w:p>
            <w:pPr>
              <w:pStyle w:val="TableParagraph"/>
              <w:spacing w:before="4"/>
              <w:rPr>
                <w:rFonts w:ascii="Times New Roman"/>
                <w:sz w:val="13"/>
              </w:rPr>
            </w:pPr>
          </w:p>
          <w:p>
            <w:pPr>
              <w:pStyle w:val="TableParagraph"/>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7"/>
        <w:rPr>
          <w:rFonts w:ascii="Times New Roman"/>
          <w:sz w:val="15"/>
        </w:rPr>
      </w:pPr>
    </w:p>
    <w:tbl>
      <w:tblPr>
        <w:tblW w:w="0" w:type="auto"/>
        <w:jc w:val="left"/>
        <w:tblInd w:w="1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9"/>
        <w:gridCol w:w="708"/>
        <w:gridCol w:w="566"/>
        <w:gridCol w:w="710"/>
        <w:gridCol w:w="708"/>
        <w:gridCol w:w="709"/>
        <w:gridCol w:w="710"/>
      </w:tblGrid>
      <w:tr>
        <w:trPr>
          <w:trHeight w:val="278" w:hRule="exact"/>
        </w:trPr>
        <w:tc>
          <w:tcPr>
            <w:tcW w:w="3829" w:type="dxa"/>
            <w:shd w:val="clear" w:color="auto" w:fill="D9D9D9"/>
          </w:tcPr>
          <w:p>
            <w:pPr>
              <w:pStyle w:val="TableParagraph"/>
              <w:spacing w:line="265" w:lineRule="exact"/>
              <w:ind w:left="388"/>
              <w:rPr>
                <w:b/>
                <w:sz w:val="22"/>
              </w:rPr>
            </w:pPr>
            <w:r>
              <w:rPr>
                <w:b/>
                <w:sz w:val="22"/>
              </w:rPr>
              <w:t>FECHA DE EMISIÓN DEL INFORME</w:t>
            </w:r>
          </w:p>
        </w:tc>
        <w:tc>
          <w:tcPr>
            <w:tcW w:w="708" w:type="dxa"/>
            <w:shd w:val="clear" w:color="auto" w:fill="D9D9D9"/>
          </w:tcPr>
          <w:p>
            <w:pPr>
              <w:pStyle w:val="TableParagraph"/>
              <w:spacing w:line="265" w:lineRule="exact"/>
              <w:ind w:left="167"/>
              <w:rPr>
                <w:b/>
                <w:sz w:val="22"/>
              </w:rPr>
            </w:pPr>
            <w:r>
              <w:rPr>
                <w:b/>
                <w:sz w:val="22"/>
              </w:rPr>
              <w:t>Día:</w:t>
            </w:r>
          </w:p>
        </w:tc>
        <w:tc>
          <w:tcPr>
            <w:tcW w:w="566" w:type="dxa"/>
            <w:tcBorders>
              <w:left w:val="single" w:sz="41" w:space="0" w:color="D9D9D9"/>
              <w:right w:val="single" w:sz="41" w:space="0" w:color="D9D9D9"/>
            </w:tcBorders>
          </w:tcPr>
          <w:p>
            <w:pPr>
              <w:pStyle w:val="TableParagraph"/>
              <w:spacing w:line="265" w:lineRule="exact"/>
              <w:ind w:left="118"/>
              <w:rPr>
                <w:sz w:val="22"/>
              </w:rPr>
            </w:pPr>
            <w:r>
              <w:rPr>
                <w:sz w:val="22"/>
              </w:rPr>
              <w:t>08</w:t>
            </w:r>
          </w:p>
        </w:tc>
        <w:tc>
          <w:tcPr>
            <w:tcW w:w="710" w:type="dxa"/>
            <w:shd w:val="clear" w:color="auto" w:fill="D9D9D9"/>
          </w:tcPr>
          <w:p>
            <w:pPr>
              <w:pStyle w:val="TableParagraph"/>
              <w:spacing w:line="265" w:lineRule="exact"/>
              <w:ind w:left="122"/>
              <w:rPr>
                <w:b/>
                <w:sz w:val="22"/>
              </w:rPr>
            </w:pPr>
            <w:r>
              <w:rPr>
                <w:b/>
                <w:sz w:val="22"/>
              </w:rPr>
              <w:t>Mes:</w:t>
            </w:r>
          </w:p>
        </w:tc>
        <w:tc>
          <w:tcPr>
            <w:tcW w:w="708" w:type="dxa"/>
            <w:tcBorders>
              <w:left w:val="single" w:sz="45" w:space="0" w:color="D9D9D9"/>
              <w:right w:val="single" w:sz="41" w:space="0" w:color="D9D9D9"/>
            </w:tcBorders>
          </w:tcPr>
          <w:p>
            <w:pPr>
              <w:pStyle w:val="TableParagraph"/>
              <w:spacing w:line="265" w:lineRule="exact"/>
              <w:ind w:left="186"/>
              <w:rPr>
                <w:sz w:val="22"/>
              </w:rPr>
            </w:pPr>
            <w:r>
              <w:rPr>
                <w:sz w:val="22"/>
              </w:rPr>
              <w:t>03</w:t>
            </w:r>
          </w:p>
        </w:tc>
        <w:tc>
          <w:tcPr>
            <w:tcW w:w="709" w:type="dxa"/>
            <w:shd w:val="clear" w:color="auto" w:fill="D9D9D9"/>
          </w:tcPr>
          <w:p>
            <w:pPr>
              <w:pStyle w:val="TableParagraph"/>
              <w:spacing w:line="265" w:lineRule="exact"/>
              <w:ind w:left="134"/>
              <w:rPr>
                <w:b/>
                <w:sz w:val="22"/>
              </w:rPr>
            </w:pPr>
            <w:r>
              <w:rPr>
                <w:b/>
                <w:sz w:val="22"/>
              </w:rPr>
              <w:t>Año:</w:t>
            </w:r>
          </w:p>
        </w:tc>
        <w:tc>
          <w:tcPr>
            <w:tcW w:w="710" w:type="dxa"/>
            <w:tcBorders>
              <w:left w:val="single" w:sz="45" w:space="0" w:color="D9D9D9"/>
            </w:tcBorders>
          </w:tcPr>
          <w:p>
            <w:pPr>
              <w:pStyle w:val="TableParagraph"/>
              <w:spacing w:line="265" w:lineRule="exact"/>
              <w:ind w:left="73"/>
              <w:rPr>
                <w:sz w:val="22"/>
              </w:rPr>
            </w:pPr>
            <w:r>
              <w:rPr>
                <w:sz w:val="22"/>
              </w:rPr>
              <w:t>2016</w:t>
            </w:r>
          </w:p>
        </w:tc>
      </w:tr>
    </w:tbl>
    <w:p>
      <w:pPr>
        <w:pStyle w:val="BodyText"/>
        <w:spacing w:before="4"/>
        <w:rPr>
          <w:rFonts w:ascii="Times New Roman"/>
          <w:sz w:val="23"/>
        </w:rPr>
      </w:pPr>
    </w:p>
    <w:tbl>
      <w:tblPr>
        <w:tblW w:w="0" w:type="auto"/>
        <w:jc w:val="left"/>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72"/>
        <w:gridCol w:w="4707"/>
      </w:tblGrid>
      <w:tr>
        <w:trPr>
          <w:trHeight w:val="361" w:hRule="exact"/>
        </w:trPr>
        <w:tc>
          <w:tcPr>
            <w:tcW w:w="5572" w:type="dxa"/>
            <w:shd w:val="clear" w:color="auto" w:fill="D9D9D9"/>
          </w:tcPr>
          <w:p>
            <w:pPr>
              <w:pStyle w:val="TableParagraph"/>
              <w:spacing w:before="40"/>
              <w:ind w:left="103"/>
              <w:rPr>
                <w:b/>
                <w:sz w:val="22"/>
              </w:rPr>
            </w:pPr>
            <w:r>
              <w:rPr>
                <w:b/>
                <w:sz w:val="22"/>
              </w:rPr>
              <w:t>Informe No.</w:t>
            </w:r>
          </w:p>
        </w:tc>
        <w:tc>
          <w:tcPr>
            <w:tcW w:w="4707" w:type="dxa"/>
          </w:tcPr>
          <w:p>
            <w:pPr>
              <w:pStyle w:val="TableParagraph"/>
              <w:spacing w:line="268" w:lineRule="exact"/>
              <w:ind w:left="103"/>
              <w:rPr>
                <w:sz w:val="22"/>
              </w:rPr>
            </w:pPr>
            <w:r>
              <w:rPr>
                <w:color w:val="808080"/>
                <w:sz w:val="22"/>
              </w:rPr>
              <w:t>A1</w:t>
            </w:r>
          </w:p>
        </w:tc>
      </w:tr>
      <w:tr>
        <w:trPr>
          <w:trHeight w:val="547" w:hRule="exact"/>
        </w:trPr>
        <w:tc>
          <w:tcPr>
            <w:tcW w:w="5572" w:type="dxa"/>
            <w:shd w:val="clear" w:color="auto" w:fill="D9D9D9"/>
          </w:tcPr>
          <w:p>
            <w:pPr>
              <w:pStyle w:val="TableParagraph"/>
              <w:spacing w:line="267" w:lineRule="exact"/>
              <w:ind w:left="103"/>
              <w:rPr>
                <w:b/>
                <w:sz w:val="22"/>
              </w:rPr>
            </w:pPr>
            <w:r>
              <w:rPr>
                <w:b/>
                <w:sz w:val="22"/>
              </w:rPr>
              <w:t>Tipo de Informe</w:t>
            </w:r>
          </w:p>
        </w:tc>
        <w:tc>
          <w:tcPr>
            <w:tcW w:w="4707" w:type="dxa"/>
          </w:tcPr>
          <w:p>
            <w:pPr>
              <w:pStyle w:val="TableParagraph"/>
              <w:spacing w:line="267" w:lineRule="exact"/>
              <w:ind w:left="103"/>
              <w:rPr>
                <w:sz w:val="22"/>
              </w:rPr>
            </w:pPr>
            <w:r>
              <w:rPr>
                <w:sz w:val="22"/>
              </w:rPr>
              <w:t>INFORME FINAL</w:t>
            </w:r>
          </w:p>
        </w:tc>
      </w:tr>
      <w:tr>
        <w:trPr>
          <w:trHeight w:val="815" w:hRule="exact"/>
        </w:trPr>
        <w:tc>
          <w:tcPr>
            <w:tcW w:w="5572" w:type="dxa"/>
            <w:shd w:val="clear" w:color="auto" w:fill="D9D9D9"/>
          </w:tcPr>
          <w:p>
            <w:pPr>
              <w:pStyle w:val="TableParagraph"/>
              <w:spacing w:before="130"/>
              <w:ind w:left="103"/>
              <w:rPr>
                <w:b/>
                <w:sz w:val="22"/>
              </w:rPr>
            </w:pPr>
            <w:r>
              <w:rPr>
                <w:b/>
                <w:sz w:val="22"/>
              </w:rPr>
              <w:t>Nombre de Auditoría</w:t>
            </w:r>
          </w:p>
          <w:p>
            <w:pPr>
              <w:pStyle w:val="TableParagraph"/>
              <w:ind w:left="103"/>
              <w:rPr>
                <w:b/>
                <w:sz w:val="22"/>
              </w:rPr>
            </w:pPr>
            <w:r>
              <w:rPr>
                <w:b/>
                <w:sz w:val="22"/>
              </w:rPr>
              <w:t>(Relacionar Proceso/Dependencia/Procedimiento)</w:t>
            </w:r>
          </w:p>
        </w:tc>
        <w:tc>
          <w:tcPr>
            <w:tcW w:w="4707" w:type="dxa"/>
          </w:tcPr>
          <w:p>
            <w:pPr>
              <w:pStyle w:val="TableParagraph"/>
              <w:ind w:left="103" w:right="102"/>
              <w:jc w:val="both"/>
              <w:rPr>
                <w:sz w:val="22"/>
              </w:rPr>
            </w:pPr>
            <w:r>
              <w:rPr>
                <w:sz w:val="22"/>
              </w:rPr>
              <w:t>AUDITORÍA PROCEDIMIENTO CERTIFICACIÓN A LAS ENTIDADES QUE CONFORMAN EL SNARIV A NIVEL NACIONAL Y TERRITORIAL.</w:t>
            </w:r>
          </w:p>
        </w:tc>
      </w:tr>
      <w:tr>
        <w:trPr>
          <w:trHeight w:val="1354" w:hRule="exact"/>
        </w:trPr>
        <w:tc>
          <w:tcPr>
            <w:tcW w:w="5572" w:type="dxa"/>
            <w:shd w:val="clear" w:color="auto" w:fill="D9D9D9"/>
          </w:tcPr>
          <w:p>
            <w:pPr>
              <w:pStyle w:val="TableParagraph"/>
              <w:rPr>
                <w:rFonts w:ascii="Times New Roman"/>
                <w:sz w:val="22"/>
              </w:rPr>
            </w:pPr>
          </w:p>
          <w:p>
            <w:pPr>
              <w:pStyle w:val="TableParagraph"/>
              <w:spacing w:before="5"/>
              <w:rPr>
                <w:rFonts w:ascii="Times New Roman"/>
                <w:sz w:val="24"/>
              </w:rPr>
            </w:pPr>
          </w:p>
          <w:p>
            <w:pPr>
              <w:pStyle w:val="TableParagraph"/>
              <w:ind w:left="103"/>
              <w:rPr>
                <w:b/>
                <w:sz w:val="22"/>
              </w:rPr>
            </w:pPr>
            <w:r>
              <w:rPr>
                <w:b/>
                <w:sz w:val="22"/>
              </w:rPr>
              <w:t>Líder de Proceso / Jefe(s) Dependencia(s)/ Responsable:</w:t>
            </w:r>
          </w:p>
        </w:tc>
        <w:tc>
          <w:tcPr>
            <w:tcW w:w="4707" w:type="dxa"/>
          </w:tcPr>
          <w:p>
            <w:pPr>
              <w:pStyle w:val="TableParagraph"/>
              <w:ind w:left="103" w:right="99"/>
              <w:jc w:val="both"/>
              <w:rPr>
                <w:sz w:val="22"/>
              </w:rPr>
            </w:pPr>
            <w:r>
              <w:rPr>
                <w:sz w:val="22"/>
              </w:rPr>
              <w:t>SUBDIRECCIÓN DE COORDINACIÓN NACIÓN TERRITORIO: CLAUDIA MILENA SANTAMARÍA VECINO</w:t>
            </w:r>
          </w:p>
          <w:p>
            <w:pPr>
              <w:pStyle w:val="TableParagraph"/>
              <w:ind w:left="103" w:right="101"/>
              <w:jc w:val="both"/>
              <w:rPr>
                <w:sz w:val="22"/>
              </w:rPr>
            </w:pPr>
            <w:r>
              <w:rPr>
                <w:sz w:val="22"/>
              </w:rPr>
              <w:t>SUBDIRECCIÓN DE COORDINACIÓN SNARIV: KATHERINE HERRERA.</w:t>
            </w:r>
          </w:p>
        </w:tc>
      </w:tr>
      <w:tr>
        <w:trPr>
          <w:trHeight w:val="547" w:hRule="exact"/>
        </w:trPr>
        <w:tc>
          <w:tcPr>
            <w:tcW w:w="5572" w:type="dxa"/>
            <w:shd w:val="clear" w:color="auto" w:fill="D9D9D9"/>
          </w:tcPr>
          <w:p>
            <w:pPr>
              <w:pStyle w:val="TableParagraph"/>
              <w:spacing w:before="131"/>
              <w:ind w:left="103"/>
              <w:rPr>
                <w:b/>
                <w:sz w:val="22"/>
              </w:rPr>
            </w:pPr>
            <w:r>
              <w:rPr>
                <w:b/>
                <w:sz w:val="22"/>
              </w:rPr>
              <w:t>Jefe Oficina de Control Interno</w:t>
            </w:r>
          </w:p>
        </w:tc>
        <w:tc>
          <w:tcPr>
            <w:tcW w:w="4707" w:type="dxa"/>
          </w:tcPr>
          <w:p>
            <w:pPr>
              <w:pStyle w:val="TableParagraph"/>
              <w:spacing w:line="265" w:lineRule="exact"/>
              <w:ind w:left="103"/>
              <w:rPr>
                <w:sz w:val="22"/>
              </w:rPr>
            </w:pPr>
            <w:r>
              <w:rPr>
                <w:sz w:val="22"/>
              </w:rPr>
              <w:t>DIEGO HERNANDO SANTACRUZ SANTACRUZ</w:t>
            </w:r>
          </w:p>
        </w:tc>
      </w:tr>
      <w:tr>
        <w:trPr>
          <w:trHeight w:val="360" w:hRule="exact"/>
        </w:trPr>
        <w:tc>
          <w:tcPr>
            <w:tcW w:w="5572" w:type="dxa"/>
            <w:shd w:val="clear" w:color="auto" w:fill="D9D9D9"/>
          </w:tcPr>
          <w:p>
            <w:pPr>
              <w:pStyle w:val="TableParagraph"/>
              <w:spacing w:before="37"/>
              <w:ind w:left="103"/>
              <w:rPr>
                <w:b/>
                <w:sz w:val="22"/>
              </w:rPr>
            </w:pPr>
            <w:r>
              <w:rPr>
                <w:b/>
                <w:sz w:val="22"/>
              </w:rPr>
              <w:t>Equipo Auditor</w:t>
            </w:r>
          </w:p>
        </w:tc>
        <w:tc>
          <w:tcPr>
            <w:tcW w:w="4707" w:type="dxa"/>
          </w:tcPr>
          <w:p>
            <w:pPr>
              <w:pStyle w:val="TableParagraph"/>
              <w:spacing w:line="265" w:lineRule="exact"/>
              <w:ind w:left="103"/>
              <w:rPr>
                <w:sz w:val="22"/>
              </w:rPr>
            </w:pPr>
            <w:r>
              <w:rPr>
                <w:sz w:val="22"/>
              </w:rPr>
              <w:t>FANNY JOHANA CAICEDO CACERES</w:t>
            </w:r>
          </w:p>
        </w:tc>
      </w:tr>
    </w:tbl>
    <w:p>
      <w:pPr>
        <w:pStyle w:val="BodyText"/>
        <w:rPr>
          <w:rFonts w:ascii="Times New Roman"/>
          <w:sz w:val="20"/>
        </w:rPr>
      </w:pPr>
    </w:p>
    <w:p>
      <w:pPr>
        <w:pStyle w:val="BodyText"/>
        <w:spacing w:before="6"/>
        <w:rPr>
          <w:rFonts w:ascii="Times New Roman"/>
          <w:sz w:val="12"/>
        </w:r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410"/>
        <w:gridCol w:w="768"/>
        <w:gridCol w:w="478"/>
        <w:gridCol w:w="557"/>
        <w:gridCol w:w="557"/>
        <w:gridCol w:w="691"/>
        <w:gridCol w:w="970"/>
        <w:gridCol w:w="692"/>
        <w:gridCol w:w="1111"/>
        <w:gridCol w:w="691"/>
        <w:gridCol w:w="557"/>
        <w:gridCol w:w="555"/>
        <w:gridCol w:w="557"/>
        <w:gridCol w:w="557"/>
        <w:gridCol w:w="647"/>
      </w:tblGrid>
      <w:tr>
        <w:trPr>
          <w:trHeight w:val="547" w:hRule="exact"/>
        </w:trPr>
        <w:tc>
          <w:tcPr>
            <w:tcW w:w="3188" w:type="dxa"/>
            <w:gridSpan w:val="6"/>
            <w:shd w:val="clear" w:color="auto" w:fill="D9D9D9"/>
          </w:tcPr>
          <w:p>
            <w:pPr>
              <w:pStyle w:val="TableParagraph"/>
              <w:spacing w:before="131"/>
              <w:ind w:left="970"/>
              <w:rPr>
                <w:b/>
                <w:sz w:val="22"/>
              </w:rPr>
            </w:pPr>
            <w:r>
              <w:rPr>
                <w:b/>
                <w:sz w:val="22"/>
              </w:rPr>
              <w:t>Reunión de Apertura</w:t>
            </w:r>
          </w:p>
        </w:tc>
        <w:tc>
          <w:tcPr>
            <w:tcW w:w="3464" w:type="dxa"/>
            <w:gridSpan w:val="4"/>
            <w:shd w:val="clear" w:color="auto" w:fill="D9D9D9"/>
          </w:tcPr>
          <w:p>
            <w:pPr>
              <w:pStyle w:val="TableParagraph"/>
              <w:spacing w:before="131"/>
              <w:ind w:left="928"/>
              <w:rPr>
                <w:b/>
                <w:sz w:val="22"/>
              </w:rPr>
            </w:pPr>
            <w:r>
              <w:rPr>
                <w:b/>
                <w:sz w:val="22"/>
              </w:rPr>
              <w:t>Ejecución de la Auditoría</w:t>
            </w:r>
          </w:p>
        </w:tc>
        <w:tc>
          <w:tcPr>
            <w:tcW w:w="3563" w:type="dxa"/>
            <w:gridSpan w:val="6"/>
            <w:shd w:val="clear" w:color="auto" w:fill="D9D9D9"/>
          </w:tcPr>
          <w:p>
            <w:pPr>
              <w:pStyle w:val="TableParagraph"/>
              <w:spacing w:before="1"/>
              <w:rPr>
                <w:rFonts w:ascii="Times New Roman"/>
                <w:sz w:val="23"/>
              </w:rPr>
            </w:pPr>
          </w:p>
          <w:p>
            <w:pPr>
              <w:pStyle w:val="TableParagraph"/>
              <w:ind w:left="1219"/>
              <w:rPr>
                <w:b/>
                <w:sz w:val="22"/>
              </w:rPr>
            </w:pPr>
            <w:r>
              <w:rPr>
                <w:b/>
                <w:sz w:val="22"/>
              </w:rPr>
              <w:t>Reunión de Trabajo</w:t>
            </w:r>
          </w:p>
        </w:tc>
      </w:tr>
      <w:tr>
        <w:trPr>
          <w:trHeight w:val="212" w:hRule="exact"/>
        </w:trPr>
        <w:tc>
          <w:tcPr>
            <w:tcW w:w="418" w:type="dxa"/>
            <w:vMerge w:val="restart"/>
            <w:shd w:val="clear" w:color="auto" w:fill="D9D9D9"/>
          </w:tcPr>
          <w:p>
            <w:pPr>
              <w:pStyle w:val="TableParagraph"/>
              <w:spacing w:before="100"/>
              <w:ind w:left="103" w:right="-16"/>
              <w:rPr>
                <w:b/>
                <w:sz w:val="22"/>
              </w:rPr>
            </w:pPr>
            <w:r>
              <w:rPr>
                <w:b/>
                <w:sz w:val="22"/>
              </w:rPr>
              <w:t>Día</w:t>
            </w:r>
          </w:p>
        </w:tc>
        <w:tc>
          <w:tcPr>
            <w:tcW w:w="410" w:type="dxa"/>
            <w:tcBorders>
              <w:bottom w:val="nil"/>
            </w:tcBorders>
          </w:tcPr>
          <w:p>
            <w:pPr/>
          </w:p>
        </w:tc>
        <w:tc>
          <w:tcPr>
            <w:tcW w:w="768" w:type="dxa"/>
            <w:vMerge w:val="restart"/>
            <w:shd w:val="clear" w:color="auto" w:fill="D9D9D9"/>
          </w:tcPr>
          <w:p>
            <w:pPr>
              <w:pStyle w:val="TableParagraph"/>
              <w:spacing w:before="100"/>
              <w:ind w:left="103"/>
              <w:rPr>
                <w:b/>
                <w:sz w:val="22"/>
              </w:rPr>
            </w:pPr>
            <w:r>
              <w:rPr>
                <w:b/>
                <w:sz w:val="22"/>
              </w:rPr>
              <w:t>Mes</w:t>
            </w:r>
          </w:p>
        </w:tc>
        <w:tc>
          <w:tcPr>
            <w:tcW w:w="478" w:type="dxa"/>
            <w:tcBorders>
              <w:bottom w:val="nil"/>
            </w:tcBorders>
          </w:tcPr>
          <w:p>
            <w:pPr/>
          </w:p>
        </w:tc>
        <w:tc>
          <w:tcPr>
            <w:tcW w:w="557" w:type="dxa"/>
            <w:vMerge w:val="restart"/>
            <w:shd w:val="clear" w:color="auto" w:fill="D9D9D9"/>
          </w:tcPr>
          <w:p>
            <w:pPr>
              <w:pStyle w:val="TableParagraph"/>
              <w:spacing w:before="100"/>
              <w:ind w:left="103"/>
              <w:rPr>
                <w:b/>
                <w:sz w:val="22"/>
              </w:rPr>
            </w:pPr>
            <w:r>
              <w:rPr>
                <w:b/>
                <w:sz w:val="22"/>
              </w:rPr>
              <w:t>Año</w:t>
            </w:r>
          </w:p>
        </w:tc>
        <w:tc>
          <w:tcPr>
            <w:tcW w:w="557" w:type="dxa"/>
            <w:tcBorders>
              <w:bottom w:val="nil"/>
            </w:tcBorders>
          </w:tcPr>
          <w:p>
            <w:pPr/>
          </w:p>
        </w:tc>
        <w:tc>
          <w:tcPr>
            <w:tcW w:w="691" w:type="dxa"/>
            <w:vMerge w:val="restart"/>
            <w:shd w:val="clear" w:color="auto" w:fill="D9D9D9"/>
          </w:tcPr>
          <w:p>
            <w:pPr>
              <w:pStyle w:val="TableParagraph"/>
              <w:spacing w:before="100"/>
              <w:ind w:left="103" w:right="-8"/>
              <w:rPr>
                <w:b/>
                <w:sz w:val="22"/>
              </w:rPr>
            </w:pPr>
            <w:r>
              <w:rPr>
                <w:b/>
                <w:sz w:val="22"/>
              </w:rPr>
              <w:t>Desde</w:t>
            </w:r>
          </w:p>
        </w:tc>
        <w:tc>
          <w:tcPr>
            <w:tcW w:w="970" w:type="dxa"/>
          </w:tcPr>
          <w:p>
            <w:pPr>
              <w:pStyle w:val="TableParagraph"/>
              <w:spacing w:line="195" w:lineRule="exact"/>
              <w:ind w:left="37" w:right="16"/>
              <w:jc w:val="center"/>
              <w:rPr>
                <w:sz w:val="16"/>
              </w:rPr>
            </w:pPr>
            <w:r>
              <w:rPr>
                <w:sz w:val="16"/>
              </w:rPr>
              <w:t>13/12/2015</w:t>
            </w:r>
          </w:p>
        </w:tc>
        <w:tc>
          <w:tcPr>
            <w:tcW w:w="692" w:type="dxa"/>
            <w:vMerge w:val="restart"/>
            <w:shd w:val="clear" w:color="auto" w:fill="D9D9D9"/>
          </w:tcPr>
          <w:p>
            <w:pPr>
              <w:pStyle w:val="TableParagraph"/>
              <w:spacing w:before="100"/>
              <w:ind w:left="103"/>
              <w:rPr>
                <w:b/>
                <w:sz w:val="22"/>
              </w:rPr>
            </w:pPr>
            <w:r>
              <w:rPr>
                <w:b/>
                <w:sz w:val="22"/>
              </w:rPr>
              <w:t>Hasta</w:t>
            </w:r>
          </w:p>
        </w:tc>
        <w:tc>
          <w:tcPr>
            <w:tcW w:w="1111" w:type="dxa"/>
          </w:tcPr>
          <w:p>
            <w:pPr>
              <w:pStyle w:val="TableParagraph"/>
              <w:spacing w:line="195" w:lineRule="exact"/>
              <w:ind w:left="103"/>
              <w:rPr>
                <w:sz w:val="16"/>
              </w:rPr>
            </w:pPr>
            <w:r>
              <w:rPr>
                <w:sz w:val="16"/>
              </w:rPr>
              <w:t>08/03/2016</w:t>
            </w:r>
          </w:p>
        </w:tc>
        <w:tc>
          <w:tcPr>
            <w:tcW w:w="691" w:type="dxa"/>
            <w:vMerge w:val="restart"/>
            <w:shd w:val="clear" w:color="auto" w:fill="D9D9D9"/>
          </w:tcPr>
          <w:p>
            <w:pPr>
              <w:pStyle w:val="TableParagraph"/>
              <w:spacing w:before="100"/>
              <w:ind w:left="100" w:right="-8"/>
              <w:rPr>
                <w:sz w:val="22"/>
              </w:rPr>
            </w:pPr>
            <w:r>
              <w:rPr>
                <w:sz w:val="22"/>
              </w:rPr>
              <w:t>Día</w:t>
            </w:r>
          </w:p>
        </w:tc>
        <w:tc>
          <w:tcPr>
            <w:tcW w:w="557" w:type="dxa"/>
            <w:tcBorders>
              <w:bottom w:val="nil"/>
            </w:tcBorders>
          </w:tcPr>
          <w:p>
            <w:pPr/>
          </w:p>
        </w:tc>
        <w:tc>
          <w:tcPr>
            <w:tcW w:w="555" w:type="dxa"/>
            <w:vMerge w:val="restart"/>
            <w:shd w:val="clear" w:color="auto" w:fill="D9D9D9"/>
          </w:tcPr>
          <w:p>
            <w:pPr>
              <w:pStyle w:val="TableParagraph"/>
              <w:spacing w:before="100"/>
              <w:ind w:left="101"/>
              <w:rPr>
                <w:sz w:val="22"/>
              </w:rPr>
            </w:pPr>
            <w:r>
              <w:rPr>
                <w:sz w:val="22"/>
              </w:rPr>
              <w:t>Mes</w:t>
            </w:r>
          </w:p>
        </w:tc>
        <w:tc>
          <w:tcPr>
            <w:tcW w:w="557" w:type="dxa"/>
            <w:tcBorders>
              <w:bottom w:val="nil"/>
            </w:tcBorders>
          </w:tcPr>
          <w:p>
            <w:pPr/>
          </w:p>
        </w:tc>
        <w:tc>
          <w:tcPr>
            <w:tcW w:w="557" w:type="dxa"/>
            <w:vMerge w:val="restart"/>
            <w:shd w:val="clear" w:color="auto" w:fill="D9D9D9"/>
          </w:tcPr>
          <w:p>
            <w:pPr>
              <w:pStyle w:val="TableParagraph"/>
              <w:spacing w:before="100"/>
              <w:ind w:left="103"/>
              <w:rPr>
                <w:sz w:val="22"/>
              </w:rPr>
            </w:pPr>
            <w:r>
              <w:rPr>
                <w:sz w:val="22"/>
              </w:rPr>
              <w:t>Año</w:t>
            </w:r>
          </w:p>
        </w:tc>
        <w:tc>
          <w:tcPr>
            <w:tcW w:w="647" w:type="dxa"/>
            <w:tcBorders>
              <w:bottom w:val="nil"/>
            </w:tcBorders>
          </w:tcPr>
          <w:p>
            <w:pPr/>
          </w:p>
        </w:tc>
      </w:tr>
      <w:tr>
        <w:trPr>
          <w:trHeight w:val="274" w:hRule="exact"/>
        </w:trPr>
        <w:tc>
          <w:tcPr>
            <w:tcW w:w="418" w:type="dxa"/>
            <w:vMerge/>
            <w:shd w:val="clear" w:color="auto" w:fill="D9D9D9"/>
          </w:tcPr>
          <w:p>
            <w:pPr/>
          </w:p>
        </w:tc>
        <w:tc>
          <w:tcPr>
            <w:tcW w:w="410" w:type="dxa"/>
            <w:tcBorders>
              <w:top w:val="nil"/>
            </w:tcBorders>
          </w:tcPr>
          <w:p>
            <w:pPr>
              <w:pStyle w:val="TableParagraph"/>
              <w:spacing w:line="162" w:lineRule="exact"/>
              <w:ind w:left="103"/>
              <w:rPr>
                <w:sz w:val="22"/>
              </w:rPr>
            </w:pPr>
            <w:r>
              <w:rPr>
                <w:sz w:val="22"/>
              </w:rPr>
              <w:t>10</w:t>
            </w:r>
          </w:p>
        </w:tc>
        <w:tc>
          <w:tcPr>
            <w:tcW w:w="768" w:type="dxa"/>
            <w:vMerge/>
            <w:shd w:val="clear" w:color="auto" w:fill="D9D9D9"/>
          </w:tcPr>
          <w:p>
            <w:pPr/>
          </w:p>
        </w:tc>
        <w:tc>
          <w:tcPr>
            <w:tcW w:w="478" w:type="dxa"/>
            <w:tcBorders>
              <w:top w:val="nil"/>
            </w:tcBorders>
          </w:tcPr>
          <w:p>
            <w:pPr>
              <w:pStyle w:val="TableParagraph"/>
              <w:spacing w:line="162" w:lineRule="exact"/>
              <w:ind w:left="103"/>
              <w:rPr>
                <w:sz w:val="22"/>
              </w:rPr>
            </w:pPr>
            <w:r>
              <w:rPr>
                <w:sz w:val="22"/>
              </w:rPr>
              <w:t>12</w:t>
            </w:r>
          </w:p>
        </w:tc>
        <w:tc>
          <w:tcPr>
            <w:tcW w:w="557" w:type="dxa"/>
            <w:vMerge/>
            <w:shd w:val="clear" w:color="auto" w:fill="D9D9D9"/>
          </w:tcPr>
          <w:p>
            <w:pPr/>
          </w:p>
        </w:tc>
        <w:tc>
          <w:tcPr>
            <w:tcW w:w="557" w:type="dxa"/>
            <w:tcBorders>
              <w:top w:val="nil"/>
            </w:tcBorders>
          </w:tcPr>
          <w:p>
            <w:pPr>
              <w:pStyle w:val="TableParagraph"/>
              <w:spacing w:line="165" w:lineRule="exact"/>
              <w:ind w:left="103" w:right="-22"/>
              <w:rPr>
                <w:sz w:val="22"/>
              </w:rPr>
            </w:pPr>
            <w:r>
              <w:rPr>
                <w:sz w:val="22"/>
              </w:rPr>
              <w:t>2015</w:t>
            </w:r>
          </w:p>
        </w:tc>
        <w:tc>
          <w:tcPr>
            <w:tcW w:w="691" w:type="dxa"/>
            <w:vMerge/>
            <w:shd w:val="clear" w:color="auto" w:fill="D9D9D9"/>
          </w:tcPr>
          <w:p>
            <w:pPr/>
          </w:p>
        </w:tc>
        <w:tc>
          <w:tcPr>
            <w:tcW w:w="970" w:type="dxa"/>
            <w:shd w:val="clear" w:color="auto" w:fill="D9D9D9"/>
          </w:tcPr>
          <w:p>
            <w:pPr>
              <w:pStyle w:val="TableParagraph"/>
              <w:spacing w:line="264" w:lineRule="exact"/>
              <w:ind w:left="83" w:right="16"/>
              <w:jc w:val="center"/>
              <w:rPr>
                <w:sz w:val="22"/>
              </w:rPr>
            </w:pPr>
            <w:r>
              <w:rPr>
                <w:sz w:val="22"/>
              </w:rPr>
              <w:t>D / M / A</w:t>
            </w:r>
          </w:p>
        </w:tc>
        <w:tc>
          <w:tcPr>
            <w:tcW w:w="692" w:type="dxa"/>
            <w:vMerge/>
            <w:shd w:val="clear" w:color="auto" w:fill="D9D9D9"/>
          </w:tcPr>
          <w:p>
            <w:pPr/>
          </w:p>
        </w:tc>
        <w:tc>
          <w:tcPr>
            <w:tcW w:w="1111" w:type="dxa"/>
            <w:shd w:val="clear" w:color="auto" w:fill="D9D9D9"/>
          </w:tcPr>
          <w:p>
            <w:pPr>
              <w:pStyle w:val="TableParagraph"/>
              <w:spacing w:line="262" w:lineRule="exact"/>
              <w:ind w:left="103"/>
              <w:rPr>
                <w:sz w:val="22"/>
              </w:rPr>
            </w:pPr>
            <w:r>
              <w:rPr>
                <w:sz w:val="22"/>
              </w:rPr>
              <w:t>D / M / A</w:t>
            </w:r>
          </w:p>
        </w:tc>
        <w:tc>
          <w:tcPr>
            <w:tcW w:w="691" w:type="dxa"/>
            <w:vMerge/>
            <w:shd w:val="clear" w:color="auto" w:fill="D9D9D9"/>
          </w:tcPr>
          <w:p>
            <w:pPr/>
          </w:p>
        </w:tc>
        <w:tc>
          <w:tcPr>
            <w:tcW w:w="557" w:type="dxa"/>
            <w:tcBorders>
              <w:top w:val="nil"/>
            </w:tcBorders>
          </w:tcPr>
          <w:p>
            <w:pPr/>
          </w:p>
        </w:tc>
        <w:tc>
          <w:tcPr>
            <w:tcW w:w="555" w:type="dxa"/>
            <w:vMerge/>
            <w:shd w:val="clear" w:color="auto" w:fill="D9D9D9"/>
          </w:tcPr>
          <w:p>
            <w:pPr/>
          </w:p>
        </w:tc>
        <w:tc>
          <w:tcPr>
            <w:tcW w:w="557" w:type="dxa"/>
            <w:tcBorders>
              <w:top w:val="nil"/>
            </w:tcBorders>
          </w:tcPr>
          <w:p>
            <w:pPr/>
          </w:p>
        </w:tc>
        <w:tc>
          <w:tcPr>
            <w:tcW w:w="557" w:type="dxa"/>
            <w:vMerge/>
            <w:shd w:val="clear" w:color="auto" w:fill="D9D9D9"/>
          </w:tcPr>
          <w:p>
            <w:pPr/>
          </w:p>
        </w:tc>
        <w:tc>
          <w:tcPr>
            <w:tcW w:w="647" w:type="dxa"/>
            <w:tcBorders>
              <w:top w:val="nil"/>
            </w:tcBorders>
          </w:tcPr>
          <w:p>
            <w:pPr/>
          </w:p>
        </w:tc>
      </w:tr>
    </w:tbl>
    <w:p>
      <w:pPr>
        <w:pStyle w:val="BodyText"/>
        <w:rPr>
          <w:rFonts w:ascii="Times New Roman"/>
          <w:sz w:val="20"/>
        </w:rPr>
      </w:pPr>
    </w:p>
    <w:p>
      <w:pPr>
        <w:pStyle w:val="BodyText"/>
        <w:spacing w:before="6"/>
        <w:rPr>
          <w:rFonts w:ascii="Times New Roman"/>
          <w:sz w:val="21"/>
        </w:rPr>
      </w:pPr>
    </w:p>
    <w:p>
      <w:pPr>
        <w:pStyle w:val="ListParagraph"/>
        <w:numPr>
          <w:ilvl w:val="0"/>
          <w:numId w:val="1"/>
        </w:numPr>
        <w:tabs>
          <w:tab w:pos="578" w:val="left" w:leader="none"/>
        </w:tabs>
        <w:spacing w:line="266" w:lineRule="exact" w:before="53" w:after="0"/>
        <w:ind w:left="577" w:right="624" w:hanging="425"/>
        <w:jc w:val="both"/>
        <w:rPr>
          <w:sz w:val="22"/>
        </w:rPr>
      </w:pPr>
      <w:r>
        <w:rPr>
          <w:b/>
          <w:sz w:val="22"/>
        </w:rPr>
        <w:t>Objetivo(s) de la Auditoría: </w:t>
      </w:r>
      <w:r>
        <w:rPr>
          <w:sz w:val="22"/>
        </w:rPr>
        <w:t>Evaluar el cumplimiento procedimiento de certificación a las entidades que conforman el sistema de atención y reparación integral a las víctimas a nivel nacional y</w:t>
      </w:r>
      <w:r>
        <w:rPr>
          <w:spacing w:val="-32"/>
          <w:sz w:val="22"/>
        </w:rPr>
        <w:t> </w:t>
      </w:r>
      <w:r>
        <w:rPr>
          <w:sz w:val="22"/>
        </w:rPr>
        <w:t>territorial.</w:t>
      </w:r>
    </w:p>
    <w:p>
      <w:pPr>
        <w:pStyle w:val="BodyText"/>
        <w:spacing w:before="6"/>
      </w:pPr>
    </w:p>
    <w:p>
      <w:pPr>
        <w:pStyle w:val="ListParagraph"/>
        <w:numPr>
          <w:ilvl w:val="0"/>
          <w:numId w:val="1"/>
        </w:numPr>
        <w:tabs>
          <w:tab w:pos="578" w:val="left" w:leader="none"/>
        </w:tabs>
        <w:spacing w:line="240" w:lineRule="auto" w:before="0" w:after="0"/>
        <w:ind w:left="577" w:right="613" w:hanging="425"/>
        <w:jc w:val="both"/>
        <w:rPr>
          <w:sz w:val="22"/>
        </w:rPr>
      </w:pPr>
      <w:r>
        <w:rPr>
          <w:b/>
          <w:sz w:val="22"/>
        </w:rPr>
        <w:t>Alcance de la Auditoría: </w:t>
      </w:r>
      <w:r>
        <w:rPr>
          <w:sz w:val="22"/>
        </w:rPr>
        <w:t>La auditoría de la OFICINA DE CONTROL INTERNO a la SUBDIRECCIÓN DE COORDINACIÓN NACIÓN TERRITORIO y SUBDIRECCIÓN DE COORDINACIÓN SNARIV frente al cumplimiento del procedimiento de certificación a las entidades que conforman el SNARIV, que se verificará las certificaciones expedidas durante  el periodo comprendido en el año</w:t>
      </w:r>
      <w:r>
        <w:rPr>
          <w:spacing w:val="-23"/>
          <w:sz w:val="22"/>
        </w:rPr>
        <w:t> </w:t>
      </w:r>
      <w:r>
        <w:rPr>
          <w:sz w:val="22"/>
        </w:rPr>
        <w:t>2014.</w:t>
      </w:r>
    </w:p>
    <w:p>
      <w:pPr>
        <w:pStyle w:val="BodyText"/>
      </w:pPr>
    </w:p>
    <w:p>
      <w:pPr>
        <w:spacing w:line="240" w:lineRule="auto" w:before="0"/>
        <w:ind w:left="577" w:right="615" w:firstLine="0"/>
        <w:jc w:val="both"/>
        <w:rPr>
          <w:sz w:val="22"/>
        </w:rPr>
      </w:pPr>
      <w:r>
        <w:rPr>
          <w:b/>
          <w:sz w:val="22"/>
        </w:rPr>
        <w:t>Criterios de la Auditoría: </w:t>
      </w:r>
      <w:r>
        <w:rPr>
          <w:sz w:val="22"/>
        </w:rPr>
        <w:t>La </w:t>
      </w:r>
      <w:r>
        <w:rPr>
          <w:b/>
          <w:sz w:val="22"/>
        </w:rPr>
        <w:t>OFICINA DE CONTROL INTERNO </w:t>
      </w:r>
      <w:r>
        <w:rPr>
          <w:sz w:val="22"/>
        </w:rPr>
        <w:t>para determinar las situaciones encontradas, que ameritaron un juicio de valor y puedan generar observaciones positivas o Fortalezas tuvo en cuenta principalmente el criterio del </w:t>
      </w:r>
      <w:r>
        <w:rPr>
          <w:b/>
          <w:sz w:val="22"/>
        </w:rPr>
        <w:t>MARCO LEGAL Y PROCEDIMIENTAL (Normatividad interna y externa y procedimientos aplicables al proceso auditado), </w:t>
      </w:r>
      <w:r>
        <w:rPr>
          <w:sz w:val="22"/>
        </w:rPr>
        <w:t>relacionados a continuación:</w:t>
      </w:r>
    </w:p>
    <w:p>
      <w:pPr>
        <w:pStyle w:val="BodyText"/>
        <w:rPr>
          <w:sz w:val="20"/>
        </w:rPr>
      </w:pPr>
    </w:p>
    <w:p>
      <w:pPr>
        <w:pStyle w:val="BodyText"/>
        <w:spacing w:before="3" w:after="1"/>
        <w:rPr>
          <w:sz w:val="24"/>
        </w:rPr>
      </w:pPr>
    </w:p>
    <w:tbl>
      <w:tblPr>
        <w:tblW w:w="0" w:type="auto"/>
        <w:jc w:val="left"/>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61"/>
        <w:gridCol w:w="4582"/>
      </w:tblGrid>
      <w:tr>
        <w:trPr>
          <w:trHeight w:val="278" w:hRule="exact"/>
        </w:trPr>
        <w:tc>
          <w:tcPr>
            <w:tcW w:w="5161" w:type="dxa"/>
          </w:tcPr>
          <w:p>
            <w:pPr>
              <w:pStyle w:val="TableParagraph"/>
              <w:spacing w:line="265" w:lineRule="exact"/>
              <w:ind w:left="103"/>
              <w:rPr>
                <w:b/>
                <w:sz w:val="22"/>
              </w:rPr>
            </w:pPr>
            <w:r>
              <w:rPr>
                <w:b/>
                <w:sz w:val="22"/>
              </w:rPr>
              <w:t>NORMA</w:t>
            </w:r>
          </w:p>
        </w:tc>
        <w:tc>
          <w:tcPr>
            <w:tcW w:w="4582" w:type="dxa"/>
          </w:tcPr>
          <w:p>
            <w:pPr>
              <w:pStyle w:val="TableParagraph"/>
              <w:spacing w:line="265" w:lineRule="exact"/>
              <w:ind w:left="100" w:right="670"/>
              <w:rPr>
                <w:b/>
                <w:sz w:val="22"/>
              </w:rPr>
            </w:pPr>
            <w:r>
              <w:rPr>
                <w:b/>
                <w:sz w:val="22"/>
              </w:rPr>
              <w:t>REFERENCIA</w:t>
            </w:r>
          </w:p>
        </w:tc>
      </w:tr>
      <w:tr>
        <w:trPr>
          <w:trHeight w:val="278" w:hRule="exact"/>
        </w:trPr>
        <w:tc>
          <w:tcPr>
            <w:tcW w:w="9743" w:type="dxa"/>
            <w:gridSpan w:val="2"/>
          </w:tcPr>
          <w:p>
            <w:pPr>
              <w:pStyle w:val="TableParagraph"/>
              <w:spacing w:line="265" w:lineRule="exact"/>
              <w:ind w:left="103"/>
              <w:rPr>
                <w:sz w:val="22"/>
              </w:rPr>
            </w:pPr>
            <w:r>
              <w:rPr>
                <w:sz w:val="22"/>
              </w:rPr>
              <w:t>Constitución Política de Colombia.</w:t>
            </w:r>
          </w:p>
        </w:tc>
      </w:tr>
      <w:tr>
        <w:trPr>
          <w:trHeight w:val="547" w:hRule="exact"/>
        </w:trPr>
        <w:tc>
          <w:tcPr>
            <w:tcW w:w="5161" w:type="dxa"/>
          </w:tcPr>
          <w:p>
            <w:pPr>
              <w:pStyle w:val="TableParagraph"/>
              <w:spacing w:line="265" w:lineRule="exact"/>
              <w:ind w:left="103"/>
              <w:rPr>
                <w:sz w:val="22"/>
              </w:rPr>
            </w:pPr>
            <w:r>
              <w:rPr>
                <w:sz w:val="22"/>
              </w:rPr>
              <w:t>Ley 87 de 29 de Noviembre de 1993.</w:t>
            </w:r>
          </w:p>
        </w:tc>
        <w:tc>
          <w:tcPr>
            <w:tcW w:w="4582" w:type="dxa"/>
          </w:tcPr>
          <w:p>
            <w:pPr>
              <w:pStyle w:val="TableParagraph"/>
              <w:ind w:left="100" w:right="670"/>
              <w:rPr>
                <w:sz w:val="22"/>
              </w:rPr>
            </w:pPr>
            <w:r>
              <w:rPr>
                <w:sz w:val="22"/>
              </w:rPr>
              <w:t>Por la cual se dictan las normas de Control Interno para las entidades del Estado.</w:t>
            </w:r>
          </w:p>
        </w:tc>
      </w:tr>
      <w:tr>
        <w:trPr>
          <w:trHeight w:val="547" w:hRule="exact"/>
        </w:trPr>
        <w:tc>
          <w:tcPr>
            <w:tcW w:w="5161" w:type="dxa"/>
          </w:tcPr>
          <w:p>
            <w:pPr>
              <w:pStyle w:val="TableParagraph"/>
              <w:spacing w:line="265" w:lineRule="exact"/>
              <w:ind w:left="103"/>
              <w:rPr>
                <w:sz w:val="22"/>
              </w:rPr>
            </w:pPr>
            <w:r>
              <w:rPr>
                <w:sz w:val="22"/>
              </w:rPr>
              <w:t>Ley 1448 de 19 de junio de 2011</w:t>
            </w:r>
          </w:p>
        </w:tc>
        <w:tc>
          <w:tcPr>
            <w:tcW w:w="4582" w:type="dxa"/>
          </w:tcPr>
          <w:p>
            <w:pPr>
              <w:pStyle w:val="TableParagraph"/>
              <w:ind w:left="100" w:right="392"/>
              <w:rPr>
                <w:sz w:val="22"/>
              </w:rPr>
            </w:pPr>
            <w:r>
              <w:rPr>
                <w:sz w:val="22"/>
              </w:rPr>
              <w:t>Por la cual se fijan medidas de atención, asistencia, y reparación integral a las víctimas</w:t>
            </w:r>
          </w:p>
        </w:tc>
      </w:tr>
    </w:tbl>
    <w:p>
      <w:pPr>
        <w:spacing w:after="0"/>
        <w:rPr>
          <w:sz w:val="22"/>
        </w:rPr>
        <w:sectPr>
          <w:type w:val="continuous"/>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9"/>
        <w:rPr>
          <w:sz w:val="14"/>
        </w:rPr>
      </w:pPr>
    </w:p>
    <w:tbl>
      <w:tblPr>
        <w:tblW w:w="0" w:type="auto"/>
        <w:jc w:val="left"/>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61"/>
        <w:gridCol w:w="4582"/>
      </w:tblGrid>
      <w:tr>
        <w:trPr>
          <w:trHeight w:val="547" w:hRule="exact"/>
        </w:trPr>
        <w:tc>
          <w:tcPr>
            <w:tcW w:w="5161" w:type="dxa"/>
          </w:tcPr>
          <w:p>
            <w:pPr/>
          </w:p>
        </w:tc>
        <w:tc>
          <w:tcPr>
            <w:tcW w:w="4582" w:type="dxa"/>
          </w:tcPr>
          <w:p>
            <w:pPr>
              <w:pStyle w:val="TableParagraph"/>
              <w:ind w:left="100" w:right="423"/>
              <w:rPr>
                <w:sz w:val="22"/>
              </w:rPr>
            </w:pPr>
            <w:r>
              <w:rPr>
                <w:sz w:val="22"/>
              </w:rPr>
              <w:t>del conflicto armado interno y se dictas otras disposiciones</w:t>
            </w:r>
          </w:p>
        </w:tc>
      </w:tr>
      <w:tr>
        <w:trPr>
          <w:trHeight w:val="547" w:hRule="exact"/>
        </w:trPr>
        <w:tc>
          <w:tcPr>
            <w:tcW w:w="5161" w:type="dxa"/>
          </w:tcPr>
          <w:p>
            <w:pPr>
              <w:pStyle w:val="TableParagraph"/>
              <w:spacing w:line="265" w:lineRule="exact"/>
              <w:ind w:left="103"/>
              <w:rPr>
                <w:sz w:val="22"/>
              </w:rPr>
            </w:pPr>
            <w:r>
              <w:rPr>
                <w:sz w:val="22"/>
              </w:rPr>
              <w:t>Decreto 4800 de 2011</w:t>
            </w:r>
          </w:p>
        </w:tc>
        <w:tc>
          <w:tcPr>
            <w:tcW w:w="4582" w:type="dxa"/>
          </w:tcPr>
          <w:p>
            <w:pPr>
              <w:pStyle w:val="TableParagraph"/>
              <w:ind w:left="100" w:right="229"/>
              <w:rPr>
                <w:sz w:val="22"/>
              </w:rPr>
            </w:pPr>
            <w:r>
              <w:rPr>
                <w:sz w:val="22"/>
              </w:rPr>
              <w:t>Por el cual se reglamenta la Ley 1448 de 2011 y se dictan otras disposiciones.</w:t>
            </w:r>
          </w:p>
        </w:tc>
      </w:tr>
      <w:tr>
        <w:trPr>
          <w:trHeight w:val="1085" w:hRule="exact"/>
        </w:trPr>
        <w:tc>
          <w:tcPr>
            <w:tcW w:w="5161" w:type="dxa"/>
          </w:tcPr>
          <w:p>
            <w:pPr>
              <w:pStyle w:val="TableParagraph"/>
              <w:spacing w:line="265" w:lineRule="exact"/>
              <w:ind w:left="103"/>
              <w:rPr>
                <w:sz w:val="22"/>
              </w:rPr>
            </w:pPr>
            <w:r>
              <w:rPr>
                <w:sz w:val="22"/>
              </w:rPr>
              <w:t>Decreto 4802 de 2011</w:t>
            </w:r>
          </w:p>
        </w:tc>
        <w:tc>
          <w:tcPr>
            <w:tcW w:w="4582" w:type="dxa"/>
          </w:tcPr>
          <w:p>
            <w:pPr>
              <w:pStyle w:val="TableParagraph"/>
              <w:ind w:left="100" w:right="166"/>
              <w:rPr>
                <w:sz w:val="22"/>
              </w:rPr>
            </w:pPr>
            <w:r>
              <w:rPr>
                <w:sz w:val="22"/>
              </w:rPr>
              <w:t>Por el cual se establece la estructura administrativa de la Unidad Administrativa Especial para la Atención y reparación Integral a las Víctimas.</w:t>
            </w:r>
          </w:p>
        </w:tc>
      </w:tr>
      <w:tr>
        <w:trPr>
          <w:trHeight w:val="1889" w:hRule="exact"/>
        </w:trPr>
        <w:tc>
          <w:tcPr>
            <w:tcW w:w="5161" w:type="dxa"/>
          </w:tcPr>
          <w:p>
            <w:pPr>
              <w:pStyle w:val="TableParagraph"/>
              <w:spacing w:line="266" w:lineRule="exact"/>
              <w:ind w:left="103"/>
              <w:rPr>
                <w:sz w:val="22"/>
              </w:rPr>
            </w:pPr>
            <w:r>
              <w:rPr>
                <w:sz w:val="22"/>
              </w:rPr>
              <w:t>Decreto 2569 de 2014</w:t>
            </w:r>
          </w:p>
        </w:tc>
        <w:tc>
          <w:tcPr>
            <w:tcW w:w="4582" w:type="dxa"/>
          </w:tcPr>
          <w:p>
            <w:pPr>
              <w:pStyle w:val="TableParagraph"/>
              <w:ind w:left="100" w:right="99"/>
              <w:jc w:val="both"/>
              <w:rPr>
                <w:sz w:val="22"/>
              </w:rPr>
            </w:pPr>
            <w:r>
              <w:rPr>
                <w:sz w:val="22"/>
              </w:rPr>
              <w:t>Mediante  el  cual  se  reglamentan  los   artículos </w:t>
            </w:r>
            <w:hyperlink r:id="rId6">
              <w:r>
                <w:rPr>
                  <w:sz w:val="22"/>
                  <w:u w:val="single"/>
                </w:rPr>
                <w:t>182 </w:t>
              </w:r>
            </w:hyperlink>
            <w:r>
              <w:rPr>
                <w:sz w:val="22"/>
              </w:rPr>
              <w:t>de      la       Ley       1450       de 2011, </w:t>
            </w:r>
            <w:hyperlink r:id="rId7">
              <w:r>
                <w:rPr>
                  <w:sz w:val="22"/>
                  <w:u w:val="single"/>
                </w:rPr>
                <w:t>62</w:t>
              </w:r>
              <w:r>
                <w:rPr>
                  <w:sz w:val="22"/>
                </w:rPr>
                <w:t>,</w:t>
              </w:r>
            </w:hyperlink>
            <w:r>
              <w:rPr>
                <w:sz w:val="22"/>
              </w:rPr>
              <w:t> </w:t>
            </w:r>
            <w:hyperlink r:id="rId8">
              <w:r>
                <w:rPr>
                  <w:sz w:val="22"/>
                  <w:u w:val="single"/>
                </w:rPr>
                <w:t>64</w:t>
              </w:r>
              <w:r>
                <w:rPr>
                  <w:sz w:val="22"/>
                </w:rPr>
                <w:t>,</w:t>
              </w:r>
            </w:hyperlink>
            <w:r>
              <w:rPr>
                <w:sz w:val="22"/>
              </w:rPr>
              <w:t> </w:t>
            </w:r>
            <w:hyperlink r:id="rId9">
              <w:r>
                <w:rPr>
                  <w:sz w:val="22"/>
                  <w:u w:val="single"/>
                </w:rPr>
                <w:t>65</w:t>
              </w:r>
              <w:r>
                <w:rPr>
                  <w:sz w:val="22"/>
                </w:rPr>
                <w:t>,</w:t>
              </w:r>
            </w:hyperlink>
            <w:r>
              <w:rPr>
                <w:sz w:val="22"/>
              </w:rPr>
              <w:t> </w:t>
            </w:r>
            <w:hyperlink r:id="rId10">
              <w:r>
                <w:rPr>
                  <w:sz w:val="22"/>
                  <w:u w:val="single"/>
                </w:rPr>
                <w:t>66</w:t>
              </w:r>
              <w:r>
                <w:rPr>
                  <w:sz w:val="22"/>
                </w:rPr>
                <w:t>,</w:t>
              </w:r>
            </w:hyperlink>
            <w:r>
              <w:rPr>
                <w:sz w:val="22"/>
              </w:rPr>
              <w:t> </w:t>
            </w:r>
            <w:hyperlink r:id="rId11">
              <w:r>
                <w:rPr>
                  <w:sz w:val="22"/>
                  <w:u w:val="single"/>
                </w:rPr>
                <w:t>67 </w:t>
              </w:r>
            </w:hyperlink>
            <w:r>
              <w:rPr>
                <w:sz w:val="22"/>
              </w:rPr>
              <w:t>y  </w:t>
            </w:r>
            <w:hyperlink r:id="rId12">
              <w:r>
                <w:rPr>
                  <w:sz w:val="22"/>
                  <w:u w:val="single"/>
                </w:rPr>
                <w:t>68 </w:t>
              </w:r>
            </w:hyperlink>
            <w:r>
              <w:rPr>
                <w:sz w:val="22"/>
              </w:rPr>
              <w:t>de  la  Ley  1448</w:t>
            </w:r>
            <w:r>
              <w:rPr>
                <w:spacing w:val="42"/>
                <w:sz w:val="22"/>
              </w:rPr>
              <w:t> </w:t>
            </w:r>
            <w:r>
              <w:rPr>
                <w:sz w:val="22"/>
              </w:rPr>
              <w:t>de</w:t>
            </w:r>
          </w:p>
          <w:p>
            <w:pPr>
              <w:pStyle w:val="TableParagraph"/>
              <w:ind w:left="100" w:right="98"/>
              <w:jc w:val="both"/>
              <w:rPr>
                <w:sz w:val="22"/>
              </w:rPr>
            </w:pPr>
            <w:r>
              <w:rPr>
                <w:sz w:val="22"/>
              </w:rPr>
              <w:t>2011, se modifican los artículos </w:t>
            </w:r>
            <w:hyperlink r:id="rId13">
              <w:r>
                <w:rPr>
                  <w:sz w:val="22"/>
                  <w:u w:val="single"/>
                </w:rPr>
                <w:t>81 </w:t>
              </w:r>
            </w:hyperlink>
            <w:r>
              <w:rPr>
                <w:sz w:val="22"/>
              </w:rPr>
              <w:t>y </w:t>
            </w:r>
            <w:hyperlink r:id="rId14">
              <w:r>
                <w:rPr>
                  <w:sz w:val="22"/>
                  <w:u w:val="single"/>
                </w:rPr>
                <w:t>83 </w:t>
              </w:r>
            </w:hyperlink>
            <w:r>
              <w:rPr>
                <w:sz w:val="22"/>
              </w:rPr>
              <w:t>del Decreto número 4800 de 2011, se deroga el inciso 2o del artículo </w:t>
            </w:r>
            <w:hyperlink r:id="rId15">
              <w:r>
                <w:rPr>
                  <w:sz w:val="22"/>
                  <w:u w:val="single"/>
                </w:rPr>
                <w:t>112 </w:t>
              </w:r>
            </w:hyperlink>
            <w:r>
              <w:rPr>
                <w:sz w:val="22"/>
              </w:rPr>
              <w:t>del Decreto número 4800 de 2011.</w:t>
            </w:r>
          </w:p>
        </w:tc>
      </w:tr>
      <w:tr>
        <w:trPr>
          <w:trHeight w:val="547" w:hRule="exact"/>
        </w:trPr>
        <w:tc>
          <w:tcPr>
            <w:tcW w:w="5161" w:type="dxa"/>
          </w:tcPr>
          <w:p>
            <w:pPr>
              <w:pStyle w:val="TableParagraph"/>
              <w:spacing w:line="268" w:lineRule="exact"/>
              <w:ind w:left="103"/>
              <w:rPr>
                <w:sz w:val="22"/>
              </w:rPr>
            </w:pPr>
            <w:r>
              <w:rPr>
                <w:sz w:val="22"/>
              </w:rPr>
              <w:t>Decreto 4968 de 2011</w:t>
            </w:r>
          </w:p>
        </w:tc>
        <w:tc>
          <w:tcPr>
            <w:tcW w:w="4582" w:type="dxa"/>
          </w:tcPr>
          <w:p>
            <w:pPr>
              <w:pStyle w:val="TableParagraph"/>
              <w:spacing w:line="268" w:lineRule="exact"/>
              <w:ind w:left="100" w:right="229"/>
              <w:rPr>
                <w:sz w:val="22"/>
              </w:rPr>
            </w:pPr>
            <w:r>
              <w:rPr>
                <w:sz w:val="22"/>
              </w:rPr>
              <w:t>Determina la Planta de Personal de la Unidad.</w:t>
            </w:r>
          </w:p>
        </w:tc>
      </w:tr>
      <w:tr>
        <w:trPr>
          <w:trHeight w:val="1085" w:hRule="exact"/>
        </w:trPr>
        <w:tc>
          <w:tcPr>
            <w:tcW w:w="5161" w:type="dxa"/>
          </w:tcPr>
          <w:p>
            <w:pPr>
              <w:pStyle w:val="TableParagraph"/>
              <w:spacing w:line="268" w:lineRule="exact"/>
              <w:ind w:left="103"/>
              <w:rPr>
                <w:sz w:val="22"/>
              </w:rPr>
            </w:pPr>
            <w:r>
              <w:rPr>
                <w:sz w:val="22"/>
              </w:rPr>
              <w:t>Decreto 2043 de 2012</w:t>
            </w:r>
          </w:p>
        </w:tc>
        <w:tc>
          <w:tcPr>
            <w:tcW w:w="4582" w:type="dxa"/>
          </w:tcPr>
          <w:p>
            <w:pPr>
              <w:pStyle w:val="TableParagraph"/>
              <w:ind w:left="100" w:right="599"/>
              <w:rPr>
                <w:sz w:val="22"/>
              </w:rPr>
            </w:pPr>
            <w:r>
              <w:rPr>
                <w:sz w:val="22"/>
              </w:rPr>
              <w:t>Por medio de la cual se crean los grupos de trabajo en la Unidad para la Atención y Reparación Integral a las Victimas y se les asignan funciones.</w:t>
            </w:r>
          </w:p>
        </w:tc>
      </w:tr>
      <w:tr>
        <w:trPr>
          <w:trHeight w:val="2707" w:hRule="exact"/>
        </w:trPr>
        <w:tc>
          <w:tcPr>
            <w:tcW w:w="5161" w:type="dxa"/>
          </w:tcPr>
          <w:p>
            <w:pPr>
              <w:pStyle w:val="TableParagraph"/>
              <w:spacing w:line="265" w:lineRule="exact"/>
              <w:ind w:left="103"/>
              <w:rPr>
                <w:sz w:val="22"/>
              </w:rPr>
            </w:pPr>
            <w:r>
              <w:rPr>
                <w:sz w:val="22"/>
              </w:rPr>
              <w:t>Decreto 790 de 2012</w:t>
            </w:r>
          </w:p>
        </w:tc>
        <w:tc>
          <w:tcPr>
            <w:tcW w:w="4582" w:type="dxa"/>
          </w:tcPr>
          <w:p>
            <w:pPr>
              <w:pStyle w:val="TableParagraph"/>
              <w:ind w:left="100" w:right="98"/>
              <w:jc w:val="both"/>
              <w:rPr>
                <w:sz w:val="22"/>
              </w:rPr>
            </w:pPr>
            <w:r>
              <w:rPr>
                <w:sz w:val="22"/>
              </w:rPr>
              <w:t>Por el cual se trasladan las funciones del Sistema Nacional de Atención Integral a la Población Desplazada por la Violencia – SNAIPD, al Sistema Nacional de Atención y Reparación Integral a las Víctimas y del Consejo Nacional de Atención Integral a la Población Desplazada – CNAIPD, al Comité Ejecutivo para la Atención y Reparación Integral a las Víctimas.</w:t>
            </w:r>
          </w:p>
        </w:tc>
      </w:tr>
      <w:tr>
        <w:trPr>
          <w:trHeight w:val="1354" w:hRule="exact"/>
        </w:trPr>
        <w:tc>
          <w:tcPr>
            <w:tcW w:w="5161" w:type="dxa"/>
          </w:tcPr>
          <w:p>
            <w:pPr>
              <w:pStyle w:val="TableParagraph"/>
              <w:spacing w:line="265" w:lineRule="exact"/>
              <w:ind w:left="103"/>
              <w:rPr>
                <w:sz w:val="22"/>
              </w:rPr>
            </w:pPr>
            <w:r>
              <w:rPr>
                <w:sz w:val="22"/>
              </w:rPr>
              <w:t>Otros</w:t>
            </w:r>
          </w:p>
        </w:tc>
        <w:tc>
          <w:tcPr>
            <w:tcW w:w="4582" w:type="dxa"/>
          </w:tcPr>
          <w:p>
            <w:pPr>
              <w:pStyle w:val="TableParagraph"/>
              <w:ind w:left="100" w:right="165"/>
              <w:rPr>
                <w:sz w:val="22"/>
              </w:rPr>
            </w:pPr>
            <w:r>
              <w:rPr>
                <w:sz w:val="22"/>
              </w:rPr>
              <w:t>Procedimiento de Certificación a las Entidades que conforman el Sistema Nacional de Atención y Reparación Integral a las víctimas a Nivel Nacional y Territorial, Documentos técnico de metodología de certificación 2014.</w:t>
            </w:r>
          </w:p>
        </w:tc>
      </w:tr>
    </w:tbl>
    <w:p>
      <w:pPr>
        <w:spacing w:after="0"/>
        <w:rPr>
          <w:sz w:val="22"/>
        </w:rPr>
        <w:sectPr>
          <w:pgSz w:w="12240" w:h="15840"/>
          <w:pgMar w:top="840" w:bottom="280" w:left="700" w:right="680"/>
        </w:sectPr>
      </w:pPr>
    </w:p>
    <w:tbl>
      <w:tblPr>
        <w:tblW w:w="0" w:type="auto"/>
        <w:jc w:val="left"/>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sz w:val="21"/>
        </w:rPr>
      </w:pPr>
      <w:r>
        <w:rPr/>
        <w:pict>
          <v:shapetype id="_x0000_t202" o:spt="202" coordsize="21600,21600" path="m,l,21600r21600,l21600,xe">
            <v:stroke joinstyle="miter"/>
            <v:path gradientshapeok="t" o:connecttype="rect"/>
          </v:shapetype>
          <v:shape style="position:absolute;margin-left:28.799999pt;margin-top:15.36pt;width:560.25pt;height:16.45pt;mso-position-horizontal-relative:page;mso-position-vertical-relative:paragraph;z-index:0;mso-wrap-distance-left:0;mso-wrap-distance-right:0" type="#_x0000_t202" filled="true" fillcolor="#d9d9d9" stroked="true" strokeweight=".47998pt" strokecolor="#000000">
            <v:textbox inset="0,0,0,0">
              <w:txbxContent>
                <w:p>
                  <w:pPr>
                    <w:spacing w:before="23"/>
                    <w:ind w:left="2234" w:right="0" w:firstLine="0"/>
                    <w:jc w:val="left"/>
                    <w:rPr>
                      <w:b/>
                      <w:sz w:val="22"/>
                    </w:rPr>
                  </w:pPr>
                  <w:r>
                    <w:rPr>
                      <w:b/>
                      <w:sz w:val="22"/>
                    </w:rPr>
                    <w:t>3.   PRINCIPALES SITUACIONES DETECTADAS/ RESULTADOS DE LA AUDITORÍA</w:t>
                  </w:r>
                </w:p>
              </w:txbxContent>
            </v:textbox>
            <v:fill type="solid"/>
            <w10:wrap type="topAndBottom"/>
          </v:shape>
        </w:pict>
      </w:r>
      <w:r>
        <w:rPr/>
        <w:pict>
          <v:line style="position:absolute;mso-position-horizontal-relative:page;mso-position-vertical-relative:page;z-index:-56896" from="69.744003pt,267.649994pt" to="583.204003pt,267.649994pt" stroked="true" strokeweight=".72pt" strokecolor="#000000">
            <w10:wrap type="none"/>
          </v:line>
        </w:pict>
      </w:r>
    </w:p>
    <w:p>
      <w:pPr>
        <w:pStyle w:val="BodyText"/>
        <w:rPr>
          <w:sz w:val="20"/>
        </w:rPr>
      </w:pPr>
    </w:p>
    <w:p>
      <w:pPr>
        <w:pStyle w:val="BodyText"/>
        <w:spacing w:before="7" w:after="1"/>
        <w:rPr>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06"/>
      </w:tblGrid>
      <w:tr>
        <w:trPr>
          <w:trHeight w:val="278" w:hRule="exact"/>
        </w:trPr>
        <w:tc>
          <w:tcPr>
            <w:tcW w:w="11206" w:type="dxa"/>
          </w:tcPr>
          <w:p>
            <w:pPr>
              <w:pStyle w:val="TableParagraph"/>
              <w:spacing w:line="265" w:lineRule="exact"/>
              <w:ind w:left="4885" w:right="4886"/>
              <w:jc w:val="center"/>
              <w:rPr>
                <w:b/>
                <w:sz w:val="22"/>
              </w:rPr>
            </w:pPr>
            <w:r>
              <w:rPr>
                <w:b/>
                <w:sz w:val="22"/>
              </w:rPr>
              <w:t>FICHA TÉCNICA</w:t>
            </w:r>
          </w:p>
        </w:tc>
      </w:tr>
      <w:tr>
        <w:trPr>
          <w:trHeight w:val="3368" w:hRule="exact"/>
        </w:trPr>
        <w:tc>
          <w:tcPr>
            <w:tcW w:w="11206" w:type="dxa"/>
          </w:tcPr>
          <w:p>
            <w:pPr>
              <w:pStyle w:val="TableParagraph"/>
              <w:spacing w:line="265" w:lineRule="exact"/>
              <w:ind w:left="103"/>
              <w:rPr>
                <w:b/>
                <w:sz w:val="22"/>
              </w:rPr>
            </w:pPr>
            <w:r>
              <w:rPr>
                <w:b/>
                <w:sz w:val="22"/>
              </w:rPr>
              <w:t>Herramientas Utilizadas:</w:t>
            </w:r>
          </w:p>
          <w:p>
            <w:pPr>
              <w:pStyle w:val="TableParagraph"/>
              <w:numPr>
                <w:ilvl w:val="0"/>
                <w:numId w:val="2"/>
              </w:numPr>
              <w:tabs>
                <w:tab w:pos="824" w:val="left" w:leader="none"/>
              </w:tabs>
              <w:spacing w:line="240" w:lineRule="auto" w:before="19" w:after="0"/>
              <w:ind w:left="823" w:right="0" w:hanging="360"/>
              <w:jc w:val="left"/>
              <w:rPr>
                <w:sz w:val="22"/>
              </w:rPr>
            </w:pPr>
            <w:r>
              <w:rPr>
                <w:sz w:val="22"/>
              </w:rPr>
              <w:t>Página Web e Intranet de la</w:t>
            </w:r>
            <w:r>
              <w:rPr>
                <w:spacing w:val="-9"/>
                <w:sz w:val="22"/>
              </w:rPr>
              <w:t> </w:t>
            </w:r>
            <w:r>
              <w:rPr>
                <w:sz w:val="22"/>
              </w:rPr>
              <w:t>Unidad.</w:t>
            </w:r>
          </w:p>
          <w:p>
            <w:pPr>
              <w:pStyle w:val="TableParagraph"/>
              <w:numPr>
                <w:ilvl w:val="0"/>
                <w:numId w:val="2"/>
              </w:numPr>
              <w:tabs>
                <w:tab w:pos="824" w:val="left" w:leader="none"/>
              </w:tabs>
              <w:spacing w:line="240" w:lineRule="auto" w:before="19" w:after="0"/>
              <w:ind w:left="823" w:right="102" w:hanging="360"/>
              <w:jc w:val="both"/>
              <w:rPr>
                <w:sz w:val="22"/>
              </w:rPr>
            </w:pPr>
            <w:r>
              <w:rPr>
                <w:sz w:val="22"/>
              </w:rPr>
              <w:t>Totoro/UARIV/Dirección de Gestión Interinstitucional/Coordinación SNARIV/Certificación/Certificación del nivel nacional/Certificación 2015 año</w:t>
            </w:r>
            <w:r>
              <w:rPr>
                <w:spacing w:val="-7"/>
                <w:sz w:val="22"/>
              </w:rPr>
              <w:t> </w:t>
            </w:r>
            <w:r>
              <w:rPr>
                <w:sz w:val="22"/>
              </w:rPr>
              <w:t>2014.</w:t>
            </w:r>
          </w:p>
          <w:p>
            <w:pPr>
              <w:pStyle w:val="TableParagraph"/>
              <w:numPr>
                <w:ilvl w:val="0"/>
                <w:numId w:val="2"/>
              </w:numPr>
              <w:tabs>
                <w:tab w:pos="824" w:val="left" w:leader="none"/>
              </w:tabs>
              <w:spacing w:line="240" w:lineRule="auto" w:before="19" w:after="0"/>
              <w:ind w:left="823" w:right="100" w:hanging="360"/>
              <w:jc w:val="both"/>
              <w:rPr>
                <w:sz w:val="22"/>
              </w:rPr>
            </w:pPr>
            <w:r>
              <w:rPr>
                <w:sz w:val="22"/>
              </w:rPr>
              <w:t>\\totoro\Unidad_Victimas\Dir Gestion Interinstitucional\Coordinación Nación Territorio\220.29 </w:t>
            </w:r>
            <w:r>
              <w:rPr>
                <w:sz w:val="22"/>
                <w:u w:val="single"/>
              </w:rPr>
              <w:t>Certificaciones\220.29.3\Vigencia</w:t>
            </w:r>
            <w:r>
              <w:rPr>
                <w:spacing w:val="-11"/>
                <w:sz w:val="22"/>
                <w:u w:val="single"/>
              </w:rPr>
              <w:t> </w:t>
            </w:r>
            <w:r>
              <w:rPr>
                <w:sz w:val="22"/>
                <w:u w:val="single"/>
              </w:rPr>
              <w:t>2014\PROCEDIMIENTO</w:t>
            </w:r>
            <w:r>
              <w:rPr>
                <w:spacing w:val="-10"/>
                <w:sz w:val="22"/>
                <w:u w:val="single"/>
              </w:rPr>
              <w:t> </w:t>
            </w:r>
            <w:r>
              <w:rPr>
                <w:sz w:val="22"/>
                <w:u w:val="single"/>
              </w:rPr>
              <w:t>CERTIFICACIÓN</w:t>
            </w:r>
            <w:r>
              <w:rPr>
                <w:spacing w:val="-11"/>
                <w:sz w:val="22"/>
                <w:u w:val="single"/>
              </w:rPr>
              <w:t> </w:t>
            </w:r>
            <w:r>
              <w:rPr>
                <w:sz w:val="22"/>
                <w:u w:val="single"/>
              </w:rPr>
              <w:t>TERRITORIAL</w:t>
            </w:r>
            <w:r>
              <w:rPr>
                <w:spacing w:val="-11"/>
                <w:sz w:val="22"/>
                <w:u w:val="single"/>
              </w:rPr>
              <w:t> </w:t>
            </w:r>
            <w:r>
              <w:rPr>
                <w:sz w:val="22"/>
                <w:u w:val="single"/>
              </w:rPr>
              <w:t>2014</w:t>
            </w:r>
            <w:r>
              <w:rPr>
                <w:sz w:val="22"/>
              </w:rPr>
              <w:t>.</w:t>
            </w:r>
          </w:p>
          <w:p>
            <w:pPr>
              <w:pStyle w:val="TableParagraph"/>
              <w:numPr>
                <w:ilvl w:val="0"/>
                <w:numId w:val="2"/>
              </w:numPr>
              <w:tabs>
                <w:tab w:pos="824" w:val="left" w:leader="none"/>
              </w:tabs>
              <w:spacing w:line="240" w:lineRule="auto" w:before="17" w:after="0"/>
              <w:ind w:left="823" w:right="100" w:hanging="360"/>
              <w:jc w:val="both"/>
              <w:rPr>
                <w:sz w:val="22"/>
              </w:rPr>
            </w:pPr>
            <w:r>
              <w:rPr>
                <w:sz w:val="22"/>
              </w:rPr>
              <w:t>Documento final de certificación de la contribución de las entidades del orden nacional que conforman el sistema nacional de atención y reparación integral a víctimas al goce efectivo de derechos de las víctimas del conflicto armado, vigencia</w:t>
            </w:r>
            <w:r>
              <w:rPr>
                <w:spacing w:val="-3"/>
                <w:sz w:val="22"/>
              </w:rPr>
              <w:t> </w:t>
            </w:r>
            <w:r>
              <w:rPr>
                <w:sz w:val="22"/>
              </w:rPr>
              <w:t>2014.</w:t>
            </w:r>
          </w:p>
          <w:p>
            <w:pPr>
              <w:pStyle w:val="TableParagraph"/>
              <w:numPr>
                <w:ilvl w:val="0"/>
                <w:numId w:val="2"/>
              </w:numPr>
              <w:tabs>
                <w:tab w:pos="824" w:val="left" w:leader="none"/>
              </w:tabs>
              <w:spacing w:line="240" w:lineRule="auto" w:before="19" w:after="0"/>
              <w:ind w:left="823" w:right="102" w:hanging="360"/>
              <w:jc w:val="both"/>
              <w:rPr>
                <w:sz w:val="22"/>
              </w:rPr>
            </w:pPr>
            <w:r>
              <w:rPr>
                <w:sz w:val="22"/>
              </w:rPr>
              <w:t>Metodología para la certificación de la contribución de las entidades territoriales al goce efectivo de los derechos de las</w:t>
            </w:r>
            <w:r>
              <w:rPr>
                <w:spacing w:val="-3"/>
                <w:sz w:val="22"/>
              </w:rPr>
              <w:t> </w:t>
            </w:r>
            <w:r>
              <w:rPr>
                <w:sz w:val="22"/>
              </w:rPr>
              <w:t>víctimas.</w:t>
            </w:r>
          </w:p>
        </w:tc>
      </w:tr>
      <w:tr>
        <w:trPr>
          <w:trHeight w:val="278" w:hRule="exact"/>
        </w:trPr>
        <w:tc>
          <w:tcPr>
            <w:tcW w:w="11206" w:type="dxa"/>
          </w:tcPr>
          <w:p>
            <w:pPr/>
          </w:p>
        </w:tc>
      </w:tr>
      <w:tr>
        <w:trPr>
          <w:trHeight w:val="814" w:hRule="exact"/>
        </w:trPr>
        <w:tc>
          <w:tcPr>
            <w:tcW w:w="11206" w:type="dxa"/>
          </w:tcPr>
          <w:p>
            <w:pPr>
              <w:pStyle w:val="TableParagraph"/>
              <w:ind w:left="103" w:right="100"/>
              <w:jc w:val="both"/>
              <w:rPr>
                <w:sz w:val="22"/>
              </w:rPr>
            </w:pPr>
            <w:r>
              <w:rPr>
                <w:b/>
                <w:sz w:val="22"/>
              </w:rPr>
              <w:t>Universo: </w:t>
            </w:r>
            <w:r>
              <w:rPr>
                <w:sz w:val="22"/>
              </w:rPr>
              <w:t>La UNIDAD DE ATENCIÓN, ASISTENCIA Y REPARACIÓN INTEGRAL, durante los años 2012, 2013, 2014 ha venido implementando</w:t>
            </w:r>
            <w:r>
              <w:rPr>
                <w:spacing w:val="-9"/>
                <w:sz w:val="22"/>
              </w:rPr>
              <w:t> </w:t>
            </w:r>
            <w:r>
              <w:rPr>
                <w:sz w:val="22"/>
              </w:rPr>
              <w:t>el</w:t>
            </w:r>
            <w:r>
              <w:rPr>
                <w:spacing w:val="-13"/>
                <w:sz w:val="22"/>
              </w:rPr>
              <w:t> </w:t>
            </w:r>
            <w:r>
              <w:rPr>
                <w:sz w:val="22"/>
              </w:rPr>
              <w:t>proceso</w:t>
            </w:r>
            <w:r>
              <w:rPr>
                <w:spacing w:val="-14"/>
                <w:sz w:val="22"/>
              </w:rPr>
              <w:t> </w:t>
            </w:r>
            <w:r>
              <w:rPr>
                <w:sz w:val="22"/>
              </w:rPr>
              <w:t>de</w:t>
            </w:r>
            <w:r>
              <w:rPr>
                <w:spacing w:val="-10"/>
                <w:sz w:val="22"/>
              </w:rPr>
              <w:t> </w:t>
            </w:r>
            <w:r>
              <w:rPr>
                <w:sz w:val="22"/>
              </w:rPr>
              <w:t>certificación</w:t>
            </w:r>
            <w:r>
              <w:rPr>
                <w:spacing w:val="-11"/>
                <w:sz w:val="22"/>
              </w:rPr>
              <w:t> </w:t>
            </w:r>
            <w:r>
              <w:rPr>
                <w:sz w:val="22"/>
              </w:rPr>
              <w:t>de</w:t>
            </w:r>
            <w:r>
              <w:rPr>
                <w:spacing w:val="-10"/>
                <w:sz w:val="22"/>
              </w:rPr>
              <w:t> </w:t>
            </w:r>
            <w:r>
              <w:rPr>
                <w:sz w:val="22"/>
              </w:rPr>
              <w:t>las</w:t>
            </w:r>
            <w:r>
              <w:rPr>
                <w:spacing w:val="-13"/>
                <w:sz w:val="22"/>
              </w:rPr>
              <w:t> </w:t>
            </w:r>
            <w:r>
              <w:rPr>
                <w:sz w:val="22"/>
              </w:rPr>
              <w:t>entidades</w:t>
            </w:r>
            <w:r>
              <w:rPr>
                <w:spacing w:val="-10"/>
                <w:sz w:val="22"/>
              </w:rPr>
              <w:t> </w:t>
            </w:r>
            <w:r>
              <w:rPr>
                <w:sz w:val="22"/>
              </w:rPr>
              <w:t>del</w:t>
            </w:r>
            <w:r>
              <w:rPr>
                <w:spacing w:val="-10"/>
                <w:sz w:val="22"/>
              </w:rPr>
              <w:t> </w:t>
            </w:r>
            <w:r>
              <w:rPr>
                <w:sz w:val="22"/>
              </w:rPr>
              <w:t>SNARIV</w:t>
            </w:r>
            <w:r>
              <w:rPr>
                <w:spacing w:val="-11"/>
                <w:sz w:val="22"/>
              </w:rPr>
              <w:t> </w:t>
            </w:r>
            <w:r>
              <w:rPr>
                <w:sz w:val="22"/>
              </w:rPr>
              <w:t>a</w:t>
            </w:r>
            <w:r>
              <w:rPr>
                <w:spacing w:val="-13"/>
                <w:sz w:val="22"/>
              </w:rPr>
              <w:t> </w:t>
            </w:r>
            <w:r>
              <w:rPr>
                <w:sz w:val="22"/>
              </w:rPr>
              <w:t>nivel</w:t>
            </w:r>
            <w:r>
              <w:rPr>
                <w:spacing w:val="-11"/>
                <w:sz w:val="22"/>
              </w:rPr>
              <w:t> </w:t>
            </w:r>
            <w:r>
              <w:rPr>
                <w:sz w:val="22"/>
              </w:rPr>
              <w:t>nacional</w:t>
            </w:r>
            <w:r>
              <w:rPr>
                <w:spacing w:val="-11"/>
                <w:sz w:val="22"/>
              </w:rPr>
              <w:t> </w:t>
            </w:r>
            <w:r>
              <w:rPr>
                <w:sz w:val="22"/>
              </w:rPr>
              <w:t>y</w:t>
            </w:r>
            <w:r>
              <w:rPr>
                <w:spacing w:val="-12"/>
                <w:sz w:val="22"/>
              </w:rPr>
              <w:t> </w:t>
            </w:r>
            <w:r>
              <w:rPr>
                <w:sz w:val="22"/>
              </w:rPr>
              <w:t>territorial.</w:t>
            </w:r>
            <w:r>
              <w:rPr>
                <w:spacing w:val="-14"/>
                <w:sz w:val="22"/>
              </w:rPr>
              <w:t> </w:t>
            </w:r>
            <w:r>
              <w:rPr>
                <w:sz w:val="22"/>
              </w:rPr>
              <w:t>Esta</w:t>
            </w:r>
            <w:r>
              <w:rPr>
                <w:spacing w:val="-13"/>
                <w:sz w:val="22"/>
              </w:rPr>
              <w:t> </w:t>
            </w:r>
            <w:r>
              <w:rPr>
                <w:sz w:val="22"/>
              </w:rPr>
              <w:t>auditoría</w:t>
            </w:r>
            <w:r>
              <w:rPr>
                <w:spacing w:val="-11"/>
                <w:sz w:val="22"/>
              </w:rPr>
              <w:t> </w:t>
            </w:r>
            <w:r>
              <w:rPr>
                <w:sz w:val="22"/>
              </w:rPr>
              <w:t>se</w:t>
            </w:r>
            <w:r>
              <w:rPr>
                <w:spacing w:val="-10"/>
                <w:sz w:val="22"/>
              </w:rPr>
              <w:t> </w:t>
            </w:r>
            <w:r>
              <w:rPr>
                <w:sz w:val="22"/>
              </w:rPr>
              <w:t>efectúa exclusivamente</w:t>
            </w:r>
            <w:r>
              <w:rPr>
                <w:spacing w:val="-4"/>
                <w:sz w:val="22"/>
              </w:rPr>
              <w:t> </w:t>
            </w:r>
            <w:r>
              <w:rPr>
                <w:sz w:val="22"/>
              </w:rPr>
              <w:t>sobre</w:t>
            </w:r>
            <w:r>
              <w:rPr>
                <w:spacing w:val="-2"/>
                <w:sz w:val="22"/>
              </w:rPr>
              <w:t> </w:t>
            </w:r>
            <w:r>
              <w:rPr>
                <w:sz w:val="22"/>
              </w:rPr>
              <w:t>las</w:t>
            </w:r>
            <w:r>
              <w:rPr>
                <w:spacing w:val="-3"/>
                <w:sz w:val="22"/>
              </w:rPr>
              <w:t> </w:t>
            </w:r>
            <w:r>
              <w:rPr>
                <w:sz w:val="22"/>
              </w:rPr>
              <w:t>certificaciones</w:t>
            </w:r>
            <w:r>
              <w:rPr>
                <w:spacing w:val="-4"/>
                <w:sz w:val="22"/>
              </w:rPr>
              <w:t> </w:t>
            </w:r>
            <w:r>
              <w:rPr>
                <w:sz w:val="22"/>
              </w:rPr>
              <w:t>expedidas</w:t>
            </w:r>
            <w:r>
              <w:rPr>
                <w:spacing w:val="-5"/>
                <w:sz w:val="22"/>
              </w:rPr>
              <w:t> </w:t>
            </w:r>
            <w:r>
              <w:rPr>
                <w:sz w:val="22"/>
              </w:rPr>
              <w:t>tanto</w:t>
            </w:r>
            <w:r>
              <w:rPr>
                <w:spacing w:val="-1"/>
                <w:sz w:val="22"/>
              </w:rPr>
              <w:t> </w:t>
            </w:r>
            <w:r>
              <w:rPr>
                <w:sz w:val="22"/>
              </w:rPr>
              <w:t>en</w:t>
            </w:r>
            <w:r>
              <w:rPr>
                <w:spacing w:val="-5"/>
                <w:sz w:val="22"/>
              </w:rPr>
              <w:t> </w:t>
            </w:r>
            <w:r>
              <w:rPr>
                <w:sz w:val="22"/>
              </w:rPr>
              <w:t>el</w:t>
            </w:r>
            <w:r>
              <w:rPr>
                <w:spacing w:val="-2"/>
                <w:sz w:val="22"/>
              </w:rPr>
              <w:t> </w:t>
            </w:r>
            <w:r>
              <w:rPr>
                <w:sz w:val="22"/>
              </w:rPr>
              <w:t>nivel</w:t>
            </w:r>
            <w:r>
              <w:rPr>
                <w:spacing w:val="-2"/>
                <w:sz w:val="22"/>
              </w:rPr>
              <w:t> </w:t>
            </w:r>
            <w:r>
              <w:rPr>
                <w:sz w:val="22"/>
              </w:rPr>
              <w:t>nacional</w:t>
            </w:r>
            <w:r>
              <w:rPr>
                <w:spacing w:val="-2"/>
                <w:sz w:val="22"/>
              </w:rPr>
              <w:t> </w:t>
            </w:r>
            <w:r>
              <w:rPr>
                <w:sz w:val="22"/>
              </w:rPr>
              <w:t>como</w:t>
            </w:r>
            <w:r>
              <w:rPr>
                <w:spacing w:val="-3"/>
                <w:sz w:val="22"/>
              </w:rPr>
              <w:t> </w:t>
            </w:r>
            <w:r>
              <w:rPr>
                <w:sz w:val="22"/>
              </w:rPr>
              <w:t>el</w:t>
            </w:r>
            <w:r>
              <w:rPr>
                <w:spacing w:val="-4"/>
                <w:sz w:val="22"/>
              </w:rPr>
              <w:t> </w:t>
            </w:r>
            <w:r>
              <w:rPr>
                <w:sz w:val="22"/>
              </w:rPr>
              <w:t>territorial</w:t>
            </w:r>
            <w:r>
              <w:rPr>
                <w:spacing w:val="-2"/>
                <w:sz w:val="22"/>
              </w:rPr>
              <w:t> </w:t>
            </w:r>
            <w:r>
              <w:rPr>
                <w:sz w:val="22"/>
              </w:rPr>
              <w:t>para</w:t>
            </w:r>
            <w:r>
              <w:rPr>
                <w:spacing w:val="-5"/>
                <w:sz w:val="22"/>
              </w:rPr>
              <w:t> </w:t>
            </w:r>
            <w:r>
              <w:rPr>
                <w:sz w:val="22"/>
              </w:rPr>
              <w:t>el</w:t>
            </w:r>
            <w:r>
              <w:rPr>
                <w:spacing w:val="-2"/>
                <w:sz w:val="22"/>
              </w:rPr>
              <w:t> </w:t>
            </w:r>
            <w:r>
              <w:rPr>
                <w:sz w:val="22"/>
              </w:rPr>
              <w:t>año</w:t>
            </w:r>
            <w:r>
              <w:rPr>
                <w:spacing w:val="-1"/>
                <w:sz w:val="22"/>
              </w:rPr>
              <w:t> </w:t>
            </w:r>
            <w:r>
              <w:rPr>
                <w:sz w:val="22"/>
              </w:rPr>
              <w:t>2014.</w:t>
            </w:r>
          </w:p>
        </w:tc>
      </w:tr>
      <w:tr>
        <w:trPr>
          <w:trHeight w:val="281" w:hRule="exact"/>
        </w:trPr>
        <w:tc>
          <w:tcPr>
            <w:tcW w:w="11206" w:type="dxa"/>
          </w:tcPr>
          <w:p>
            <w:pPr/>
          </w:p>
        </w:tc>
      </w:tr>
      <w:tr>
        <w:trPr>
          <w:trHeight w:val="278" w:hRule="exact"/>
        </w:trPr>
        <w:tc>
          <w:tcPr>
            <w:tcW w:w="11206" w:type="dxa"/>
          </w:tcPr>
          <w:p>
            <w:pPr>
              <w:pStyle w:val="TableParagraph"/>
              <w:spacing w:line="265" w:lineRule="exact"/>
              <w:ind w:left="103"/>
              <w:rPr>
                <w:b/>
                <w:sz w:val="22"/>
              </w:rPr>
            </w:pPr>
            <w:r>
              <w:rPr>
                <w:b/>
                <w:sz w:val="22"/>
              </w:rPr>
              <w:t>Población objeto: CERTIFICACIONES SNARIV NIVEL TERRITORIAL Y NACIONAL PARA EL AÑO 2014.</w:t>
            </w:r>
          </w:p>
        </w:tc>
      </w:tr>
      <w:tr>
        <w:trPr>
          <w:trHeight w:val="278" w:hRule="exact"/>
        </w:trPr>
        <w:tc>
          <w:tcPr>
            <w:tcW w:w="11206" w:type="dxa"/>
          </w:tcPr>
          <w:p>
            <w:pPr/>
          </w:p>
        </w:tc>
      </w:tr>
      <w:tr>
        <w:trPr>
          <w:trHeight w:val="816" w:hRule="exact"/>
        </w:trPr>
        <w:tc>
          <w:tcPr>
            <w:tcW w:w="11206" w:type="dxa"/>
          </w:tcPr>
          <w:p>
            <w:pPr>
              <w:pStyle w:val="TableParagraph"/>
              <w:ind w:left="103" w:right="104"/>
              <w:jc w:val="both"/>
              <w:rPr>
                <w:b/>
                <w:sz w:val="22"/>
              </w:rPr>
            </w:pPr>
            <w:r>
              <w:rPr>
                <w:b/>
                <w:sz w:val="22"/>
              </w:rPr>
              <w:t>Marco</w:t>
            </w:r>
            <w:r>
              <w:rPr>
                <w:b/>
                <w:spacing w:val="-10"/>
                <w:sz w:val="22"/>
              </w:rPr>
              <w:t> </w:t>
            </w:r>
            <w:r>
              <w:rPr>
                <w:b/>
                <w:sz w:val="22"/>
              </w:rPr>
              <w:t>estadístico:</w:t>
            </w:r>
            <w:r>
              <w:rPr>
                <w:b/>
                <w:spacing w:val="-10"/>
                <w:sz w:val="22"/>
              </w:rPr>
              <w:t> </w:t>
            </w:r>
            <w:r>
              <w:rPr>
                <w:b/>
                <w:sz w:val="22"/>
              </w:rPr>
              <w:t>Para</w:t>
            </w:r>
            <w:r>
              <w:rPr>
                <w:b/>
                <w:spacing w:val="-10"/>
                <w:sz w:val="22"/>
              </w:rPr>
              <w:t> </w:t>
            </w:r>
            <w:r>
              <w:rPr>
                <w:b/>
                <w:sz w:val="22"/>
              </w:rPr>
              <w:t>verificar</w:t>
            </w:r>
            <w:r>
              <w:rPr>
                <w:b/>
                <w:spacing w:val="-9"/>
                <w:sz w:val="22"/>
              </w:rPr>
              <w:t> </w:t>
            </w:r>
            <w:r>
              <w:rPr>
                <w:b/>
                <w:sz w:val="22"/>
              </w:rPr>
              <w:t>el</w:t>
            </w:r>
            <w:r>
              <w:rPr>
                <w:b/>
                <w:spacing w:val="-9"/>
                <w:sz w:val="22"/>
              </w:rPr>
              <w:t> </w:t>
            </w:r>
            <w:r>
              <w:rPr>
                <w:b/>
                <w:sz w:val="22"/>
              </w:rPr>
              <w:t>cumplimiento</w:t>
            </w:r>
            <w:r>
              <w:rPr>
                <w:b/>
                <w:spacing w:val="-10"/>
                <w:sz w:val="22"/>
              </w:rPr>
              <w:t> </w:t>
            </w:r>
            <w:r>
              <w:rPr>
                <w:b/>
                <w:sz w:val="22"/>
              </w:rPr>
              <w:t>del</w:t>
            </w:r>
            <w:r>
              <w:rPr>
                <w:b/>
                <w:spacing w:val="-11"/>
                <w:sz w:val="22"/>
              </w:rPr>
              <w:t> </w:t>
            </w:r>
            <w:r>
              <w:rPr>
                <w:b/>
                <w:sz w:val="22"/>
              </w:rPr>
              <w:t>procedimiento</w:t>
            </w:r>
            <w:r>
              <w:rPr>
                <w:b/>
                <w:spacing w:val="-10"/>
                <w:sz w:val="22"/>
              </w:rPr>
              <w:t> </w:t>
            </w:r>
            <w:r>
              <w:rPr>
                <w:b/>
                <w:sz w:val="22"/>
              </w:rPr>
              <w:t>objeto</w:t>
            </w:r>
            <w:r>
              <w:rPr>
                <w:b/>
                <w:spacing w:val="-10"/>
                <w:sz w:val="22"/>
              </w:rPr>
              <w:t> </w:t>
            </w:r>
            <w:r>
              <w:rPr>
                <w:b/>
                <w:sz w:val="22"/>
              </w:rPr>
              <w:t>de</w:t>
            </w:r>
            <w:r>
              <w:rPr>
                <w:b/>
                <w:spacing w:val="-10"/>
                <w:sz w:val="22"/>
              </w:rPr>
              <w:t> </w:t>
            </w:r>
            <w:r>
              <w:rPr>
                <w:b/>
                <w:sz w:val="22"/>
              </w:rPr>
              <w:t>evaluación,</w:t>
            </w:r>
            <w:r>
              <w:rPr>
                <w:b/>
                <w:spacing w:val="-9"/>
                <w:sz w:val="22"/>
              </w:rPr>
              <w:t> </w:t>
            </w:r>
            <w:r>
              <w:rPr>
                <w:b/>
                <w:sz w:val="22"/>
              </w:rPr>
              <w:t>se</w:t>
            </w:r>
            <w:r>
              <w:rPr>
                <w:b/>
                <w:spacing w:val="-10"/>
                <w:sz w:val="22"/>
              </w:rPr>
              <w:t> </w:t>
            </w:r>
            <w:r>
              <w:rPr>
                <w:b/>
                <w:sz w:val="22"/>
              </w:rPr>
              <w:t>tomó</w:t>
            </w:r>
            <w:r>
              <w:rPr>
                <w:b/>
                <w:spacing w:val="-10"/>
                <w:sz w:val="22"/>
              </w:rPr>
              <w:t> </w:t>
            </w:r>
            <w:r>
              <w:rPr>
                <w:b/>
                <w:sz w:val="22"/>
              </w:rPr>
              <w:t>una</w:t>
            </w:r>
            <w:r>
              <w:rPr>
                <w:b/>
                <w:spacing w:val="-10"/>
                <w:sz w:val="22"/>
              </w:rPr>
              <w:t> </w:t>
            </w:r>
            <w:r>
              <w:rPr>
                <w:b/>
                <w:sz w:val="22"/>
              </w:rPr>
              <w:t>muestra</w:t>
            </w:r>
            <w:r>
              <w:rPr>
                <w:b/>
                <w:spacing w:val="-10"/>
                <w:sz w:val="22"/>
              </w:rPr>
              <w:t> </w:t>
            </w:r>
            <w:r>
              <w:rPr>
                <w:b/>
                <w:sz w:val="22"/>
              </w:rPr>
              <w:t>aleatoria no estadístico de Entidades, tanto en el nivel nacional como en el nivel territorial; en donde se constatará el trámite de certificación de inicio a</w:t>
            </w:r>
            <w:r>
              <w:rPr>
                <w:b/>
                <w:spacing w:val="-9"/>
                <w:sz w:val="22"/>
              </w:rPr>
              <w:t> </w:t>
            </w:r>
            <w:r>
              <w:rPr>
                <w:b/>
                <w:sz w:val="22"/>
              </w:rPr>
              <w:t>fin.</w:t>
            </w:r>
          </w:p>
        </w:tc>
      </w:tr>
    </w:tbl>
    <w:p>
      <w:pPr>
        <w:pStyle w:val="BodyText"/>
        <w:spacing w:before="1"/>
        <w:rPr>
          <w:sz w:val="18"/>
        </w:rPr>
      </w:pPr>
    </w:p>
    <w:p>
      <w:pPr>
        <w:spacing w:before="57"/>
        <w:ind w:left="5177" w:right="4632" w:firstLine="0"/>
        <w:jc w:val="center"/>
        <w:rPr>
          <w:b/>
          <w:sz w:val="22"/>
        </w:rPr>
      </w:pPr>
      <w:r>
        <w:rPr>
          <w:b/>
          <w:sz w:val="22"/>
        </w:rPr>
        <w:t>GENERALIDADES.</w:t>
      </w:r>
    </w:p>
    <w:p>
      <w:pPr>
        <w:pStyle w:val="BodyText"/>
        <w:spacing w:before="2"/>
        <w:rPr>
          <w:b/>
          <w:sz w:val="18"/>
        </w:rPr>
      </w:pPr>
    </w:p>
    <w:p>
      <w:pPr>
        <w:spacing w:line="240" w:lineRule="auto" w:before="57"/>
        <w:ind w:left="392" w:right="410" w:firstLine="0"/>
        <w:jc w:val="both"/>
        <w:rPr>
          <w:i/>
          <w:sz w:val="22"/>
        </w:rPr>
      </w:pPr>
      <w:r>
        <w:rPr>
          <w:sz w:val="22"/>
        </w:rPr>
        <w:t>La</w:t>
      </w:r>
      <w:r>
        <w:rPr>
          <w:spacing w:val="-3"/>
          <w:sz w:val="22"/>
        </w:rPr>
        <w:t> </w:t>
      </w:r>
      <w:r>
        <w:rPr>
          <w:sz w:val="22"/>
        </w:rPr>
        <w:t>ley</w:t>
      </w:r>
      <w:r>
        <w:rPr>
          <w:spacing w:val="-4"/>
          <w:sz w:val="22"/>
        </w:rPr>
        <w:t> </w:t>
      </w:r>
      <w:r>
        <w:rPr>
          <w:sz w:val="22"/>
        </w:rPr>
        <w:t>1448</w:t>
      </w:r>
      <w:r>
        <w:rPr>
          <w:spacing w:val="42"/>
          <w:sz w:val="22"/>
        </w:rPr>
        <w:t> </w:t>
      </w:r>
      <w:r>
        <w:rPr>
          <w:sz w:val="22"/>
        </w:rPr>
        <w:t>de</w:t>
      </w:r>
      <w:r>
        <w:rPr>
          <w:spacing w:val="-7"/>
          <w:sz w:val="22"/>
        </w:rPr>
        <w:t> </w:t>
      </w:r>
      <w:r>
        <w:rPr>
          <w:sz w:val="22"/>
        </w:rPr>
        <w:t>2011</w:t>
      </w:r>
      <w:r>
        <w:rPr>
          <w:spacing w:val="-5"/>
          <w:sz w:val="22"/>
        </w:rPr>
        <w:t> </w:t>
      </w:r>
      <w:r>
        <w:rPr>
          <w:sz w:val="22"/>
        </w:rPr>
        <w:t>en</w:t>
      </w:r>
      <w:r>
        <w:rPr>
          <w:spacing w:val="-6"/>
          <w:sz w:val="22"/>
        </w:rPr>
        <w:t> </w:t>
      </w:r>
      <w:r>
        <w:rPr>
          <w:sz w:val="22"/>
        </w:rPr>
        <w:t>su</w:t>
      </w:r>
      <w:r>
        <w:rPr>
          <w:spacing w:val="-6"/>
          <w:sz w:val="22"/>
        </w:rPr>
        <w:t> </w:t>
      </w:r>
      <w:r>
        <w:rPr>
          <w:sz w:val="22"/>
        </w:rPr>
        <w:t>artículo</w:t>
      </w:r>
      <w:r>
        <w:rPr>
          <w:spacing w:val="-5"/>
          <w:sz w:val="22"/>
        </w:rPr>
        <w:t> </w:t>
      </w:r>
      <w:r>
        <w:rPr>
          <w:sz w:val="22"/>
        </w:rPr>
        <w:t>168,</w:t>
      </w:r>
      <w:r>
        <w:rPr>
          <w:spacing w:val="-8"/>
          <w:sz w:val="22"/>
        </w:rPr>
        <w:t> </w:t>
      </w:r>
      <w:r>
        <w:rPr>
          <w:sz w:val="22"/>
        </w:rPr>
        <w:t>establece</w:t>
      </w:r>
      <w:r>
        <w:rPr>
          <w:spacing w:val="-5"/>
          <w:sz w:val="22"/>
        </w:rPr>
        <w:t> </w:t>
      </w:r>
      <w:r>
        <w:rPr>
          <w:sz w:val="22"/>
        </w:rPr>
        <w:t>las</w:t>
      </w:r>
      <w:r>
        <w:rPr>
          <w:spacing w:val="-4"/>
          <w:sz w:val="22"/>
        </w:rPr>
        <w:t> </w:t>
      </w:r>
      <w:r>
        <w:rPr>
          <w:sz w:val="22"/>
        </w:rPr>
        <w:t>funciones</w:t>
      </w:r>
      <w:r>
        <w:rPr>
          <w:spacing w:val="-5"/>
          <w:sz w:val="22"/>
        </w:rPr>
        <w:t> </w:t>
      </w:r>
      <w:r>
        <w:rPr>
          <w:sz w:val="22"/>
        </w:rPr>
        <w:t>de</w:t>
      </w:r>
      <w:r>
        <w:rPr>
          <w:spacing w:val="-3"/>
          <w:sz w:val="22"/>
        </w:rPr>
        <w:t> </w:t>
      </w:r>
      <w:r>
        <w:rPr>
          <w:sz w:val="22"/>
        </w:rPr>
        <w:t>la</w:t>
      </w:r>
      <w:r>
        <w:rPr>
          <w:spacing w:val="-6"/>
          <w:sz w:val="22"/>
        </w:rPr>
        <w:t> </w:t>
      </w:r>
      <w:r>
        <w:rPr>
          <w:sz w:val="22"/>
        </w:rPr>
        <w:t>Unidad</w:t>
      </w:r>
      <w:r>
        <w:rPr>
          <w:spacing w:val="-7"/>
          <w:sz w:val="22"/>
        </w:rPr>
        <w:t> </w:t>
      </w:r>
      <w:r>
        <w:rPr>
          <w:sz w:val="22"/>
        </w:rPr>
        <w:t>para</w:t>
      </w:r>
      <w:r>
        <w:rPr>
          <w:spacing w:val="-6"/>
          <w:sz w:val="22"/>
        </w:rPr>
        <w:t> </w:t>
      </w:r>
      <w:r>
        <w:rPr>
          <w:sz w:val="22"/>
        </w:rPr>
        <w:t>la</w:t>
      </w:r>
      <w:r>
        <w:rPr>
          <w:spacing w:val="-4"/>
          <w:sz w:val="22"/>
        </w:rPr>
        <w:t> </w:t>
      </w:r>
      <w:r>
        <w:rPr>
          <w:sz w:val="22"/>
        </w:rPr>
        <w:t>Atención</w:t>
      </w:r>
      <w:r>
        <w:rPr>
          <w:spacing w:val="-6"/>
          <w:sz w:val="22"/>
        </w:rPr>
        <w:t> </w:t>
      </w:r>
      <w:r>
        <w:rPr>
          <w:sz w:val="22"/>
        </w:rPr>
        <w:t>y</w:t>
      </w:r>
      <w:r>
        <w:rPr>
          <w:spacing w:val="-5"/>
          <w:sz w:val="22"/>
        </w:rPr>
        <w:t> </w:t>
      </w:r>
      <w:r>
        <w:rPr>
          <w:sz w:val="22"/>
        </w:rPr>
        <w:t>Reparación</w:t>
      </w:r>
      <w:r>
        <w:rPr>
          <w:spacing w:val="-4"/>
          <w:sz w:val="22"/>
        </w:rPr>
        <w:t> </w:t>
      </w:r>
      <w:r>
        <w:rPr>
          <w:sz w:val="22"/>
        </w:rPr>
        <w:t>Integral</w:t>
      </w:r>
      <w:r>
        <w:rPr>
          <w:spacing w:val="-4"/>
          <w:sz w:val="22"/>
        </w:rPr>
        <w:t> </w:t>
      </w:r>
      <w:r>
        <w:rPr>
          <w:sz w:val="22"/>
        </w:rPr>
        <w:t>a</w:t>
      </w:r>
      <w:r>
        <w:rPr>
          <w:spacing w:val="-6"/>
          <w:sz w:val="22"/>
        </w:rPr>
        <w:t> </w:t>
      </w:r>
      <w:r>
        <w:rPr>
          <w:sz w:val="22"/>
        </w:rPr>
        <w:t>las Víctimas, en el numeral 4, se indica que la UARIV le corresponde </w:t>
      </w:r>
      <w:r>
        <w:rPr>
          <w:i/>
          <w:sz w:val="22"/>
        </w:rPr>
        <w:t>“aplicar instrumentos de certificación a las entidades </w:t>
      </w:r>
      <w:r>
        <w:rPr>
          <w:i/>
          <w:sz w:val="22"/>
        </w:rPr>
        <w:t>que conforman el Sistema Nacional de Atención y Reparación Integral a las Víctimas, respecto a su contribución en el goce</w:t>
      </w:r>
      <w:r>
        <w:rPr>
          <w:i/>
          <w:spacing w:val="-3"/>
          <w:sz w:val="22"/>
        </w:rPr>
        <w:t> </w:t>
      </w:r>
      <w:r>
        <w:rPr>
          <w:i/>
          <w:sz w:val="22"/>
        </w:rPr>
        <w:t>efectivo</w:t>
      </w:r>
      <w:r>
        <w:rPr>
          <w:i/>
          <w:spacing w:val="-4"/>
          <w:sz w:val="22"/>
        </w:rPr>
        <w:t> </w:t>
      </w:r>
      <w:r>
        <w:rPr>
          <w:i/>
          <w:sz w:val="22"/>
        </w:rPr>
        <w:t>de</w:t>
      </w:r>
      <w:r>
        <w:rPr>
          <w:i/>
          <w:spacing w:val="-6"/>
          <w:sz w:val="22"/>
        </w:rPr>
        <w:t> </w:t>
      </w:r>
      <w:r>
        <w:rPr>
          <w:i/>
          <w:sz w:val="22"/>
        </w:rPr>
        <w:t>derechos</w:t>
      </w:r>
      <w:r>
        <w:rPr>
          <w:i/>
          <w:spacing w:val="-6"/>
          <w:sz w:val="22"/>
        </w:rPr>
        <w:t> </w:t>
      </w:r>
      <w:r>
        <w:rPr>
          <w:i/>
          <w:sz w:val="22"/>
        </w:rPr>
        <w:t>a</w:t>
      </w:r>
      <w:r>
        <w:rPr>
          <w:i/>
          <w:spacing w:val="-6"/>
          <w:sz w:val="22"/>
        </w:rPr>
        <w:t> </w:t>
      </w:r>
      <w:r>
        <w:rPr>
          <w:i/>
          <w:sz w:val="22"/>
        </w:rPr>
        <w:t>la</w:t>
      </w:r>
      <w:r>
        <w:rPr>
          <w:i/>
          <w:spacing w:val="-4"/>
          <w:sz w:val="22"/>
        </w:rPr>
        <w:t> </w:t>
      </w:r>
      <w:r>
        <w:rPr>
          <w:i/>
          <w:sz w:val="22"/>
        </w:rPr>
        <w:t>verdad,</w:t>
      </w:r>
      <w:r>
        <w:rPr>
          <w:i/>
          <w:spacing w:val="-3"/>
          <w:sz w:val="22"/>
        </w:rPr>
        <w:t> </w:t>
      </w:r>
      <w:r>
        <w:rPr>
          <w:i/>
          <w:sz w:val="22"/>
        </w:rPr>
        <w:t>justicia</w:t>
      </w:r>
      <w:r>
        <w:rPr>
          <w:i/>
          <w:spacing w:val="-4"/>
          <w:sz w:val="22"/>
        </w:rPr>
        <w:t> </w:t>
      </w:r>
      <w:r>
        <w:rPr>
          <w:i/>
          <w:sz w:val="22"/>
        </w:rPr>
        <w:t>y</w:t>
      </w:r>
      <w:r>
        <w:rPr>
          <w:i/>
          <w:spacing w:val="-6"/>
          <w:sz w:val="22"/>
        </w:rPr>
        <w:t> </w:t>
      </w:r>
      <w:r>
        <w:rPr>
          <w:i/>
          <w:sz w:val="22"/>
        </w:rPr>
        <w:t>reparación</w:t>
      </w:r>
      <w:r>
        <w:rPr>
          <w:i/>
          <w:spacing w:val="-4"/>
          <w:sz w:val="22"/>
        </w:rPr>
        <w:t> </w:t>
      </w:r>
      <w:r>
        <w:rPr>
          <w:i/>
          <w:sz w:val="22"/>
        </w:rPr>
        <w:t>integral</w:t>
      </w:r>
      <w:r>
        <w:rPr>
          <w:i/>
          <w:spacing w:val="-4"/>
          <w:sz w:val="22"/>
        </w:rPr>
        <w:t> </w:t>
      </w:r>
      <w:r>
        <w:rPr>
          <w:i/>
          <w:sz w:val="22"/>
        </w:rPr>
        <w:t>a</w:t>
      </w:r>
      <w:r>
        <w:rPr>
          <w:i/>
          <w:spacing w:val="-4"/>
          <w:sz w:val="22"/>
        </w:rPr>
        <w:t> </w:t>
      </w:r>
      <w:r>
        <w:rPr>
          <w:i/>
          <w:sz w:val="22"/>
        </w:rPr>
        <w:t>las</w:t>
      </w:r>
      <w:r>
        <w:rPr>
          <w:i/>
          <w:spacing w:val="-5"/>
          <w:sz w:val="22"/>
        </w:rPr>
        <w:t> </w:t>
      </w:r>
      <w:r>
        <w:rPr>
          <w:i/>
          <w:sz w:val="22"/>
        </w:rPr>
        <w:t>víctimas…”;</w:t>
      </w:r>
      <w:r>
        <w:rPr>
          <w:i/>
          <w:spacing w:val="1"/>
          <w:sz w:val="22"/>
        </w:rPr>
        <w:t> </w:t>
      </w:r>
      <w:r>
        <w:rPr>
          <w:sz w:val="22"/>
        </w:rPr>
        <w:t>así</w:t>
      </w:r>
      <w:r>
        <w:rPr>
          <w:spacing w:val="-6"/>
          <w:sz w:val="22"/>
        </w:rPr>
        <w:t> </w:t>
      </w:r>
      <w:r>
        <w:rPr>
          <w:sz w:val="22"/>
        </w:rPr>
        <w:t>mismo,</w:t>
      </w:r>
      <w:r>
        <w:rPr>
          <w:spacing w:val="-5"/>
          <w:sz w:val="22"/>
        </w:rPr>
        <w:t> </w:t>
      </w:r>
      <w:r>
        <w:rPr>
          <w:sz w:val="22"/>
        </w:rPr>
        <w:t>el</w:t>
      </w:r>
      <w:r>
        <w:rPr>
          <w:spacing w:val="-3"/>
          <w:sz w:val="22"/>
        </w:rPr>
        <w:t> </w:t>
      </w:r>
      <w:r>
        <w:rPr>
          <w:sz w:val="22"/>
        </w:rPr>
        <w:t>numeral</w:t>
      </w:r>
      <w:r>
        <w:rPr>
          <w:spacing w:val="-6"/>
          <w:sz w:val="22"/>
        </w:rPr>
        <w:t> </w:t>
      </w:r>
      <w:r>
        <w:rPr>
          <w:sz w:val="22"/>
        </w:rPr>
        <w:t>5</w:t>
      </w:r>
      <w:r>
        <w:rPr>
          <w:spacing w:val="-3"/>
          <w:sz w:val="22"/>
        </w:rPr>
        <w:t> </w:t>
      </w:r>
      <w:r>
        <w:rPr>
          <w:sz w:val="22"/>
        </w:rPr>
        <w:t>del</w:t>
      </w:r>
      <w:r>
        <w:rPr>
          <w:spacing w:val="-5"/>
          <w:sz w:val="22"/>
        </w:rPr>
        <w:t> </w:t>
      </w:r>
      <w:r>
        <w:rPr>
          <w:sz w:val="22"/>
        </w:rPr>
        <w:t>mismo artículo</w:t>
      </w:r>
      <w:r>
        <w:rPr>
          <w:spacing w:val="-10"/>
          <w:sz w:val="22"/>
        </w:rPr>
        <w:t> </w:t>
      </w:r>
      <w:r>
        <w:rPr>
          <w:sz w:val="22"/>
        </w:rPr>
        <w:t>establece</w:t>
      </w:r>
      <w:r>
        <w:rPr>
          <w:spacing w:val="-8"/>
          <w:sz w:val="22"/>
        </w:rPr>
        <w:t> </w:t>
      </w:r>
      <w:r>
        <w:rPr>
          <w:sz w:val="22"/>
        </w:rPr>
        <w:t>que</w:t>
      </w:r>
      <w:r>
        <w:rPr>
          <w:spacing w:val="-10"/>
          <w:sz w:val="22"/>
        </w:rPr>
        <w:t> </w:t>
      </w:r>
      <w:r>
        <w:rPr>
          <w:sz w:val="22"/>
        </w:rPr>
        <w:t>también</w:t>
      </w:r>
      <w:r>
        <w:rPr>
          <w:spacing w:val="-9"/>
          <w:sz w:val="22"/>
        </w:rPr>
        <w:t> </w:t>
      </w:r>
      <w:r>
        <w:rPr>
          <w:sz w:val="22"/>
        </w:rPr>
        <w:t>deberá</w:t>
      </w:r>
      <w:r>
        <w:rPr>
          <w:spacing w:val="-11"/>
          <w:sz w:val="22"/>
        </w:rPr>
        <w:t> </w:t>
      </w:r>
      <w:r>
        <w:rPr>
          <w:sz w:val="22"/>
        </w:rPr>
        <w:t>“</w:t>
      </w:r>
      <w:r>
        <w:rPr>
          <w:spacing w:val="-7"/>
          <w:sz w:val="22"/>
        </w:rPr>
        <w:t> </w:t>
      </w:r>
      <w:r>
        <w:rPr>
          <w:i/>
          <w:sz w:val="22"/>
        </w:rPr>
        <w:t>ejercer</w:t>
      </w:r>
      <w:r>
        <w:rPr>
          <w:i/>
          <w:spacing w:val="-10"/>
          <w:sz w:val="22"/>
        </w:rPr>
        <w:t> </w:t>
      </w:r>
      <w:r>
        <w:rPr>
          <w:i/>
          <w:sz w:val="22"/>
        </w:rPr>
        <w:t>la</w:t>
      </w:r>
      <w:r>
        <w:rPr>
          <w:i/>
          <w:spacing w:val="-9"/>
          <w:sz w:val="22"/>
        </w:rPr>
        <w:t> </w:t>
      </w:r>
      <w:r>
        <w:rPr>
          <w:i/>
          <w:sz w:val="22"/>
        </w:rPr>
        <w:t>coordinación</w:t>
      </w:r>
      <w:r>
        <w:rPr>
          <w:i/>
          <w:spacing w:val="-9"/>
          <w:sz w:val="22"/>
        </w:rPr>
        <w:t> </w:t>
      </w:r>
      <w:r>
        <w:rPr>
          <w:i/>
          <w:sz w:val="22"/>
        </w:rPr>
        <w:t>nación-</w:t>
      </w:r>
      <w:r>
        <w:rPr>
          <w:i/>
          <w:spacing w:val="-9"/>
          <w:sz w:val="22"/>
        </w:rPr>
        <w:t> </w:t>
      </w:r>
      <w:r>
        <w:rPr>
          <w:i/>
          <w:sz w:val="22"/>
        </w:rPr>
        <w:t>territorio,</w:t>
      </w:r>
      <w:r>
        <w:rPr>
          <w:i/>
          <w:spacing w:val="-10"/>
          <w:sz w:val="22"/>
        </w:rPr>
        <w:t> </w:t>
      </w:r>
      <w:r>
        <w:rPr>
          <w:i/>
          <w:sz w:val="22"/>
        </w:rPr>
        <w:t>para</w:t>
      </w:r>
      <w:r>
        <w:rPr>
          <w:i/>
          <w:spacing w:val="-9"/>
          <w:sz w:val="22"/>
        </w:rPr>
        <w:t> </w:t>
      </w:r>
      <w:r>
        <w:rPr>
          <w:i/>
          <w:sz w:val="22"/>
        </w:rPr>
        <w:t>lo</w:t>
      </w:r>
      <w:r>
        <w:rPr>
          <w:i/>
          <w:spacing w:val="-9"/>
          <w:sz w:val="22"/>
        </w:rPr>
        <w:t> </w:t>
      </w:r>
      <w:r>
        <w:rPr>
          <w:i/>
          <w:sz w:val="22"/>
        </w:rPr>
        <w:t>cual</w:t>
      </w:r>
      <w:r>
        <w:rPr>
          <w:i/>
          <w:spacing w:val="-9"/>
          <w:sz w:val="22"/>
        </w:rPr>
        <w:t> </w:t>
      </w:r>
      <w:r>
        <w:rPr>
          <w:i/>
          <w:sz w:val="22"/>
        </w:rPr>
        <w:t>participará</w:t>
      </w:r>
      <w:r>
        <w:rPr>
          <w:i/>
          <w:spacing w:val="-9"/>
          <w:sz w:val="22"/>
        </w:rPr>
        <w:t> </w:t>
      </w:r>
      <w:r>
        <w:rPr>
          <w:i/>
          <w:sz w:val="22"/>
        </w:rPr>
        <w:t>en</w:t>
      </w:r>
      <w:r>
        <w:rPr>
          <w:i/>
          <w:spacing w:val="-9"/>
          <w:sz w:val="22"/>
        </w:rPr>
        <w:t> </w:t>
      </w:r>
      <w:r>
        <w:rPr>
          <w:i/>
          <w:sz w:val="22"/>
        </w:rPr>
        <w:t>los</w:t>
      </w:r>
      <w:r>
        <w:rPr>
          <w:i/>
          <w:spacing w:val="-9"/>
          <w:sz w:val="22"/>
        </w:rPr>
        <w:t> </w:t>
      </w:r>
      <w:r>
        <w:rPr>
          <w:i/>
          <w:sz w:val="22"/>
        </w:rPr>
        <w:t>Comités </w:t>
      </w:r>
      <w:r>
        <w:rPr>
          <w:i/>
          <w:sz w:val="22"/>
        </w:rPr>
        <w:t>Territoriales de Justicia</w:t>
      </w:r>
      <w:r>
        <w:rPr>
          <w:i/>
          <w:spacing w:val="-7"/>
          <w:sz w:val="22"/>
        </w:rPr>
        <w:t> </w:t>
      </w:r>
      <w:r>
        <w:rPr>
          <w:i/>
          <w:sz w:val="22"/>
        </w:rPr>
        <w:t>Transicional.”</w:t>
      </w:r>
    </w:p>
    <w:p>
      <w:pPr>
        <w:pStyle w:val="BodyText"/>
        <w:rPr>
          <w:i/>
          <w:sz w:val="23"/>
        </w:rPr>
      </w:pPr>
    </w:p>
    <w:p>
      <w:pPr>
        <w:spacing w:line="240" w:lineRule="auto" w:before="0"/>
        <w:ind w:left="392" w:right="409" w:firstLine="0"/>
        <w:jc w:val="both"/>
        <w:rPr>
          <w:i/>
          <w:sz w:val="22"/>
        </w:rPr>
      </w:pPr>
      <w:r>
        <w:rPr>
          <w:sz w:val="22"/>
        </w:rPr>
        <w:t>Por otra parte, el Decreto 790 de 2011 en su artículo 3 establece que “</w:t>
      </w:r>
      <w:r>
        <w:rPr>
          <w:i/>
          <w:sz w:val="22"/>
        </w:rPr>
        <w:t>en cumplimiento de lo dispuesto en el artículo </w:t>
      </w:r>
      <w:r>
        <w:rPr>
          <w:i/>
          <w:sz w:val="22"/>
        </w:rPr>
        <w:t>168 de la Ley 1448 de 2011, la Unidad Administrativa Especial para la Atención y Reparación Integral a las Víctimas es la entidad </w:t>
      </w:r>
      <w:r>
        <w:rPr>
          <w:i/>
          <w:sz w:val="22"/>
          <w:u w:val="single"/>
        </w:rPr>
        <w:t>responsable de coordinar todas las acciones de atención integral a las víctimas de desplazamiento forzado, especialmente las señaladas en la Ley 387 de 1997 y sus decretos reglamentarios</w:t>
      </w:r>
      <w:r>
        <w:rPr>
          <w:i/>
          <w:sz w:val="22"/>
        </w:rPr>
        <w:t>. </w:t>
      </w:r>
      <w:r>
        <w:rPr>
          <w:sz w:val="22"/>
        </w:rPr>
        <w:t>Así mismo, el parágrafo 1 indica que </w:t>
      </w:r>
      <w:r>
        <w:rPr>
          <w:i/>
          <w:sz w:val="22"/>
        </w:rPr>
        <w:t>“para el desempeño de la labor de coordinación, la Unidad deberá hacer uso de los instrumentos de certificación a las </w:t>
      </w:r>
      <w:r>
        <w:rPr>
          <w:i/>
          <w:sz w:val="22"/>
        </w:rPr>
        <w:t>entidades que conforman el Sistema Nacional de Atención y Reparación a las Víctimas, respecto a su contribución en el goce efectivo de los derechos a la verdad, justicia y reparación integral a las víctimas”</w:t>
      </w:r>
    </w:p>
    <w:p>
      <w:pPr>
        <w:spacing w:after="0" w:line="240" w:lineRule="auto"/>
        <w:jc w:val="both"/>
        <w:rPr>
          <w:sz w:val="22"/>
        </w:rPr>
        <w:sectPr>
          <w:pgSz w:w="12240" w:h="15840"/>
          <w:pgMar w:top="840" w:bottom="280" w:left="460" w:right="3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i/>
                <w:sz w:val="24"/>
              </w:rPr>
            </w:pPr>
          </w:p>
          <w:p>
            <w:pPr>
              <w:pStyle w:val="TableParagraph"/>
              <w:ind w:left="297"/>
              <w:rPr>
                <w:sz w:val="20"/>
              </w:rPr>
            </w:pPr>
            <w:r>
              <w:rPr>
                <w:sz w:val="20"/>
              </w:rPr>
              <w:drawing>
                <wp:inline distT="0" distB="0" distL="0" distR="0">
                  <wp:extent cx="1702466" cy="493775"/>
                  <wp:effectExtent l="0" t="0" r="0" b="0"/>
                  <wp:docPr id="7" name="image1.png" descr=""/>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i/>
                <w:sz w:val="20"/>
              </w:rPr>
            </w:pPr>
          </w:p>
          <w:p>
            <w:pPr>
              <w:pStyle w:val="TableParagraph"/>
              <w:spacing w:before="2"/>
              <w:rPr>
                <w:i/>
                <w:sz w:val="27"/>
              </w:rPr>
            </w:pPr>
          </w:p>
        </w:tc>
        <w:tc>
          <w:tcPr>
            <w:tcW w:w="4964" w:type="dxa"/>
          </w:tcPr>
          <w:p>
            <w:pPr>
              <w:pStyle w:val="TableParagraph"/>
              <w:spacing w:before="10"/>
              <w:rPr>
                <w:i/>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i/>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i/>
                <w:sz w:val="14"/>
              </w:rPr>
            </w:pPr>
          </w:p>
          <w:p>
            <w:pPr>
              <w:pStyle w:val="TableParagraph"/>
              <w:spacing w:before="9"/>
              <w:rPr>
                <w:i/>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i/>
          <w:sz w:val="9"/>
        </w:rPr>
      </w:pPr>
    </w:p>
    <w:p>
      <w:pPr>
        <w:spacing w:before="57"/>
        <w:ind w:left="152" w:right="108" w:firstLine="0"/>
        <w:jc w:val="both"/>
        <w:rPr>
          <w:i/>
          <w:sz w:val="22"/>
        </w:rPr>
      </w:pPr>
      <w:r>
        <w:rPr>
          <w:sz w:val="22"/>
        </w:rPr>
        <w:t>Como es indicado por el Decreto 4800 de 2011, reglamentario de la Ley 1448 de 2011, establece en su artículo 243 las funciones en materia de coordinación del Sistema a cargo de la UARIV así; numeral 5 </w:t>
      </w:r>
      <w:r>
        <w:rPr>
          <w:i/>
          <w:sz w:val="22"/>
        </w:rPr>
        <w:t>“definir los criterios y la </w:t>
      </w:r>
      <w:r>
        <w:rPr>
          <w:i/>
          <w:sz w:val="22"/>
        </w:rPr>
        <w:t>metodología que se deberán utilizar para certificar la contribución de las entidades del nivel nacional, departamental, municipal y distrital del Sistema, en las acciones de prevención, asistencia, atención y reparación integral a las víctimas, y</w:t>
      </w:r>
      <w:r>
        <w:rPr>
          <w:i/>
          <w:spacing w:val="-2"/>
          <w:sz w:val="22"/>
        </w:rPr>
        <w:t> </w:t>
      </w:r>
      <w:r>
        <w:rPr>
          <w:i/>
          <w:sz w:val="22"/>
        </w:rPr>
        <w:t>someterla</w:t>
      </w:r>
      <w:r>
        <w:rPr>
          <w:i/>
          <w:spacing w:val="-3"/>
          <w:sz w:val="22"/>
        </w:rPr>
        <w:t> </w:t>
      </w:r>
      <w:r>
        <w:rPr>
          <w:i/>
          <w:sz w:val="22"/>
        </w:rPr>
        <w:t>a</w:t>
      </w:r>
      <w:r>
        <w:rPr>
          <w:i/>
          <w:spacing w:val="-5"/>
          <w:sz w:val="22"/>
        </w:rPr>
        <w:t> </w:t>
      </w:r>
      <w:r>
        <w:rPr>
          <w:i/>
          <w:sz w:val="22"/>
        </w:rPr>
        <w:t>consideración</w:t>
      </w:r>
      <w:r>
        <w:rPr>
          <w:i/>
          <w:spacing w:val="-3"/>
          <w:sz w:val="22"/>
        </w:rPr>
        <w:t> </w:t>
      </w:r>
      <w:r>
        <w:rPr>
          <w:i/>
          <w:sz w:val="22"/>
        </w:rPr>
        <w:t>y</w:t>
      </w:r>
      <w:r>
        <w:rPr>
          <w:i/>
          <w:spacing w:val="-2"/>
          <w:sz w:val="22"/>
        </w:rPr>
        <w:t> </w:t>
      </w:r>
      <w:r>
        <w:rPr>
          <w:i/>
          <w:sz w:val="22"/>
        </w:rPr>
        <w:t>aprobación</w:t>
      </w:r>
      <w:r>
        <w:rPr>
          <w:i/>
          <w:spacing w:val="-3"/>
          <w:sz w:val="22"/>
        </w:rPr>
        <w:t> </w:t>
      </w:r>
      <w:r>
        <w:rPr>
          <w:i/>
          <w:sz w:val="22"/>
        </w:rPr>
        <w:t>del</w:t>
      </w:r>
      <w:r>
        <w:rPr>
          <w:i/>
          <w:spacing w:val="-2"/>
          <w:sz w:val="22"/>
        </w:rPr>
        <w:t> </w:t>
      </w:r>
      <w:r>
        <w:rPr>
          <w:i/>
          <w:sz w:val="22"/>
        </w:rPr>
        <w:t>Comité</w:t>
      </w:r>
      <w:r>
        <w:rPr>
          <w:i/>
          <w:spacing w:val="-6"/>
          <w:sz w:val="22"/>
        </w:rPr>
        <w:t> </w:t>
      </w:r>
      <w:r>
        <w:rPr>
          <w:i/>
          <w:sz w:val="22"/>
        </w:rPr>
        <w:t>Ejecutivo,</w:t>
      </w:r>
      <w:r>
        <w:rPr>
          <w:i/>
          <w:spacing w:val="-2"/>
          <w:sz w:val="22"/>
        </w:rPr>
        <w:t> </w:t>
      </w:r>
      <w:r>
        <w:rPr>
          <w:i/>
          <w:sz w:val="22"/>
        </w:rPr>
        <w:t>por</w:t>
      </w:r>
      <w:r>
        <w:rPr>
          <w:i/>
          <w:spacing w:val="-4"/>
          <w:sz w:val="22"/>
        </w:rPr>
        <w:t> </w:t>
      </w:r>
      <w:r>
        <w:rPr>
          <w:i/>
          <w:sz w:val="22"/>
        </w:rPr>
        <w:t>conducto</w:t>
      </w:r>
      <w:r>
        <w:rPr>
          <w:i/>
          <w:spacing w:val="-3"/>
          <w:sz w:val="22"/>
        </w:rPr>
        <w:t> </w:t>
      </w:r>
      <w:r>
        <w:rPr>
          <w:i/>
          <w:sz w:val="22"/>
        </w:rPr>
        <w:t>de</w:t>
      </w:r>
      <w:r>
        <w:rPr>
          <w:i/>
          <w:spacing w:val="-2"/>
          <w:sz w:val="22"/>
        </w:rPr>
        <w:t> </w:t>
      </w:r>
      <w:r>
        <w:rPr>
          <w:i/>
          <w:sz w:val="22"/>
        </w:rPr>
        <w:t>la</w:t>
      </w:r>
      <w:r>
        <w:rPr>
          <w:i/>
          <w:spacing w:val="-3"/>
          <w:sz w:val="22"/>
        </w:rPr>
        <w:t> </w:t>
      </w:r>
      <w:r>
        <w:rPr>
          <w:i/>
          <w:sz w:val="22"/>
        </w:rPr>
        <w:t>Secretaría</w:t>
      </w:r>
      <w:r>
        <w:rPr>
          <w:i/>
          <w:spacing w:val="-5"/>
          <w:sz w:val="22"/>
        </w:rPr>
        <w:t> </w:t>
      </w:r>
      <w:r>
        <w:rPr>
          <w:i/>
          <w:sz w:val="22"/>
        </w:rPr>
        <w:t>Técnica”.</w:t>
      </w:r>
      <w:r>
        <w:rPr>
          <w:i/>
          <w:spacing w:val="-5"/>
          <w:sz w:val="22"/>
        </w:rPr>
        <w:t> </w:t>
      </w:r>
      <w:r>
        <w:rPr>
          <w:i/>
          <w:sz w:val="22"/>
        </w:rPr>
        <w:t>De</w:t>
      </w:r>
      <w:r>
        <w:rPr>
          <w:i/>
          <w:spacing w:val="-5"/>
          <w:sz w:val="22"/>
        </w:rPr>
        <w:t> </w:t>
      </w:r>
      <w:r>
        <w:rPr>
          <w:i/>
          <w:sz w:val="22"/>
        </w:rPr>
        <w:t>igual</w:t>
      </w:r>
      <w:r>
        <w:rPr>
          <w:i/>
          <w:spacing w:val="-2"/>
          <w:sz w:val="22"/>
        </w:rPr>
        <w:t> </w:t>
      </w:r>
      <w:r>
        <w:rPr>
          <w:i/>
          <w:sz w:val="22"/>
        </w:rPr>
        <w:t>manera en el </w:t>
      </w:r>
      <w:r>
        <w:rPr>
          <w:sz w:val="22"/>
        </w:rPr>
        <w:t>numeral 6 se indica: </w:t>
      </w:r>
      <w:r>
        <w:rPr>
          <w:i/>
          <w:sz w:val="22"/>
        </w:rPr>
        <w:t>“Certificar la contribución de las entidades del nivel nacional, departamental, municipal y </w:t>
      </w:r>
      <w:r>
        <w:rPr>
          <w:i/>
          <w:sz w:val="22"/>
        </w:rPr>
        <w:t>distrital del Sistema, en las acciones de prevención, asistencia, atención, y reparación integral a las víctimas en cada vigencia</w:t>
      </w:r>
      <w:r>
        <w:rPr>
          <w:i/>
          <w:spacing w:val="-1"/>
          <w:sz w:val="22"/>
        </w:rPr>
        <w:t> </w:t>
      </w:r>
      <w:r>
        <w:rPr>
          <w:i/>
          <w:sz w:val="22"/>
        </w:rPr>
        <w:t>fiscal”.</w:t>
      </w:r>
    </w:p>
    <w:p>
      <w:pPr>
        <w:pStyle w:val="BodyText"/>
        <w:spacing w:before="10"/>
        <w:rPr>
          <w:i/>
        </w:rPr>
      </w:pPr>
    </w:p>
    <w:p>
      <w:pPr>
        <w:pStyle w:val="BodyText"/>
        <w:ind w:left="152" w:right="109"/>
        <w:jc w:val="both"/>
      </w:pPr>
      <w:r>
        <w:rPr/>
        <w:t>Le</w:t>
      </w:r>
      <w:r>
        <w:rPr>
          <w:spacing w:val="-5"/>
        </w:rPr>
        <w:t> </w:t>
      </w:r>
      <w:r>
        <w:rPr/>
        <w:t>corresponde</w:t>
      </w:r>
      <w:r>
        <w:rPr>
          <w:spacing w:val="-5"/>
        </w:rPr>
        <w:t> </w:t>
      </w:r>
      <w:r>
        <w:rPr/>
        <w:t>a</w:t>
      </w:r>
      <w:r>
        <w:rPr>
          <w:spacing w:val="-6"/>
        </w:rPr>
        <w:t> </w:t>
      </w:r>
      <w:r>
        <w:rPr/>
        <w:t>la</w:t>
      </w:r>
      <w:r>
        <w:rPr>
          <w:spacing w:val="-6"/>
        </w:rPr>
        <w:t> </w:t>
      </w:r>
      <w:r>
        <w:rPr/>
        <w:t>Dirección</w:t>
      </w:r>
      <w:r>
        <w:rPr>
          <w:spacing w:val="-6"/>
        </w:rPr>
        <w:t> </w:t>
      </w:r>
      <w:r>
        <w:rPr/>
        <w:t>General</w:t>
      </w:r>
      <w:r>
        <w:rPr>
          <w:spacing w:val="-6"/>
        </w:rPr>
        <w:t> </w:t>
      </w:r>
      <w:r>
        <w:rPr/>
        <w:t>de</w:t>
      </w:r>
      <w:r>
        <w:rPr>
          <w:spacing w:val="-5"/>
        </w:rPr>
        <w:t> </w:t>
      </w:r>
      <w:r>
        <w:rPr/>
        <w:t>la</w:t>
      </w:r>
      <w:r>
        <w:rPr>
          <w:spacing w:val="-9"/>
        </w:rPr>
        <w:t> </w:t>
      </w:r>
      <w:r>
        <w:rPr/>
        <w:t>Entidad,</w:t>
      </w:r>
      <w:r>
        <w:rPr>
          <w:spacing w:val="-5"/>
        </w:rPr>
        <w:t> </w:t>
      </w:r>
      <w:r>
        <w:rPr/>
        <w:t>certificar</w:t>
      </w:r>
      <w:r>
        <w:rPr>
          <w:spacing w:val="-7"/>
        </w:rPr>
        <w:t> </w:t>
      </w:r>
      <w:r>
        <w:rPr/>
        <w:t>a</w:t>
      </w:r>
      <w:r>
        <w:rPr>
          <w:spacing w:val="-6"/>
        </w:rPr>
        <w:t> </w:t>
      </w:r>
      <w:r>
        <w:rPr/>
        <w:t>las</w:t>
      </w:r>
      <w:r>
        <w:rPr>
          <w:spacing w:val="-6"/>
        </w:rPr>
        <w:t> </w:t>
      </w:r>
      <w:r>
        <w:rPr/>
        <w:t>entidades</w:t>
      </w:r>
      <w:r>
        <w:rPr>
          <w:spacing w:val="-5"/>
        </w:rPr>
        <w:t> </w:t>
      </w:r>
      <w:r>
        <w:rPr/>
        <w:t>que</w:t>
      </w:r>
      <w:r>
        <w:rPr>
          <w:spacing w:val="-7"/>
        </w:rPr>
        <w:t> </w:t>
      </w:r>
      <w:r>
        <w:rPr/>
        <w:t>conforman</w:t>
      </w:r>
      <w:r>
        <w:rPr>
          <w:spacing w:val="-6"/>
        </w:rPr>
        <w:t> </w:t>
      </w:r>
      <w:r>
        <w:rPr/>
        <w:t>el</w:t>
      </w:r>
      <w:r>
        <w:rPr>
          <w:spacing w:val="-5"/>
        </w:rPr>
        <w:t> </w:t>
      </w:r>
      <w:r>
        <w:rPr/>
        <w:t>SNARIV</w:t>
      </w:r>
      <w:r>
        <w:rPr>
          <w:spacing w:val="-6"/>
        </w:rPr>
        <w:t> </w:t>
      </w:r>
      <w:r>
        <w:rPr/>
        <w:t>de</w:t>
      </w:r>
      <w:r>
        <w:rPr>
          <w:spacing w:val="-5"/>
        </w:rPr>
        <w:t> </w:t>
      </w:r>
      <w:r>
        <w:rPr/>
        <w:t>conformidad con lo establecido en el Decreto 4802, artículo 7; así mismo, en el artículo 15, numeral 2 corresponde a la Subdirección de</w:t>
      </w:r>
      <w:r>
        <w:rPr>
          <w:spacing w:val="-7"/>
        </w:rPr>
        <w:t> </w:t>
      </w:r>
      <w:r>
        <w:rPr/>
        <w:t>Coordinación</w:t>
      </w:r>
      <w:r>
        <w:rPr>
          <w:spacing w:val="-9"/>
        </w:rPr>
        <w:t> </w:t>
      </w:r>
      <w:r>
        <w:rPr/>
        <w:t>SNARIV,</w:t>
      </w:r>
      <w:r>
        <w:rPr>
          <w:spacing w:val="-8"/>
        </w:rPr>
        <w:t> </w:t>
      </w:r>
      <w:r>
        <w:rPr/>
        <w:t>suministrar</w:t>
      </w:r>
      <w:r>
        <w:rPr>
          <w:spacing w:val="-9"/>
        </w:rPr>
        <w:t> </w:t>
      </w:r>
      <w:r>
        <w:rPr/>
        <w:t>los</w:t>
      </w:r>
      <w:r>
        <w:rPr>
          <w:spacing w:val="-7"/>
        </w:rPr>
        <w:t> </w:t>
      </w:r>
      <w:r>
        <w:rPr/>
        <w:t>insumos</w:t>
      </w:r>
      <w:r>
        <w:rPr>
          <w:spacing w:val="-9"/>
        </w:rPr>
        <w:t> </w:t>
      </w:r>
      <w:r>
        <w:rPr/>
        <w:t>para</w:t>
      </w:r>
      <w:r>
        <w:rPr>
          <w:spacing w:val="-9"/>
        </w:rPr>
        <w:t> </w:t>
      </w:r>
      <w:r>
        <w:rPr/>
        <w:t>la</w:t>
      </w:r>
      <w:r>
        <w:rPr>
          <w:spacing w:val="-9"/>
        </w:rPr>
        <w:t> </w:t>
      </w:r>
      <w:r>
        <w:rPr/>
        <w:t>certificación</w:t>
      </w:r>
      <w:r>
        <w:rPr>
          <w:spacing w:val="-9"/>
        </w:rPr>
        <w:t> </w:t>
      </w:r>
      <w:r>
        <w:rPr/>
        <w:t>de</w:t>
      </w:r>
      <w:r>
        <w:rPr>
          <w:spacing w:val="-7"/>
        </w:rPr>
        <w:t> </w:t>
      </w:r>
      <w:r>
        <w:rPr/>
        <w:t>las</w:t>
      </w:r>
      <w:r>
        <w:rPr>
          <w:spacing w:val="-9"/>
        </w:rPr>
        <w:t> </w:t>
      </w:r>
      <w:r>
        <w:rPr/>
        <w:t>entidades</w:t>
      </w:r>
      <w:r>
        <w:rPr>
          <w:spacing w:val="-8"/>
        </w:rPr>
        <w:t> </w:t>
      </w:r>
      <w:r>
        <w:rPr/>
        <w:t>del</w:t>
      </w:r>
      <w:r>
        <w:rPr>
          <w:spacing w:val="-8"/>
        </w:rPr>
        <w:t> </w:t>
      </w:r>
      <w:r>
        <w:rPr/>
        <w:t>Sistema</w:t>
      </w:r>
      <w:r>
        <w:rPr>
          <w:spacing w:val="-8"/>
        </w:rPr>
        <w:t> </w:t>
      </w:r>
      <w:r>
        <w:rPr/>
        <w:t>Nacional</w:t>
      </w:r>
      <w:r>
        <w:rPr>
          <w:spacing w:val="-11"/>
        </w:rPr>
        <w:t> </w:t>
      </w:r>
      <w:r>
        <w:rPr/>
        <w:t>de</w:t>
      </w:r>
      <w:r>
        <w:rPr>
          <w:spacing w:val="-7"/>
        </w:rPr>
        <w:t> </w:t>
      </w:r>
      <w:r>
        <w:rPr/>
        <w:t>Atención y Reparación a las Víctimas en el orden nacional y</w:t>
      </w:r>
      <w:r>
        <w:rPr>
          <w:spacing w:val="-16"/>
        </w:rPr>
        <w:t> </w:t>
      </w:r>
      <w:r>
        <w:rPr/>
        <w:t>territorial.</w:t>
      </w:r>
    </w:p>
    <w:p>
      <w:pPr>
        <w:pStyle w:val="BodyText"/>
      </w:pPr>
    </w:p>
    <w:p>
      <w:pPr>
        <w:pStyle w:val="BodyText"/>
        <w:ind w:left="152" w:right="111"/>
        <w:jc w:val="both"/>
      </w:pPr>
      <w:r>
        <w:rPr/>
        <w:t>Con base en lo anterior, se creó por parte de las Subdirecciones de Coordinación SNARIV y Coordinación Nación Territorio, el procedimiento de certificación a nivel nacional y territorial; el cual tiene por objeto medir la contribución en</w:t>
      </w:r>
      <w:r>
        <w:rPr>
          <w:spacing w:val="-9"/>
        </w:rPr>
        <w:t> </w:t>
      </w:r>
      <w:r>
        <w:rPr/>
        <w:t>las</w:t>
      </w:r>
      <w:r>
        <w:rPr>
          <w:spacing w:val="-11"/>
        </w:rPr>
        <w:t> </w:t>
      </w:r>
      <w:r>
        <w:rPr/>
        <w:t>acciones</w:t>
      </w:r>
      <w:r>
        <w:rPr>
          <w:spacing w:val="-10"/>
        </w:rPr>
        <w:t> </w:t>
      </w:r>
      <w:r>
        <w:rPr/>
        <w:t>de</w:t>
      </w:r>
      <w:r>
        <w:rPr>
          <w:spacing w:val="-10"/>
        </w:rPr>
        <w:t> </w:t>
      </w:r>
      <w:r>
        <w:rPr/>
        <w:t>prevención,</w:t>
      </w:r>
      <w:r>
        <w:rPr>
          <w:spacing w:val="-9"/>
        </w:rPr>
        <w:t> </w:t>
      </w:r>
      <w:r>
        <w:rPr/>
        <w:t>asistencia</w:t>
      </w:r>
      <w:r>
        <w:rPr>
          <w:spacing w:val="-11"/>
        </w:rPr>
        <w:t> </w:t>
      </w:r>
      <w:r>
        <w:rPr/>
        <w:t>y</w:t>
      </w:r>
      <w:r>
        <w:rPr>
          <w:spacing w:val="-9"/>
        </w:rPr>
        <w:t> </w:t>
      </w:r>
      <w:r>
        <w:rPr/>
        <w:t>reparación</w:t>
      </w:r>
      <w:r>
        <w:rPr>
          <w:spacing w:val="-11"/>
        </w:rPr>
        <w:t> </w:t>
      </w:r>
      <w:r>
        <w:rPr/>
        <w:t>integral</w:t>
      </w:r>
      <w:r>
        <w:rPr>
          <w:spacing w:val="-9"/>
        </w:rPr>
        <w:t> </w:t>
      </w:r>
      <w:r>
        <w:rPr/>
        <w:t>encaminadas</w:t>
      </w:r>
      <w:r>
        <w:rPr>
          <w:spacing w:val="-10"/>
        </w:rPr>
        <w:t> </w:t>
      </w:r>
      <w:r>
        <w:rPr/>
        <w:t>al</w:t>
      </w:r>
      <w:r>
        <w:rPr>
          <w:spacing w:val="-11"/>
        </w:rPr>
        <w:t> </w:t>
      </w:r>
      <w:r>
        <w:rPr/>
        <w:t>goce</w:t>
      </w:r>
      <w:r>
        <w:rPr>
          <w:spacing w:val="-8"/>
        </w:rPr>
        <w:t> </w:t>
      </w:r>
      <w:r>
        <w:rPr/>
        <w:t>efectivo</w:t>
      </w:r>
      <w:r>
        <w:rPr>
          <w:spacing w:val="-8"/>
        </w:rPr>
        <w:t> </w:t>
      </w:r>
      <w:r>
        <w:rPr/>
        <w:t>de</w:t>
      </w:r>
      <w:r>
        <w:rPr>
          <w:spacing w:val="-10"/>
        </w:rPr>
        <w:t> </w:t>
      </w:r>
      <w:r>
        <w:rPr/>
        <w:t>derechos</w:t>
      </w:r>
      <w:r>
        <w:rPr>
          <w:spacing w:val="-10"/>
        </w:rPr>
        <w:t> </w:t>
      </w:r>
      <w:r>
        <w:rPr/>
        <w:t>de</w:t>
      </w:r>
      <w:r>
        <w:rPr>
          <w:spacing w:val="-10"/>
        </w:rPr>
        <w:t> </w:t>
      </w:r>
      <w:r>
        <w:rPr/>
        <w:t>la</w:t>
      </w:r>
      <w:r>
        <w:rPr>
          <w:spacing w:val="-9"/>
        </w:rPr>
        <w:t> </w:t>
      </w:r>
      <w:r>
        <w:rPr/>
        <w:t>población víctima</w:t>
      </w:r>
      <w:r>
        <w:rPr>
          <w:spacing w:val="-4"/>
        </w:rPr>
        <w:t> </w:t>
      </w:r>
      <w:r>
        <w:rPr/>
        <w:t>del</w:t>
      </w:r>
      <w:r>
        <w:rPr>
          <w:spacing w:val="-7"/>
        </w:rPr>
        <w:t> </w:t>
      </w:r>
      <w:r>
        <w:rPr/>
        <w:t>conflicto</w:t>
      </w:r>
      <w:r>
        <w:rPr>
          <w:spacing w:val="-5"/>
        </w:rPr>
        <w:t> </w:t>
      </w:r>
      <w:r>
        <w:rPr/>
        <w:t>armado,</w:t>
      </w:r>
      <w:r>
        <w:rPr>
          <w:spacing w:val="-4"/>
        </w:rPr>
        <w:t> </w:t>
      </w:r>
      <w:r>
        <w:rPr/>
        <w:t>para</w:t>
      </w:r>
      <w:r>
        <w:rPr>
          <w:spacing w:val="-5"/>
        </w:rPr>
        <w:t> </w:t>
      </w:r>
      <w:r>
        <w:rPr/>
        <w:t>lo</w:t>
      </w:r>
      <w:r>
        <w:rPr>
          <w:spacing w:val="-3"/>
        </w:rPr>
        <w:t> </w:t>
      </w:r>
      <w:r>
        <w:rPr/>
        <w:t>cual</w:t>
      </w:r>
      <w:r>
        <w:rPr>
          <w:spacing w:val="-7"/>
        </w:rPr>
        <w:t> </w:t>
      </w:r>
      <w:r>
        <w:rPr/>
        <w:t>es</w:t>
      </w:r>
      <w:r>
        <w:rPr>
          <w:spacing w:val="-4"/>
        </w:rPr>
        <w:t> </w:t>
      </w:r>
      <w:r>
        <w:rPr/>
        <w:t>importante</w:t>
      </w:r>
      <w:r>
        <w:rPr>
          <w:spacing w:val="-4"/>
        </w:rPr>
        <w:t> </w:t>
      </w:r>
      <w:r>
        <w:rPr/>
        <w:t>tener</w:t>
      </w:r>
      <w:r>
        <w:rPr>
          <w:spacing w:val="-4"/>
        </w:rPr>
        <w:t> </w:t>
      </w:r>
      <w:r>
        <w:rPr/>
        <w:t>claros</w:t>
      </w:r>
      <w:r>
        <w:rPr>
          <w:spacing w:val="-4"/>
        </w:rPr>
        <w:t> </w:t>
      </w:r>
      <w:r>
        <w:rPr/>
        <w:t>los</w:t>
      </w:r>
      <w:r>
        <w:rPr>
          <w:spacing w:val="-4"/>
        </w:rPr>
        <w:t> </w:t>
      </w:r>
      <w:r>
        <w:rPr/>
        <w:t>siguientes</w:t>
      </w:r>
      <w:r>
        <w:rPr>
          <w:spacing w:val="-4"/>
        </w:rPr>
        <w:t> </w:t>
      </w:r>
      <w:r>
        <w:rPr/>
        <w:t>conceptos</w:t>
      </w:r>
      <w:r>
        <w:rPr>
          <w:spacing w:val="-4"/>
        </w:rPr>
        <w:t> </w:t>
      </w:r>
      <w:r>
        <w:rPr/>
        <w:t>básicos</w:t>
      </w:r>
      <w:r>
        <w:rPr>
          <w:spacing w:val="-4"/>
        </w:rPr>
        <w:t> </w:t>
      </w:r>
      <w:r>
        <w:rPr/>
        <w:t>establecidos</w:t>
      </w:r>
      <w:r>
        <w:rPr>
          <w:spacing w:val="-4"/>
        </w:rPr>
        <w:t> </w:t>
      </w:r>
      <w:r>
        <w:rPr/>
        <w:t>en</w:t>
      </w:r>
      <w:r>
        <w:rPr>
          <w:spacing w:val="-7"/>
        </w:rPr>
        <w:t> </w:t>
      </w:r>
      <w:r>
        <w:rPr/>
        <w:t>el procedimiento objeto de</w:t>
      </w:r>
      <w:r>
        <w:rPr>
          <w:spacing w:val="-8"/>
        </w:rPr>
        <w:t> </w:t>
      </w:r>
      <w:r>
        <w:rPr/>
        <w:t>evaluación.</w:t>
      </w:r>
    </w:p>
    <w:p>
      <w:pPr>
        <w:pStyle w:val="BodyText"/>
      </w:pPr>
    </w:p>
    <w:p>
      <w:pPr>
        <w:pStyle w:val="BodyText"/>
        <w:spacing w:before="1"/>
        <w:ind w:left="152" w:right="109"/>
        <w:jc w:val="both"/>
      </w:pPr>
      <w:r>
        <w:rPr>
          <w:b/>
        </w:rPr>
        <w:t>Certificación: </w:t>
      </w:r>
      <w:r>
        <w:rPr/>
        <w:t>herramienta diseñada para evaluar la contribución de las Entidades que conforman el Sistema Nacional de Atención y Reparación Integral a las Víctimas del orden nacional y territorial, en el goce efectivo de derechos de la población víctima del conflicto armado, y que permite a la UARIV como entidad coordinadora del sistema, realizar seguimiento y monitoreo a la implementación de la Ley 1448 de 2011.</w:t>
      </w:r>
    </w:p>
    <w:p>
      <w:pPr>
        <w:pStyle w:val="BodyText"/>
        <w:spacing w:before="10"/>
        <w:rPr>
          <w:sz w:val="21"/>
        </w:rPr>
      </w:pPr>
    </w:p>
    <w:p>
      <w:pPr>
        <w:pStyle w:val="BodyText"/>
        <w:ind w:left="152" w:right="114"/>
        <w:jc w:val="both"/>
      </w:pPr>
      <w:r>
        <w:rPr>
          <w:b/>
        </w:rPr>
        <w:t>Goce efectivo de derechos: </w:t>
      </w:r>
      <w:r>
        <w:rPr/>
        <w:t>Bienestar de la población como consecuencia (directa o indirecta) del cumplimiento de las obligaciones del Estado y la realización de los derechos de la población víctima.</w:t>
      </w:r>
    </w:p>
    <w:p>
      <w:pPr>
        <w:pStyle w:val="BodyText"/>
      </w:pPr>
    </w:p>
    <w:p>
      <w:pPr>
        <w:pStyle w:val="BodyText"/>
        <w:ind w:left="152" w:right="116"/>
        <w:jc w:val="both"/>
      </w:pPr>
      <w:r>
        <w:rPr>
          <w:b/>
        </w:rPr>
        <w:t>Hechos victimizantes: </w:t>
      </w:r>
      <w:r>
        <w:rPr/>
        <w:t>En el marco de la Ley 1448 de 2011, son considerados como hechos victimizantes los siguientes: desplazamiento forzado, desaparición forzada, homicidio o masacre; secuestro, tortura, mina antipersonal o munición sin explotar; delitos contra la libertad e integridad sexual, reclutamiento de niños, niñas y adolescentes por parte de grupo armados ilegales.</w:t>
      </w:r>
    </w:p>
    <w:p>
      <w:pPr>
        <w:pStyle w:val="BodyText"/>
        <w:spacing w:before="1"/>
      </w:pPr>
    </w:p>
    <w:p>
      <w:pPr>
        <w:pStyle w:val="BodyText"/>
        <w:ind w:left="152" w:right="112"/>
        <w:jc w:val="both"/>
      </w:pPr>
      <w:r>
        <w:rPr>
          <w:b/>
        </w:rPr>
        <w:t>Población víctima: </w:t>
      </w:r>
      <w:r>
        <w:rPr/>
        <w:t>De acuerdo con el artículo 3 de la Ley 1448 de 2011, son consideradas víctimas “aquellas personas que individual o colectivamente hayan sufrido un daño por hechos ocurridos a partir del 1 de enero de 1985, como consecuencia de infracciones al Derecho Internacional Humanitario o de violaciones graves y manifiestas a las normas internaciones de Derechos Humanos, ocurridas con ocasión del conflicto armado interno”.</w:t>
      </w:r>
    </w:p>
    <w:p>
      <w:pPr>
        <w:spacing w:after="0"/>
        <w:jc w:val="both"/>
        <w:sectPr>
          <w:pgSz w:w="12240" w:h="15840"/>
          <w:pgMar w:top="840" w:bottom="280" w:left="700" w:right="6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9" name="image1.png" descr=""/>
                  <wp:cNvGraphicFramePr>
                    <a:graphicFrameLocks noChangeAspect="1"/>
                  </wp:cNvGraphicFramePr>
                  <a:graphic>
                    <a:graphicData uri="http://schemas.openxmlformats.org/drawingml/2006/picture">
                      <pic:pic>
                        <pic:nvPicPr>
                          <pic:cNvPr id="1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152" w:right="390"/>
        <w:jc w:val="both"/>
      </w:pPr>
      <w:r>
        <w:rPr/>
        <w:t>Así las cosas, en un solo procedimiento se documentan el método utilizado para certificar a las entidades tanto en el nivel nacional como en el territorial, siendo responsables las Subdirecciones de Coordinación SNARIV y Coordinación Nación</w:t>
      </w:r>
      <w:r>
        <w:rPr>
          <w:spacing w:val="-5"/>
        </w:rPr>
        <w:t> </w:t>
      </w:r>
      <w:r>
        <w:rPr/>
        <w:t>Territorio.</w:t>
      </w:r>
      <w:r>
        <w:rPr>
          <w:spacing w:val="-7"/>
        </w:rPr>
        <w:t> </w:t>
      </w:r>
      <w:r>
        <w:rPr/>
        <w:t>Para</w:t>
      </w:r>
      <w:r>
        <w:rPr>
          <w:spacing w:val="-5"/>
        </w:rPr>
        <w:t> </w:t>
      </w:r>
      <w:r>
        <w:rPr/>
        <w:t>lo</w:t>
      </w:r>
      <w:r>
        <w:rPr>
          <w:spacing w:val="-5"/>
        </w:rPr>
        <w:t> </w:t>
      </w:r>
      <w:r>
        <w:rPr/>
        <w:t>cual,</w:t>
      </w:r>
      <w:r>
        <w:rPr>
          <w:spacing w:val="-5"/>
        </w:rPr>
        <w:t> </w:t>
      </w:r>
      <w:r>
        <w:rPr/>
        <w:t>la</w:t>
      </w:r>
      <w:r>
        <w:rPr>
          <w:spacing w:val="-5"/>
        </w:rPr>
        <w:t> </w:t>
      </w:r>
      <w:r>
        <w:rPr/>
        <w:t>Oficina</w:t>
      </w:r>
      <w:r>
        <w:rPr>
          <w:spacing w:val="-4"/>
        </w:rPr>
        <w:t> </w:t>
      </w:r>
      <w:r>
        <w:rPr/>
        <w:t>de</w:t>
      </w:r>
      <w:r>
        <w:rPr>
          <w:spacing w:val="-6"/>
        </w:rPr>
        <w:t> </w:t>
      </w:r>
      <w:r>
        <w:rPr/>
        <w:t>Control</w:t>
      </w:r>
      <w:r>
        <w:rPr>
          <w:spacing w:val="-4"/>
        </w:rPr>
        <w:t> </w:t>
      </w:r>
      <w:r>
        <w:rPr/>
        <w:t>Interno</w:t>
      </w:r>
      <w:r>
        <w:rPr>
          <w:spacing w:val="-5"/>
        </w:rPr>
        <w:t> </w:t>
      </w:r>
      <w:r>
        <w:rPr/>
        <w:t>verificó</w:t>
      </w:r>
      <w:r>
        <w:rPr>
          <w:spacing w:val="-5"/>
        </w:rPr>
        <w:t> </w:t>
      </w:r>
      <w:r>
        <w:rPr/>
        <w:t>el</w:t>
      </w:r>
      <w:r>
        <w:rPr>
          <w:spacing w:val="-4"/>
        </w:rPr>
        <w:t> </w:t>
      </w:r>
      <w:r>
        <w:rPr/>
        <w:t>cumplimiento</w:t>
      </w:r>
      <w:r>
        <w:rPr>
          <w:spacing w:val="-3"/>
        </w:rPr>
        <w:t> </w:t>
      </w:r>
      <w:r>
        <w:rPr/>
        <w:t>del</w:t>
      </w:r>
      <w:r>
        <w:rPr>
          <w:spacing w:val="-4"/>
        </w:rPr>
        <w:t> </w:t>
      </w:r>
      <w:r>
        <w:rPr/>
        <w:t>procedimiento</w:t>
      </w:r>
      <w:r>
        <w:rPr>
          <w:spacing w:val="-5"/>
        </w:rPr>
        <w:t> </w:t>
      </w:r>
      <w:r>
        <w:rPr/>
        <w:t>en</w:t>
      </w:r>
      <w:r>
        <w:rPr>
          <w:spacing w:val="-7"/>
        </w:rPr>
        <w:t> </w:t>
      </w:r>
      <w:r>
        <w:rPr/>
        <w:t>mención</w:t>
      </w:r>
      <w:r>
        <w:rPr>
          <w:spacing w:val="-5"/>
        </w:rPr>
        <w:t> </w:t>
      </w:r>
      <w:r>
        <w:rPr/>
        <w:t>con cada</w:t>
      </w:r>
      <w:r>
        <w:rPr>
          <w:spacing w:val="-2"/>
        </w:rPr>
        <w:t> </w:t>
      </w:r>
      <w:r>
        <w:rPr/>
        <w:t>una</w:t>
      </w:r>
      <w:r>
        <w:rPr>
          <w:spacing w:val="-2"/>
        </w:rPr>
        <w:t> </w:t>
      </w:r>
      <w:r>
        <w:rPr/>
        <w:t>de</w:t>
      </w:r>
      <w:r>
        <w:rPr>
          <w:spacing w:val="-5"/>
        </w:rPr>
        <w:t> </w:t>
      </w:r>
      <w:r>
        <w:rPr/>
        <w:t>las</w:t>
      </w:r>
      <w:r>
        <w:rPr>
          <w:spacing w:val="-3"/>
        </w:rPr>
        <w:t> </w:t>
      </w:r>
      <w:r>
        <w:rPr/>
        <w:t>áreas</w:t>
      </w:r>
      <w:r>
        <w:rPr>
          <w:spacing w:val="-4"/>
        </w:rPr>
        <w:t> </w:t>
      </w:r>
      <w:r>
        <w:rPr/>
        <w:t>auditadas,</w:t>
      </w:r>
      <w:r>
        <w:rPr>
          <w:spacing w:val="-2"/>
        </w:rPr>
        <w:t> </w:t>
      </w:r>
      <w:r>
        <w:rPr/>
        <w:t>identificando</w:t>
      </w:r>
      <w:r>
        <w:rPr>
          <w:spacing w:val="-1"/>
        </w:rPr>
        <w:t> </w:t>
      </w:r>
      <w:r>
        <w:rPr/>
        <w:t>los</w:t>
      </w:r>
      <w:r>
        <w:rPr>
          <w:spacing w:val="-2"/>
        </w:rPr>
        <w:t> </w:t>
      </w:r>
      <w:r>
        <w:rPr/>
        <w:t>puntos</w:t>
      </w:r>
      <w:r>
        <w:rPr>
          <w:spacing w:val="-5"/>
        </w:rPr>
        <w:t> </w:t>
      </w:r>
      <w:r>
        <w:rPr/>
        <w:t>de</w:t>
      </w:r>
      <w:r>
        <w:rPr>
          <w:spacing w:val="-2"/>
        </w:rPr>
        <w:t> </w:t>
      </w:r>
      <w:r>
        <w:rPr/>
        <w:t>control,</w:t>
      </w:r>
      <w:r>
        <w:rPr>
          <w:spacing w:val="-5"/>
        </w:rPr>
        <w:t> </w:t>
      </w:r>
      <w:r>
        <w:rPr/>
        <w:t>metodología</w:t>
      </w:r>
      <w:r>
        <w:rPr>
          <w:spacing w:val="-2"/>
        </w:rPr>
        <w:t> </w:t>
      </w:r>
      <w:r>
        <w:rPr/>
        <w:t>utilizada</w:t>
      </w:r>
      <w:r>
        <w:rPr>
          <w:spacing w:val="-2"/>
        </w:rPr>
        <w:t> </w:t>
      </w:r>
      <w:r>
        <w:rPr/>
        <w:t>y</w:t>
      </w:r>
      <w:r>
        <w:rPr>
          <w:spacing w:val="-4"/>
        </w:rPr>
        <w:t> </w:t>
      </w:r>
      <w:r>
        <w:rPr/>
        <w:t>solicitando</w:t>
      </w:r>
      <w:r>
        <w:rPr>
          <w:spacing w:val="-3"/>
        </w:rPr>
        <w:t> </w:t>
      </w:r>
      <w:r>
        <w:rPr/>
        <w:t>evidencias</w:t>
      </w:r>
      <w:r>
        <w:rPr>
          <w:spacing w:val="-3"/>
        </w:rPr>
        <w:t> </w:t>
      </w:r>
      <w:r>
        <w:rPr/>
        <w:t>que soporten</w:t>
      </w:r>
      <w:r>
        <w:rPr>
          <w:spacing w:val="-4"/>
        </w:rPr>
        <w:t> </w:t>
      </w:r>
      <w:r>
        <w:rPr/>
        <w:t>el</w:t>
      </w:r>
      <w:r>
        <w:rPr>
          <w:spacing w:val="-1"/>
        </w:rPr>
        <w:t> </w:t>
      </w:r>
      <w:r>
        <w:rPr/>
        <w:t>cumplimiento</w:t>
      </w:r>
      <w:r>
        <w:rPr>
          <w:spacing w:val="-4"/>
        </w:rPr>
        <w:t> </w:t>
      </w:r>
      <w:r>
        <w:rPr/>
        <w:t>del</w:t>
      </w:r>
      <w:r>
        <w:rPr>
          <w:spacing w:val="-1"/>
        </w:rPr>
        <w:t> </w:t>
      </w:r>
      <w:r>
        <w:rPr/>
        <w:t>mismo</w:t>
      </w:r>
      <w:r>
        <w:rPr>
          <w:spacing w:val="-2"/>
        </w:rPr>
        <w:t> </w:t>
      </w:r>
      <w:r>
        <w:rPr/>
        <w:t>y</w:t>
      </w:r>
      <w:r>
        <w:rPr>
          <w:spacing w:val="-1"/>
        </w:rPr>
        <w:t> </w:t>
      </w:r>
      <w:r>
        <w:rPr/>
        <w:t>con</w:t>
      </w:r>
      <w:r>
        <w:rPr>
          <w:spacing w:val="-2"/>
        </w:rPr>
        <w:t> </w:t>
      </w:r>
      <w:r>
        <w:rPr/>
        <w:t>base</w:t>
      </w:r>
      <w:r>
        <w:rPr>
          <w:spacing w:val="-3"/>
        </w:rPr>
        <w:t> </w:t>
      </w:r>
      <w:r>
        <w:rPr/>
        <w:t>en</w:t>
      </w:r>
      <w:r>
        <w:rPr>
          <w:spacing w:val="-2"/>
        </w:rPr>
        <w:t> </w:t>
      </w:r>
      <w:r>
        <w:rPr/>
        <w:t>la</w:t>
      </w:r>
      <w:r>
        <w:rPr>
          <w:spacing w:val="-3"/>
        </w:rPr>
        <w:t> </w:t>
      </w:r>
      <w:r>
        <w:rPr/>
        <w:t>cual</w:t>
      </w:r>
      <w:r>
        <w:rPr>
          <w:spacing w:val="-1"/>
        </w:rPr>
        <w:t> </w:t>
      </w:r>
      <w:r>
        <w:rPr/>
        <w:t>se pueda</w:t>
      </w:r>
      <w:r>
        <w:rPr>
          <w:spacing w:val="-4"/>
        </w:rPr>
        <w:t> </w:t>
      </w:r>
      <w:r>
        <w:rPr/>
        <w:t>medir</w:t>
      </w:r>
      <w:r>
        <w:rPr>
          <w:spacing w:val="-1"/>
        </w:rPr>
        <w:t> </w:t>
      </w:r>
      <w:r>
        <w:rPr/>
        <w:t>la</w:t>
      </w:r>
      <w:r>
        <w:rPr>
          <w:spacing w:val="-1"/>
        </w:rPr>
        <w:t> </w:t>
      </w:r>
      <w:r>
        <w:rPr/>
        <w:t>gestión</w:t>
      </w:r>
      <w:r>
        <w:rPr>
          <w:spacing w:val="-2"/>
        </w:rPr>
        <w:t> </w:t>
      </w:r>
      <w:r>
        <w:rPr/>
        <w:t>frente</w:t>
      </w:r>
      <w:r>
        <w:rPr>
          <w:spacing w:val="-1"/>
        </w:rPr>
        <w:t> </w:t>
      </w:r>
      <w:r>
        <w:rPr/>
        <w:t>al</w:t>
      </w:r>
      <w:r>
        <w:rPr>
          <w:spacing w:val="-1"/>
        </w:rPr>
        <w:t> </w:t>
      </w:r>
      <w:r>
        <w:rPr/>
        <w:t>proceso</w:t>
      </w:r>
      <w:r>
        <w:rPr>
          <w:spacing w:val="-2"/>
        </w:rPr>
        <w:t> </w:t>
      </w:r>
      <w:r>
        <w:rPr/>
        <w:t>de</w:t>
      </w:r>
      <w:r>
        <w:rPr>
          <w:spacing w:val="-1"/>
        </w:rPr>
        <w:t> </w:t>
      </w:r>
      <w:r>
        <w:rPr/>
        <w:t>certificación.</w:t>
      </w:r>
    </w:p>
    <w:p>
      <w:pPr>
        <w:pStyle w:val="BodyText"/>
        <w:spacing w:before="10"/>
      </w:pPr>
    </w:p>
    <w:p>
      <w:pPr>
        <w:pStyle w:val="BodyText"/>
        <w:ind w:left="152" w:right="395"/>
        <w:jc w:val="both"/>
      </w:pPr>
      <w:r>
        <w:rPr/>
        <w:t>Por lo tanto, a continuación se expondrán las fortalezas y observaciones encontradas por la OCI en cada Subdirección de manera individual en relación al procedimiento objeto de auditoría.</w:t>
      </w:r>
    </w:p>
    <w:p>
      <w:pPr>
        <w:pStyle w:val="BodyText"/>
        <w:rPr>
          <w:sz w:val="23"/>
        </w:rPr>
      </w:pPr>
    </w:p>
    <w:p>
      <w:pPr>
        <w:pStyle w:val="Heading1"/>
        <w:spacing w:before="1"/>
        <w:ind w:left="718"/>
        <w:jc w:val="both"/>
      </w:pPr>
      <w:r>
        <w:rPr/>
        <w:t>3.1. ANALISIS DEL PROCEDIMIENTO.</w:t>
      </w:r>
    </w:p>
    <w:p>
      <w:pPr>
        <w:pStyle w:val="BodyText"/>
        <w:spacing w:before="10"/>
        <w:rPr>
          <w:b/>
        </w:rPr>
      </w:pPr>
    </w:p>
    <w:p>
      <w:pPr>
        <w:pStyle w:val="BodyText"/>
        <w:ind w:left="718" w:right="113"/>
        <w:jc w:val="both"/>
      </w:pPr>
      <w:r>
        <w:rPr/>
        <w:t>Se realiza la consulta en la intranet de la Unidad, ubicando el procedimiento de certificaciones a las entidades que conforman el Sistema Nacional de Atención y Reparación Integral a las Víctimas a nivel nacional y territorial, </w:t>
      </w:r>
      <w:hyperlink r:id="rId16">
        <w:r>
          <w:rPr>
            <w:color w:val="001F5F"/>
          </w:rPr>
          <w:t>http://intranet.unidadvictimas.gov.co/images/SIG/procesos_caracterizados/9.%20Procedimiento%20Certificacion</w:t>
        </w:r>
      </w:hyperlink>
    </w:p>
    <w:p>
      <w:pPr>
        <w:pStyle w:val="BodyText"/>
        <w:ind w:left="718"/>
        <w:jc w:val="both"/>
      </w:pPr>
      <w:r>
        <w:rPr>
          <w:color w:val="001F5F"/>
        </w:rPr>
        <w:t>%20a%20las%20Entidades%20que%20conforman%20el%20SNARIV%20a%20nivel%20Nacional%20y%20Territorial</w:t>
      </w:r>
    </w:p>
    <w:p>
      <w:pPr>
        <w:pStyle w:val="BodyText"/>
        <w:ind w:left="718"/>
        <w:jc w:val="both"/>
      </w:pPr>
      <w:r>
        <w:rPr>
          <w:color w:val="001F5F"/>
        </w:rPr>
        <w:t>%20v3.pdf.</w:t>
      </w:r>
    </w:p>
    <w:p>
      <w:pPr>
        <w:pStyle w:val="BodyText"/>
        <w:rPr>
          <w:sz w:val="23"/>
        </w:rPr>
      </w:pPr>
    </w:p>
    <w:p>
      <w:pPr>
        <w:pStyle w:val="Heading1"/>
        <w:ind w:left="4352" w:right="4311"/>
      </w:pPr>
      <w:r>
        <w:rPr/>
        <w:t>Imagen Nº1 procedimiento</w:t>
      </w:r>
    </w:p>
    <w:p>
      <w:pPr>
        <w:pStyle w:val="BodyText"/>
        <w:spacing w:before="9"/>
        <w:rPr>
          <w:b/>
          <w:sz w:val="19"/>
        </w:rPr>
      </w:pPr>
      <w:r>
        <w:rPr/>
        <w:drawing>
          <wp:anchor distT="0" distB="0" distL="0" distR="0" allowOverlap="1" layoutInCell="1" locked="0" behindDoc="0" simplePos="0" relativeHeight="1072">
            <wp:simplePos x="0" y="0"/>
            <wp:positionH relativeFrom="page">
              <wp:posOffset>2368295</wp:posOffset>
            </wp:positionH>
            <wp:positionV relativeFrom="paragraph">
              <wp:posOffset>178256</wp:posOffset>
            </wp:positionV>
            <wp:extent cx="3235246" cy="4278534"/>
            <wp:effectExtent l="0" t="0" r="0" b="0"/>
            <wp:wrapTopAndBottom/>
            <wp:docPr id="11" name="image2.png" descr=""/>
            <wp:cNvGraphicFramePr>
              <a:graphicFrameLocks noChangeAspect="1"/>
            </wp:cNvGraphicFramePr>
            <a:graphic>
              <a:graphicData uri="http://schemas.openxmlformats.org/drawingml/2006/picture">
                <pic:pic>
                  <pic:nvPicPr>
                    <pic:cNvPr id="12" name="image2.png"/>
                    <pic:cNvPicPr/>
                  </pic:nvPicPr>
                  <pic:blipFill>
                    <a:blip r:embed="rId17" cstate="print"/>
                    <a:stretch>
                      <a:fillRect/>
                    </a:stretch>
                  </pic:blipFill>
                  <pic:spPr>
                    <a:xfrm>
                      <a:off x="0" y="0"/>
                      <a:ext cx="3235246" cy="4278534"/>
                    </a:xfrm>
                    <a:prstGeom prst="rect">
                      <a:avLst/>
                    </a:prstGeom>
                  </pic:spPr>
                </pic:pic>
              </a:graphicData>
            </a:graphic>
          </wp:anchor>
        </w:drawing>
      </w:r>
    </w:p>
    <w:p>
      <w:pPr>
        <w:spacing w:after="0"/>
        <w:rPr>
          <w:sz w:val="19"/>
        </w:rPr>
        <w:sectPr>
          <w:pgSz w:w="12240" w:h="15840"/>
          <w:pgMar w:top="840" w:bottom="280" w:left="700" w:right="3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3" name="image1.png" descr=""/>
                  <wp:cNvGraphicFramePr>
                    <a:graphicFrameLocks noChangeAspect="1"/>
                  </wp:cNvGraphicFramePr>
                  <a:graphic>
                    <a:graphicData uri="http://schemas.openxmlformats.org/drawingml/2006/picture">
                      <pic:pic>
                        <pic:nvPicPr>
                          <pic:cNvPr id="1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spacing w:before="57"/>
        <w:ind w:left="4327" w:right="3966" w:firstLine="0"/>
        <w:jc w:val="center"/>
        <w:rPr>
          <w:b/>
          <w:sz w:val="22"/>
        </w:rPr>
      </w:pPr>
      <w:r>
        <w:rPr>
          <w:b/>
          <w:sz w:val="22"/>
        </w:rPr>
        <w:t>Imagen Nº2 procedimiento</w:t>
      </w:r>
    </w:p>
    <w:p>
      <w:pPr>
        <w:pStyle w:val="BodyText"/>
        <w:rPr>
          <w:b/>
          <w:sz w:val="20"/>
        </w:rPr>
      </w:pPr>
      <w:r>
        <w:rPr/>
        <w:drawing>
          <wp:anchor distT="0" distB="0" distL="0" distR="0" allowOverlap="1" layoutInCell="1" locked="0" behindDoc="0" simplePos="0" relativeHeight="1096">
            <wp:simplePos x="0" y="0"/>
            <wp:positionH relativeFrom="page">
              <wp:posOffset>2368295</wp:posOffset>
            </wp:positionH>
            <wp:positionV relativeFrom="paragraph">
              <wp:posOffset>180161</wp:posOffset>
            </wp:positionV>
            <wp:extent cx="3303122" cy="3724275"/>
            <wp:effectExtent l="0" t="0" r="0" b="0"/>
            <wp:wrapTopAndBottom/>
            <wp:docPr id="15" name="image3.jpeg" descr=""/>
            <wp:cNvGraphicFramePr>
              <a:graphicFrameLocks noChangeAspect="1"/>
            </wp:cNvGraphicFramePr>
            <a:graphic>
              <a:graphicData uri="http://schemas.openxmlformats.org/drawingml/2006/picture">
                <pic:pic>
                  <pic:nvPicPr>
                    <pic:cNvPr id="16" name="image3.jpeg"/>
                    <pic:cNvPicPr/>
                  </pic:nvPicPr>
                  <pic:blipFill>
                    <a:blip r:embed="rId18" cstate="print"/>
                    <a:stretch>
                      <a:fillRect/>
                    </a:stretch>
                  </pic:blipFill>
                  <pic:spPr>
                    <a:xfrm>
                      <a:off x="0" y="0"/>
                      <a:ext cx="3303122" cy="3724275"/>
                    </a:xfrm>
                    <a:prstGeom prst="rect">
                      <a:avLst/>
                    </a:prstGeom>
                  </pic:spPr>
                </pic:pic>
              </a:graphicData>
            </a:graphic>
          </wp:anchor>
        </w:drawing>
      </w:r>
    </w:p>
    <w:p>
      <w:pPr>
        <w:pStyle w:val="BodyText"/>
        <w:spacing w:before="7"/>
        <w:rPr>
          <w:b/>
          <w:sz w:val="16"/>
        </w:rPr>
      </w:pPr>
    </w:p>
    <w:p>
      <w:pPr>
        <w:spacing w:before="0"/>
        <w:ind w:left="4327" w:right="3966" w:firstLine="0"/>
        <w:jc w:val="center"/>
        <w:rPr>
          <w:b/>
          <w:sz w:val="22"/>
        </w:rPr>
      </w:pPr>
      <w:r>
        <w:rPr/>
        <w:drawing>
          <wp:anchor distT="0" distB="0" distL="0" distR="0" allowOverlap="1" layoutInCell="1" locked="0" behindDoc="0" simplePos="0" relativeHeight="1120">
            <wp:simplePos x="0" y="0"/>
            <wp:positionH relativeFrom="page">
              <wp:posOffset>2308860</wp:posOffset>
            </wp:positionH>
            <wp:positionV relativeFrom="paragraph">
              <wp:posOffset>257094</wp:posOffset>
            </wp:positionV>
            <wp:extent cx="3293656" cy="3015043"/>
            <wp:effectExtent l="0" t="0" r="0" b="0"/>
            <wp:wrapTopAndBottom/>
            <wp:docPr id="17" name="image4.jpeg" descr=""/>
            <wp:cNvGraphicFramePr>
              <a:graphicFrameLocks noChangeAspect="1"/>
            </wp:cNvGraphicFramePr>
            <a:graphic>
              <a:graphicData uri="http://schemas.openxmlformats.org/drawingml/2006/picture">
                <pic:pic>
                  <pic:nvPicPr>
                    <pic:cNvPr id="18" name="image4.jpeg"/>
                    <pic:cNvPicPr/>
                  </pic:nvPicPr>
                  <pic:blipFill>
                    <a:blip r:embed="rId19" cstate="print"/>
                    <a:stretch>
                      <a:fillRect/>
                    </a:stretch>
                  </pic:blipFill>
                  <pic:spPr>
                    <a:xfrm>
                      <a:off x="0" y="0"/>
                      <a:ext cx="3293656" cy="3015043"/>
                    </a:xfrm>
                    <a:prstGeom prst="rect">
                      <a:avLst/>
                    </a:prstGeom>
                  </pic:spPr>
                </pic:pic>
              </a:graphicData>
            </a:graphic>
          </wp:anchor>
        </w:drawing>
      </w:r>
      <w:r>
        <w:rPr>
          <w:b/>
          <w:sz w:val="22"/>
        </w:rPr>
        <w:t>Imagen Nº 3 procedimiento</w:t>
      </w:r>
    </w:p>
    <w:p>
      <w:pPr>
        <w:spacing w:after="0"/>
        <w:jc w:val="center"/>
        <w:rPr>
          <w:sz w:val="22"/>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9" name="image1.png" descr=""/>
                  <wp:cNvGraphicFramePr>
                    <a:graphicFrameLocks noChangeAspect="1"/>
                  </wp:cNvGraphicFramePr>
                  <a:graphic>
                    <a:graphicData uri="http://schemas.openxmlformats.org/drawingml/2006/picture">
                      <pic:pic>
                        <pic:nvPicPr>
                          <pic:cNvPr id="2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7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spacing w:before="57"/>
        <w:ind w:left="152" w:right="0" w:firstLine="0"/>
        <w:jc w:val="left"/>
        <w:rPr>
          <w:b/>
          <w:sz w:val="22"/>
        </w:rPr>
      </w:pPr>
      <w:r>
        <w:rPr>
          <w:b/>
          <w:sz w:val="22"/>
        </w:rPr>
        <w:t>Observaciones.</w:t>
      </w:r>
    </w:p>
    <w:p>
      <w:pPr>
        <w:pStyle w:val="BodyText"/>
        <w:rPr>
          <w:b/>
          <w:sz w:val="23"/>
        </w:rPr>
      </w:pPr>
    </w:p>
    <w:p>
      <w:pPr>
        <w:pStyle w:val="BodyText"/>
        <w:ind w:left="872" w:right="107" w:hanging="721"/>
        <w:jc w:val="both"/>
      </w:pPr>
      <w:r>
        <w:rPr>
          <w:b/>
        </w:rPr>
        <w:t>3.1.1 </w:t>
      </w:r>
      <w:r>
        <w:rPr/>
        <w:t>Luego de revisar y analizar el procedimiento, objetivo, alcance y actividades descritas en el diagrama de flujo y la dinámica que cada subdirección maneja frente al cumplimiento del procedimiento, se observaron diferencias sustanciales</w:t>
      </w:r>
      <w:r>
        <w:rPr>
          <w:spacing w:val="-3"/>
        </w:rPr>
        <w:t> </w:t>
      </w:r>
      <w:r>
        <w:rPr/>
        <w:t>en</w:t>
      </w:r>
      <w:r>
        <w:rPr>
          <w:spacing w:val="-4"/>
        </w:rPr>
        <w:t> </w:t>
      </w:r>
      <w:r>
        <w:rPr/>
        <w:t>el</w:t>
      </w:r>
      <w:r>
        <w:rPr>
          <w:spacing w:val="-1"/>
        </w:rPr>
        <w:t> </w:t>
      </w:r>
      <w:r>
        <w:rPr/>
        <w:t>hacer</w:t>
      </w:r>
      <w:r>
        <w:rPr>
          <w:spacing w:val="-3"/>
        </w:rPr>
        <w:t> </w:t>
      </w:r>
      <w:r>
        <w:rPr/>
        <w:t>de</w:t>
      </w:r>
      <w:r>
        <w:rPr>
          <w:spacing w:val="-3"/>
        </w:rPr>
        <w:t> </w:t>
      </w:r>
      <w:r>
        <w:rPr/>
        <w:t>cada</w:t>
      </w:r>
      <w:r>
        <w:rPr>
          <w:spacing w:val="-1"/>
        </w:rPr>
        <w:t> </w:t>
      </w:r>
      <w:r>
        <w:rPr/>
        <w:t>una;</w:t>
      </w:r>
      <w:r>
        <w:rPr>
          <w:spacing w:val="-3"/>
        </w:rPr>
        <w:t> </w:t>
      </w:r>
      <w:r>
        <w:rPr/>
        <w:t>en</w:t>
      </w:r>
      <w:r>
        <w:rPr>
          <w:spacing w:val="-4"/>
        </w:rPr>
        <w:t> </w:t>
      </w:r>
      <w:r>
        <w:rPr/>
        <w:t>tanto que</w:t>
      </w:r>
      <w:r>
        <w:rPr>
          <w:spacing w:val="-3"/>
        </w:rPr>
        <w:t> </w:t>
      </w:r>
      <w:r>
        <w:rPr/>
        <w:t>se</w:t>
      </w:r>
      <w:r>
        <w:rPr>
          <w:spacing w:val="-5"/>
        </w:rPr>
        <w:t> </w:t>
      </w:r>
      <w:r>
        <w:rPr/>
        <w:t>utilizan</w:t>
      </w:r>
      <w:r>
        <w:rPr>
          <w:spacing w:val="-2"/>
        </w:rPr>
        <w:t> </w:t>
      </w:r>
      <w:r>
        <w:rPr/>
        <w:t>herramientas</w:t>
      </w:r>
      <w:r>
        <w:rPr>
          <w:spacing w:val="-4"/>
        </w:rPr>
        <w:t> </w:t>
      </w:r>
      <w:r>
        <w:rPr/>
        <w:t>diferentes por</w:t>
      </w:r>
      <w:r>
        <w:rPr>
          <w:spacing w:val="-4"/>
        </w:rPr>
        <w:t> </w:t>
      </w:r>
      <w:r>
        <w:rPr/>
        <w:t>el</w:t>
      </w:r>
      <w:r>
        <w:rPr>
          <w:spacing w:val="-4"/>
        </w:rPr>
        <w:t> </w:t>
      </w:r>
      <w:r>
        <w:rPr/>
        <w:t>área</w:t>
      </w:r>
      <w:r>
        <w:rPr>
          <w:spacing w:val="-3"/>
        </w:rPr>
        <w:t> </w:t>
      </w:r>
      <w:r>
        <w:rPr/>
        <w:t>para</w:t>
      </w:r>
      <w:r>
        <w:rPr>
          <w:spacing w:val="-4"/>
        </w:rPr>
        <w:t> </w:t>
      </w:r>
      <w:r>
        <w:rPr/>
        <w:t>el</w:t>
      </w:r>
      <w:r>
        <w:rPr>
          <w:spacing w:val="-3"/>
        </w:rPr>
        <w:t> </w:t>
      </w:r>
      <w:r>
        <w:rPr/>
        <w:t>manejo</w:t>
      </w:r>
      <w:r>
        <w:rPr>
          <w:spacing w:val="-2"/>
        </w:rPr>
        <w:t> </w:t>
      </w:r>
      <w:r>
        <w:rPr/>
        <w:t>y análisis de la información, por lo que se concluye que cada dependencia debería contar con un procedimiento diferente e independiente que obedezca a las dinámicas de cada subdirección frente a la función de certificación, dado</w:t>
      </w:r>
      <w:r>
        <w:rPr>
          <w:spacing w:val="-3"/>
        </w:rPr>
        <w:t> </w:t>
      </w:r>
      <w:r>
        <w:rPr/>
        <w:t>que</w:t>
      </w:r>
      <w:r>
        <w:rPr>
          <w:spacing w:val="-6"/>
        </w:rPr>
        <w:t> </w:t>
      </w:r>
      <w:r>
        <w:rPr/>
        <w:t>en</w:t>
      </w:r>
      <w:r>
        <w:rPr>
          <w:spacing w:val="-7"/>
        </w:rPr>
        <w:t> </w:t>
      </w:r>
      <w:r>
        <w:rPr/>
        <w:t>la</w:t>
      </w:r>
      <w:r>
        <w:rPr>
          <w:spacing w:val="-5"/>
        </w:rPr>
        <w:t> </w:t>
      </w:r>
      <w:r>
        <w:rPr/>
        <w:t>presente</w:t>
      </w:r>
      <w:r>
        <w:rPr>
          <w:spacing w:val="-4"/>
        </w:rPr>
        <w:t> </w:t>
      </w:r>
      <w:r>
        <w:rPr/>
        <w:t>auditoria</w:t>
      </w:r>
      <w:r>
        <w:rPr>
          <w:spacing w:val="-7"/>
        </w:rPr>
        <w:t> </w:t>
      </w:r>
      <w:r>
        <w:rPr/>
        <w:t>se</w:t>
      </w:r>
      <w:r>
        <w:rPr>
          <w:spacing w:val="-6"/>
        </w:rPr>
        <w:t> </w:t>
      </w:r>
      <w:r>
        <w:rPr/>
        <w:t>evidenciaron</w:t>
      </w:r>
      <w:r>
        <w:rPr>
          <w:spacing w:val="-5"/>
        </w:rPr>
        <w:t> </w:t>
      </w:r>
      <w:r>
        <w:rPr/>
        <w:t>diferencias</w:t>
      </w:r>
      <w:r>
        <w:rPr>
          <w:spacing w:val="-5"/>
        </w:rPr>
        <w:t> </w:t>
      </w:r>
      <w:r>
        <w:rPr/>
        <w:t>y</w:t>
      </w:r>
      <w:r>
        <w:rPr>
          <w:spacing w:val="-6"/>
        </w:rPr>
        <w:t> </w:t>
      </w:r>
      <w:r>
        <w:rPr/>
        <w:t>debilidades</w:t>
      </w:r>
      <w:r>
        <w:rPr>
          <w:spacing w:val="-4"/>
        </w:rPr>
        <w:t> </w:t>
      </w:r>
      <w:r>
        <w:rPr/>
        <w:t>las</w:t>
      </w:r>
      <w:r>
        <w:rPr>
          <w:spacing w:val="-4"/>
        </w:rPr>
        <w:t> </w:t>
      </w:r>
      <w:r>
        <w:rPr/>
        <w:t>cuales</w:t>
      </w:r>
      <w:r>
        <w:rPr>
          <w:spacing w:val="-4"/>
        </w:rPr>
        <w:t> </w:t>
      </w:r>
      <w:r>
        <w:rPr/>
        <w:t>se</w:t>
      </w:r>
      <w:r>
        <w:rPr>
          <w:spacing w:val="-6"/>
        </w:rPr>
        <w:t> </w:t>
      </w:r>
      <w:r>
        <w:rPr/>
        <w:t>abordan</w:t>
      </w:r>
      <w:r>
        <w:rPr>
          <w:spacing w:val="-7"/>
        </w:rPr>
        <w:t> </w:t>
      </w:r>
      <w:r>
        <w:rPr/>
        <w:t>en</w:t>
      </w:r>
      <w:r>
        <w:rPr>
          <w:spacing w:val="-5"/>
        </w:rPr>
        <w:t> </w:t>
      </w:r>
      <w:r>
        <w:rPr/>
        <w:t>los</w:t>
      </w:r>
      <w:r>
        <w:rPr>
          <w:spacing w:val="-7"/>
        </w:rPr>
        <w:t> </w:t>
      </w:r>
      <w:r>
        <w:rPr/>
        <w:t>numerales siguientes del presente</w:t>
      </w:r>
      <w:r>
        <w:rPr>
          <w:spacing w:val="-13"/>
        </w:rPr>
        <w:t> </w:t>
      </w:r>
      <w:r>
        <w:rPr/>
        <w:t>informe.</w:t>
      </w:r>
    </w:p>
    <w:p>
      <w:pPr>
        <w:pStyle w:val="BodyText"/>
        <w:rPr>
          <w:sz w:val="23"/>
        </w:rPr>
      </w:pPr>
    </w:p>
    <w:p>
      <w:pPr>
        <w:pStyle w:val="Heading1"/>
        <w:jc w:val="left"/>
      </w:pPr>
      <w:r>
        <w:rPr/>
        <w:t>Respuesta Dirección de Gestión Interinstitucional.</w:t>
      </w:r>
    </w:p>
    <w:p>
      <w:pPr>
        <w:pStyle w:val="BodyText"/>
        <w:spacing w:before="9"/>
        <w:rPr>
          <w:b/>
          <w:sz w:val="19"/>
        </w:rPr>
      </w:pPr>
      <w:r>
        <w:rPr/>
        <w:drawing>
          <wp:anchor distT="0" distB="0" distL="0" distR="0" allowOverlap="1" layoutInCell="1" locked="0" behindDoc="0" simplePos="0" relativeHeight="1144">
            <wp:simplePos x="0" y="0"/>
            <wp:positionH relativeFrom="page">
              <wp:posOffset>2167127</wp:posOffset>
            </wp:positionH>
            <wp:positionV relativeFrom="paragraph">
              <wp:posOffset>178256</wp:posOffset>
            </wp:positionV>
            <wp:extent cx="3663915" cy="4395787"/>
            <wp:effectExtent l="0" t="0" r="0" b="0"/>
            <wp:wrapTopAndBottom/>
            <wp:docPr id="21" name="image5.png" descr=""/>
            <wp:cNvGraphicFramePr>
              <a:graphicFrameLocks noChangeAspect="1"/>
            </wp:cNvGraphicFramePr>
            <a:graphic>
              <a:graphicData uri="http://schemas.openxmlformats.org/drawingml/2006/picture">
                <pic:pic>
                  <pic:nvPicPr>
                    <pic:cNvPr id="22" name="image5.png"/>
                    <pic:cNvPicPr/>
                  </pic:nvPicPr>
                  <pic:blipFill>
                    <a:blip r:embed="rId20" cstate="print"/>
                    <a:stretch>
                      <a:fillRect/>
                    </a:stretch>
                  </pic:blipFill>
                  <pic:spPr>
                    <a:xfrm>
                      <a:off x="0" y="0"/>
                      <a:ext cx="3663915" cy="4395787"/>
                    </a:xfrm>
                    <a:prstGeom prst="rect">
                      <a:avLst/>
                    </a:prstGeom>
                  </pic:spPr>
                </pic:pic>
              </a:graphicData>
            </a:graphic>
          </wp:anchor>
        </w:drawing>
      </w:r>
    </w:p>
    <w:p>
      <w:pPr>
        <w:spacing w:after="0"/>
        <w:rPr>
          <w:sz w:val="19"/>
        </w:rPr>
        <w:sectPr>
          <w:pgSz w:w="12240" w:h="15840"/>
          <w:pgMar w:top="840" w:bottom="280" w:left="700" w:right="3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23" name="image1.png" descr=""/>
                  <wp:cNvGraphicFramePr>
                    <a:graphicFrameLocks noChangeAspect="1"/>
                  </wp:cNvGraphicFramePr>
                  <a:graphic>
                    <a:graphicData uri="http://schemas.openxmlformats.org/drawingml/2006/picture">
                      <pic:pic>
                        <pic:nvPicPr>
                          <pic:cNvPr id="2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8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pStyle w:val="BodyText"/>
        <w:spacing w:before="57"/>
        <w:ind w:left="152" w:right="107"/>
        <w:jc w:val="both"/>
      </w:pPr>
      <w:r>
        <w:rPr>
          <w:b/>
        </w:rPr>
        <w:t>Pronunciamiento final OCI. </w:t>
      </w:r>
      <w:r>
        <w:rPr/>
        <w:t>Sea lo primero aclarar que la Oficina de Control Interno estableció como objeto de la auditoría evaluar el procedimiento establecido por las Subdirecciones de Coordinación SNARIV y Coordinación Nación Territorio, en consecuencia se verificó que las dependencias auditadas cumplieran el procedimiento establecido, dado que el mismo debe obedecer a la dinámica real del proceso de certificaciones. Por otra parte y dada la sugerencia de la DGI</w:t>
      </w:r>
      <w:r>
        <w:rPr>
          <w:spacing w:val="-5"/>
        </w:rPr>
        <w:t> </w:t>
      </w:r>
      <w:r>
        <w:rPr/>
        <w:t>se</w:t>
      </w:r>
      <w:r>
        <w:rPr>
          <w:spacing w:val="-6"/>
        </w:rPr>
        <w:t> </w:t>
      </w:r>
      <w:r>
        <w:rPr/>
        <w:t>le</w:t>
      </w:r>
      <w:r>
        <w:rPr>
          <w:spacing w:val="-4"/>
        </w:rPr>
        <w:t> </w:t>
      </w:r>
      <w:r>
        <w:rPr/>
        <w:t>remitirá</w:t>
      </w:r>
      <w:r>
        <w:rPr>
          <w:spacing w:val="-5"/>
        </w:rPr>
        <w:t> </w:t>
      </w:r>
      <w:r>
        <w:rPr/>
        <w:t>a</w:t>
      </w:r>
      <w:r>
        <w:rPr>
          <w:spacing w:val="-4"/>
        </w:rPr>
        <w:t> </w:t>
      </w:r>
      <w:r>
        <w:rPr/>
        <w:t>la</w:t>
      </w:r>
      <w:r>
        <w:rPr>
          <w:spacing w:val="-4"/>
        </w:rPr>
        <w:t> </w:t>
      </w:r>
      <w:r>
        <w:rPr/>
        <w:t>Oficina</w:t>
      </w:r>
      <w:r>
        <w:rPr>
          <w:spacing w:val="-4"/>
        </w:rPr>
        <w:t> </w:t>
      </w:r>
      <w:r>
        <w:rPr/>
        <w:t>Asesora</w:t>
      </w:r>
      <w:r>
        <w:rPr>
          <w:spacing w:val="-5"/>
        </w:rPr>
        <w:t> </w:t>
      </w:r>
      <w:r>
        <w:rPr/>
        <w:t>de</w:t>
      </w:r>
      <w:r>
        <w:rPr>
          <w:spacing w:val="-6"/>
        </w:rPr>
        <w:t> </w:t>
      </w:r>
      <w:r>
        <w:rPr/>
        <w:t>Planeación</w:t>
      </w:r>
      <w:r>
        <w:rPr>
          <w:spacing w:val="-7"/>
        </w:rPr>
        <w:t> </w:t>
      </w:r>
      <w:r>
        <w:rPr/>
        <w:t>el</w:t>
      </w:r>
      <w:r>
        <w:rPr>
          <w:spacing w:val="-4"/>
        </w:rPr>
        <w:t> </w:t>
      </w:r>
      <w:r>
        <w:rPr/>
        <w:t>presente</w:t>
      </w:r>
      <w:r>
        <w:rPr>
          <w:spacing w:val="-4"/>
        </w:rPr>
        <w:t> </w:t>
      </w:r>
      <w:r>
        <w:rPr/>
        <w:t>informe</w:t>
      </w:r>
      <w:r>
        <w:rPr>
          <w:spacing w:val="-6"/>
        </w:rPr>
        <w:t> </w:t>
      </w:r>
      <w:r>
        <w:rPr/>
        <w:t>para</w:t>
      </w:r>
      <w:r>
        <w:rPr>
          <w:spacing w:val="-5"/>
        </w:rPr>
        <w:t> </w:t>
      </w:r>
      <w:r>
        <w:rPr/>
        <w:t>su</w:t>
      </w:r>
      <w:r>
        <w:rPr>
          <w:spacing w:val="-7"/>
        </w:rPr>
        <w:t> </w:t>
      </w:r>
      <w:r>
        <w:rPr/>
        <w:t>conocimiento;</w:t>
      </w:r>
      <w:r>
        <w:rPr>
          <w:spacing w:val="-4"/>
        </w:rPr>
        <w:t> </w:t>
      </w:r>
      <w:r>
        <w:rPr/>
        <w:t>finalmente</w:t>
      </w:r>
      <w:r>
        <w:rPr>
          <w:spacing w:val="-4"/>
        </w:rPr>
        <w:t> </w:t>
      </w:r>
      <w:r>
        <w:rPr/>
        <w:t>se</w:t>
      </w:r>
      <w:r>
        <w:rPr>
          <w:spacing w:val="-4"/>
        </w:rPr>
        <w:t> </w:t>
      </w:r>
      <w:r>
        <w:rPr/>
        <w:t>mantiene la observación y se incluirá en el plan de mejoramiento</w:t>
      </w:r>
      <w:r>
        <w:rPr>
          <w:spacing w:val="-21"/>
        </w:rPr>
        <w:t> </w:t>
      </w:r>
      <w:r>
        <w:rPr/>
        <w:t>respectivo.</w:t>
      </w:r>
    </w:p>
    <w:p>
      <w:pPr>
        <w:pStyle w:val="BodyText"/>
        <w:spacing w:before="10"/>
      </w:pPr>
    </w:p>
    <w:p>
      <w:pPr>
        <w:pStyle w:val="BodyText"/>
        <w:ind w:left="152" w:right="109"/>
        <w:jc w:val="both"/>
      </w:pPr>
      <w:r>
        <w:rPr>
          <w:b/>
        </w:rPr>
        <w:t>Observación final OCI. 3.1.1. </w:t>
      </w:r>
      <w:r>
        <w:rPr/>
        <w:t>Luego de revisar y analizar el procedimiento, objetivo, alcance y actividades descritas en el diagrama de flujo y la dinámica que cada subdirección maneja frente al cumplimiento del procedimiento, se observaron</w:t>
      </w:r>
      <w:r>
        <w:rPr>
          <w:spacing w:val="-11"/>
        </w:rPr>
        <w:t> </w:t>
      </w:r>
      <w:r>
        <w:rPr/>
        <w:t>diferencias</w:t>
      </w:r>
      <w:r>
        <w:rPr>
          <w:spacing w:val="-8"/>
        </w:rPr>
        <w:t> </w:t>
      </w:r>
      <w:r>
        <w:rPr/>
        <w:t>sustanciales</w:t>
      </w:r>
      <w:r>
        <w:rPr>
          <w:spacing w:val="-10"/>
        </w:rPr>
        <w:t> </w:t>
      </w:r>
      <w:r>
        <w:rPr/>
        <w:t>en</w:t>
      </w:r>
      <w:r>
        <w:rPr>
          <w:spacing w:val="-9"/>
        </w:rPr>
        <w:t> </w:t>
      </w:r>
      <w:r>
        <w:rPr/>
        <w:t>el</w:t>
      </w:r>
      <w:r>
        <w:rPr>
          <w:spacing w:val="-10"/>
        </w:rPr>
        <w:t> </w:t>
      </w:r>
      <w:r>
        <w:rPr/>
        <w:t>hacer</w:t>
      </w:r>
      <w:r>
        <w:rPr>
          <w:spacing w:val="-10"/>
        </w:rPr>
        <w:t> </w:t>
      </w:r>
      <w:r>
        <w:rPr/>
        <w:t>de</w:t>
      </w:r>
      <w:r>
        <w:rPr>
          <w:spacing w:val="-7"/>
        </w:rPr>
        <w:t> </w:t>
      </w:r>
      <w:r>
        <w:rPr/>
        <w:t>cada</w:t>
      </w:r>
      <w:r>
        <w:rPr>
          <w:spacing w:val="-8"/>
        </w:rPr>
        <w:t> </w:t>
      </w:r>
      <w:r>
        <w:rPr/>
        <w:t>una;</w:t>
      </w:r>
      <w:r>
        <w:rPr>
          <w:spacing w:val="-10"/>
        </w:rPr>
        <w:t> </w:t>
      </w:r>
      <w:r>
        <w:rPr/>
        <w:t>en</w:t>
      </w:r>
      <w:r>
        <w:rPr>
          <w:spacing w:val="-9"/>
        </w:rPr>
        <w:t> </w:t>
      </w:r>
      <w:r>
        <w:rPr/>
        <w:t>tanto</w:t>
      </w:r>
      <w:r>
        <w:rPr>
          <w:spacing w:val="-7"/>
        </w:rPr>
        <w:t> </w:t>
      </w:r>
      <w:r>
        <w:rPr/>
        <w:t>que</w:t>
      </w:r>
      <w:r>
        <w:rPr>
          <w:spacing w:val="-10"/>
        </w:rPr>
        <w:t> </w:t>
      </w:r>
      <w:r>
        <w:rPr/>
        <w:t>se</w:t>
      </w:r>
      <w:r>
        <w:rPr>
          <w:spacing w:val="-10"/>
        </w:rPr>
        <w:t> </w:t>
      </w:r>
      <w:r>
        <w:rPr/>
        <w:t>utilizan</w:t>
      </w:r>
      <w:r>
        <w:rPr>
          <w:spacing w:val="-9"/>
        </w:rPr>
        <w:t> </w:t>
      </w:r>
      <w:r>
        <w:rPr/>
        <w:t>herramientas</w:t>
      </w:r>
      <w:r>
        <w:rPr>
          <w:spacing w:val="-10"/>
        </w:rPr>
        <w:t> </w:t>
      </w:r>
      <w:r>
        <w:rPr/>
        <w:t>diferentes</w:t>
      </w:r>
      <w:r>
        <w:rPr>
          <w:spacing w:val="-10"/>
        </w:rPr>
        <w:t> </w:t>
      </w:r>
      <w:r>
        <w:rPr/>
        <w:t>por</w:t>
      </w:r>
      <w:r>
        <w:rPr>
          <w:spacing w:val="-11"/>
        </w:rPr>
        <w:t> </w:t>
      </w:r>
      <w:r>
        <w:rPr/>
        <w:t>el</w:t>
      </w:r>
      <w:r>
        <w:rPr>
          <w:spacing w:val="-8"/>
        </w:rPr>
        <w:t> </w:t>
      </w:r>
      <w:r>
        <w:rPr/>
        <w:t>área para el manejo y análisis de la información, por lo que se concluye que cada dependencia debería contar con un procedimiento diferente e independiente que obedezca a las dinámicas de cada subdirección frente a la función de certificación.</w:t>
      </w:r>
    </w:p>
    <w:p>
      <w:pPr>
        <w:pStyle w:val="BodyText"/>
        <w:spacing w:before="10"/>
      </w:pPr>
    </w:p>
    <w:p>
      <w:pPr>
        <w:pStyle w:val="ListParagraph"/>
        <w:numPr>
          <w:ilvl w:val="2"/>
          <w:numId w:val="3"/>
        </w:numPr>
        <w:tabs>
          <w:tab w:pos="873" w:val="left" w:leader="none"/>
        </w:tabs>
        <w:spacing w:line="240" w:lineRule="auto" w:before="0" w:after="0"/>
        <w:ind w:left="872" w:right="110" w:hanging="720"/>
        <w:jc w:val="both"/>
        <w:rPr>
          <w:sz w:val="22"/>
        </w:rPr>
      </w:pPr>
      <w:r>
        <w:rPr>
          <w:sz w:val="22"/>
        </w:rPr>
        <w:t>Frente a la actividad Nº 5 del procedimiento, la cual indica que se debe socializar los insumos y criterios de certificación</w:t>
      </w:r>
      <w:r>
        <w:rPr>
          <w:spacing w:val="-9"/>
          <w:sz w:val="22"/>
        </w:rPr>
        <w:t> </w:t>
      </w:r>
      <w:r>
        <w:rPr>
          <w:sz w:val="22"/>
        </w:rPr>
        <w:t>a</w:t>
      </w:r>
      <w:r>
        <w:rPr>
          <w:spacing w:val="-8"/>
          <w:sz w:val="22"/>
        </w:rPr>
        <w:t> </w:t>
      </w:r>
      <w:r>
        <w:rPr>
          <w:sz w:val="22"/>
        </w:rPr>
        <w:t>las</w:t>
      </w:r>
      <w:r>
        <w:rPr>
          <w:spacing w:val="-9"/>
          <w:sz w:val="22"/>
        </w:rPr>
        <w:t> </w:t>
      </w:r>
      <w:r>
        <w:rPr>
          <w:sz w:val="22"/>
        </w:rPr>
        <w:t>entidades</w:t>
      </w:r>
      <w:r>
        <w:rPr>
          <w:spacing w:val="-8"/>
          <w:sz w:val="22"/>
        </w:rPr>
        <w:t> </w:t>
      </w:r>
      <w:r>
        <w:rPr>
          <w:sz w:val="22"/>
        </w:rPr>
        <w:t>de</w:t>
      </w:r>
      <w:r>
        <w:rPr>
          <w:spacing w:val="-7"/>
          <w:sz w:val="22"/>
        </w:rPr>
        <w:t> </w:t>
      </w:r>
      <w:r>
        <w:rPr>
          <w:sz w:val="22"/>
        </w:rPr>
        <w:t>nivel</w:t>
      </w:r>
      <w:r>
        <w:rPr>
          <w:spacing w:val="-5"/>
          <w:sz w:val="22"/>
        </w:rPr>
        <w:t> </w:t>
      </w:r>
      <w:r>
        <w:rPr>
          <w:sz w:val="22"/>
        </w:rPr>
        <w:t>nacional</w:t>
      </w:r>
      <w:r>
        <w:rPr>
          <w:spacing w:val="-8"/>
          <w:sz w:val="22"/>
        </w:rPr>
        <w:t> </w:t>
      </w:r>
      <w:r>
        <w:rPr>
          <w:sz w:val="22"/>
        </w:rPr>
        <w:t>y</w:t>
      </w:r>
      <w:r>
        <w:rPr>
          <w:spacing w:val="-7"/>
          <w:sz w:val="22"/>
        </w:rPr>
        <w:t> </w:t>
      </w:r>
      <w:r>
        <w:rPr>
          <w:sz w:val="22"/>
        </w:rPr>
        <w:t>territorial,</w:t>
      </w:r>
      <w:r>
        <w:rPr>
          <w:spacing w:val="-6"/>
          <w:sz w:val="22"/>
        </w:rPr>
        <w:t> </w:t>
      </w:r>
      <w:r>
        <w:rPr>
          <w:sz w:val="22"/>
        </w:rPr>
        <w:t>en</w:t>
      </w:r>
      <w:r>
        <w:rPr>
          <w:spacing w:val="-8"/>
          <w:sz w:val="22"/>
        </w:rPr>
        <w:t> </w:t>
      </w:r>
      <w:r>
        <w:rPr>
          <w:sz w:val="22"/>
        </w:rPr>
        <w:t>el</w:t>
      </w:r>
      <w:r>
        <w:rPr>
          <w:spacing w:val="-8"/>
          <w:sz w:val="22"/>
        </w:rPr>
        <w:t> </w:t>
      </w:r>
      <w:r>
        <w:rPr>
          <w:sz w:val="22"/>
        </w:rPr>
        <w:t>registro</w:t>
      </w:r>
      <w:r>
        <w:rPr>
          <w:spacing w:val="-6"/>
          <w:sz w:val="22"/>
        </w:rPr>
        <w:t> </w:t>
      </w:r>
      <w:r>
        <w:rPr>
          <w:sz w:val="22"/>
        </w:rPr>
        <w:t>de</w:t>
      </w:r>
      <w:r>
        <w:rPr>
          <w:spacing w:val="-7"/>
          <w:sz w:val="22"/>
        </w:rPr>
        <w:t> </w:t>
      </w:r>
      <w:r>
        <w:rPr>
          <w:sz w:val="22"/>
        </w:rPr>
        <w:t>la</w:t>
      </w:r>
      <w:r>
        <w:rPr>
          <w:spacing w:val="-8"/>
          <w:sz w:val="22"/>
        </w:rPr>
        <w:t> </w:t>
      </w:r>
      <w:r>
        <w:rPr>
          <w:sz w:val="22"/>
        </w:rPr>
        <w:t>actividad</w:t>
      </w:r>
      <w:r>
        <w:rPr>
          <w:spacing w:val="-6"/>
          <w:sz w:val="22"/>
        </w:rPr>
        <w:t> </w:t>
      </w:r>
      <w:r>
        <w:rPr>
          <w:sz w:val="22"/>
        </w:rPr>
        <w:t>se</w:t>
      </w:r>
      <w:r>
        <w:rPr>
          <w:spacing w:val="-7"/>
          <w:sz w:val="22"/>
        </w:rPr>
        <w:t> </w:t>
      </w:r>
      <w:r>
        <w:rPr>
          <w:sz w:val="22"/>
        </w:rPr>
        <w:t>establece</w:t>
      </w:r>
      <w:r>
        <w:rPr>
          <w:spacing w:val="-7"/>
          <w:sz w:val="22"/>
        </w:rPr>
        <w:t> </w:t>
      </w:r>
      <w:r>
        <w:rPr>
          <w:sz w:val="22"/>
        </w:rPr>
        <w:t>como</w:t>
      </w:r>
      <w:r>
        <w:rPr>
          <w:spacing w:val="-7"/>
          <w:sz w:val="22"/>
        </w:rPr>
        <w:t> </w:t>
      </w:r>
      <w:r>
        <w:rPr>
          <w:sz w:val="22"/>
        </w:rPr>
        <w:t>medio la</w:t>
      </w:r>
      <w:r>
        <w:rPr>
          <w:spacing w:val="-10"/>
          <w:sz w:val="22"/>
        </w:rPr>
        <w:t> </w:t>
      </w:r>
      <w:r>
        <w:rPr>
          <w:sz w:val="22"/>
        </w:rPr>
        <w:t>plataforma</w:t>
      </w:r>
      <w:r>
        <w:rPr>
          <w:spacing w:val="-12"/>
          <w:sz w:val="22"/>
        </w:rPr>
        <w:t> </w:t>
      </w:r>
      <w:r>
        <w:rPr>
          <w:sz w:val="22"/>
        </w:rPr>
        <w:t>tecnológica</w:t>
      </w:r>
      <w:r>
        <w:rPr>
          <w:spacing w:val="-12"/>
          <w:sz w:val="22"/>
        </w:rPr>
        <w:t> </w:t>
      </w:r>
      <w:r>
        <w:rPr>
          <w:sz w:val="22"/>
        </w:rPr>
        <w:t>de</w:t>
      </w:r>
      <w:r>
        <w:rPr>
          <w:spacing w:val="-8"/>
          <w:sz w:val="22"/>
        </w:rPr>
        <w:t> </w:t>
      </w:r>
      <w:r>
        <w:rPr>
          <w:sz w:val="22"/>
        </w:rPr>
        <w:t>seguimiento</w:t>
      </w:r>
      <w:r>
        <w:rPr>
          <w:spacing w:val="-10"/>
          <w:sz w:val="22"/>
        </w:rPr>
        <w:t> </w:t>
      </w:r>
      <w:r>
        <w:rPr>
          <w:sz w:val="22"/>
        </w:rPr>
        <w:t>a</w:t>
      </w:r>
      <w:r>
        <w:rPr>
          <w:spacing w:val="-9"/>
          <w:sz w:val="22"/>
        </w:rPr>
        <w:t> </w:t>
      </w:r>
      <w:r>
        <w:rPr>
          <w:sz w:val="22"/>
        </w:rPr>
        <w:t>la</w:t>
      </w:r>
      <w:r>
        <w:rPr>
          <w:spacing w:val="-12"/>
          <w:sz w:val="22"/>
        </w:rPr>
        <w:t> </w:t>
      </w:r>
      <w:r>
        <w:rPr>
          <w:sz w:val="22"/>
        </w:rPr>
        <w:t>política</w:t>
      </w:r>
      <w:r>
        <w:rPr>
          <w:spacing w:val="-13"/>
          <w:sz w:val="22"/>
        </w:rPr>
        <w:t> </w:t>
      </w:r>
      <w:r>
        <w:rPr>
          <w:sz w:val="22"/>
        </w:rPr>
        <w:t>pública,</w:t>
      </w:r>
      <w:r>
        <w:rPr>
          <w:spacing w:val="-9"/>
          <w:sz w:val="22"/>
        </w:rPr>
        <w:t> </w:t>
      </w:r>
      <w:r>
        <w:rPr>
          <w:sz w:val="22"/>
        </w:rPr>
        <w:t>herramienta</w:t>
      </w:r>
      <w:r>
        <w:rPr>
          <w:spacing w:val="-11"/>
          <w:sz w:val="22"/>
        </w:rPr>
        <w:t> </w:t>
      </w:r>
      <w:r>
        <w:rPr>
          <w:sz w:val="22"/>
        </w:rPr>
        <w:t>que</w:t>
      </w:r>
      <w:r>
        <w:rPr>
          <w:spacing w:val="-11"/>
          <w:sz w:val="22"/>
        </w:rPr>
        <w:t> </w:t>
      </w:r>
      <w:r>
        <w:rPr>
          <w:sz w:val="22"/>
        </w:rPr>
        <w:t>como</w:t>
      </w:r>
      <w:r>
        <w:rPr>
          <w:spacing w:val="-10"/>
          <w:sz w:val="22"/>
        </w:rPr>
        <w:t> </w:t>
      </w:r>
      <w:r>
        <w:rPr>
          <w:sz w:val="22"/>
        </w:rPr>
        <w:t>ya</w:t>
      </w:r>
      <w:r>
        <w:rPr>
          <w:spacing w:val="-12"/>
          <w:sz w:val="22"/>
        </w:rPr>
        <w:t> </w:t>
      </w:r>
      <w:r>
        <w:rPr>
          <w:sz w:val="22"/>
        </w:rPr>
        <w:t>se</w:t>
      </w:r>
      <w:r>
        <w:rPr>
          <w:spacing w:val="-11"/>
          <w:sz w:val="22"/>
        </w:rPr>
        <w:t> </w:t>
      </w:r>
      <w:r>
        <w:rPr>
          <w:sz w:val="22"/>
        </w:rPr>
        <w:t>indicó</w:t>
      </w:r>
      <w:r>
        <w:rPr>
          <w:spacing w:val="-10"/>
          <w:sz w:val="22"/>
        </w:rPr>
        <w:t> </w:t>
      </w:r>
      <w:r>
        <w:rPr>
          <w:sz w:val="22"/>
        </w:rPr>
        <w:t>no</w:t>
      </w:r>
      <w:r>
        <w:rPr>
          <w:spacing w:val="-10"/>
          <w:sz w:val="22"/>
        </w:rPr>
        <w:t> </w:t>
      </w:r>
      <w:r>
        <w:rPr>
          <w:sz w:val="22"/>
        </w:rPr>
        <w:t>es</w:t>
      </w:r>
      <w:r>
        <w:rPr>
          <w:spacing w:val="-9"/>
          <w:sz w:val="22"/>
        </w:rPr>
        <w:t> </w:t>
      </w:r>
      <w:r>
        <w:rPr>
          <w:sz w:val="22"/>
        </w:rPr>
        <w:t>utilizada por la subdirección de Coordinación Nación Territorio. La OCI pudo constatar que para esta dependencia el registro se realiza a través de las asistencias técnicas a los entes territoriales, lo cual no se refieren en el mencionado procedimiento; razón por la cual se evidencia incumplimiento del</w:t>
      </w:r>
      <w:r>
        <w:rPr>
          <w:spacing w:val="-18"/>
          <w:sz w:val="22"/>
        </w:rPr>
        <w:t> </w:t>
      </w:r>
      <w:r>
        <w:rPr>
          <w:sz w:val="22"/>
        </w:rPr>
        <w:t>mismo.</w:t>
      </w:r>
    </w:p>
    <w:p>
      <w:pPr>
        <w:pStyle w:val="BodyText"/>
        <w:spacing w:before="10"/>
      </w:pPr>
    </w:p>
    <w:p>
      <w:pPr>
        <w:pStyle w:val="BodyText"/>
        <w:ind w:left="152" w:right="117"/>
        <w:jc w:val="both"/>
      </w:pPr>
      <w:r>
        <w:rPr>
          <w:u w:val="single"/>
        </w:rPr>
        <w:t>Respecto a la presente observación no se presentó respuesta ni evidencias que desvirtuaran la misma por parte de las áreas auditadas, razón por la cual se mantiene e incluirá en el plan de mejoramiento respectivo.</w:t>
      </w:r>
    </w:p>
    <w:p>
      <w:pPr>
        <w:pStyle w:val="BodyText"/>
        <w:spacing w:before="5"/>
        <w:rPr>
          <w:sz w:val="18"/>
        </w:rPr>
      </w:pPr>
    </w:p>
    <w:p>
      <w:pPr>
        <w:pStyle w:val="ListParagraph"/>
        <w:numPr>
          <w:ilvl w:val="2"/>
          <w:numId w:val="3"/>
        </w:numPr>
        <w:tabs>
          <w:tab w:pos="873" w:val="left" w:leader="none"/>
        </w:tabs>
        <w:spacing w:line="240" w:lineRule="auto" w:before="56" w:after="0"/>
        <w:ind w:left="872" w:right="112" w:hanging="720"/>
        <w:jc w:val="both"/>
        <w:rPr>
          <w:sz w:val="22"/>
        </w:rPr>
      </w:pPr>
      <w:r>
        <w:rPr>
          <w:sz w:val="22"/>
        </w:rPr>
        <w:t>En lo referente a los registros en la plataforma de seguimiento a la política pública, se pudo verificar que únicamente se aplica hasta el punto de control Nº 3 del procedimiento, en razón a que la herramienta se encuentra en fase 1; de ahí que se genere incumplimiento del procedimiento en el restante de las actividades relacionadas con la herramienta, dado la verificación de los soportes se realizó a través de Totoro y correo electrónicos.</w:t>
      </w:r>
    </w:p>
    <w:p>
      <w:pPr>
        <w:pStyle w:val="BodyText"/>
        <w:rPr>
          <w:sz w:val="23"/>
        </w:rPr>
      </w:pPr>
    </w:p>
    <w:p>
      <w:pPr>
        <w:pStyle w:val="Heading1"/>
        <w:ind w:right="245"/>
        <w:jc w:val="left"/>
        <w:rPr>
          <w:b w:val="0"/>
        </w:rPr>
      </w:pPr>
      <w:r>
        <w:rPr/>
        <w:t>Respuesta Dirección de Gestión Interinstitucional</w:t>
      </w:r>
      <w:r>
        <w:rPr>
          <w:b w:val="0"/>
        </w:rPr>
        <w:t>.</w:t>
      </w:r>
    </w:p>
    <w:p>
      <w:pPr>
        <w:pStyle w:val="BodyText"/>
        <w:spacing w:before="11"/>
        <w:rPr>
          <w:sz w:val="19"/>
        </w:rPr>
      </w:pPr>
      <w:r>
        <w:rPr/>
        <w:drawing>
          <wp:anchor distT="0" distB="0" distL="0" distR="0" allowOverlap="1" layoutInCell="1" locked="0" behindDoc="0" simplePos="0" relativeHeight="1168">
            <wp:simplePos x="0" y="0"/>
            <wp:positionH relativeFrom="page">
              <wp:posOffset>1976627</wp:posOffset>
            </wp:positionH>
            <wp:positionV relativeFrom="paragraph">
              <wp:posOffset>179525</wp:posOffset>
            </wp:positionV>
            <wp:extent cx="3987155" cy="1968817"/>
            <wp:effectExtent l="0" t="0" r="0" b="0"/>
            <wp:wrapTopAndBottom/>
            <wp:docPr id="25" name="image6.png" descr=""/>
            <wp:cNvGraphicFramePr>
              <a:graphicFrameLocks noChangeAspect="1"/>
            </wp:cNvGraphicFramePr>
            <a:graphic>
              <a:graphicData uri="http://schemas.openxmlformats.org/drawingml/2006/picture">
                <pic:pic>
                  <pic:nvPicPr>
                    <pic:cNvPr id="26" name="image6.png"/>
                    <pic:cNvPicPr/>
                  </pic:nvPicPr>
                  <pic:blipFill>
                    <a:blip r:embed="rId21" cstate="print"/>
                    <a:stretch>
                      <a:fillRect/>
                    </a:stretch>
                  </pic:blipFill>
                  <pic:spPr>
                    <a:xfrm>
                      <a:off x="0" y="0"/>
                      <a:ext cx="3987155" cy="1968817"/>
                    </a:xfrm>
                    <a:prstGeom prst="rect">
                      <a:avLst/>
                    </a:prstGeom>
                  </pic:spPr>
                </pic:pic>
              </a:graphicData>
            </a:graphic>
          </wp:anchor>
        </w:drawing>
      </w:r>
    </w:p>
    <w:p>
      <w:pPr>
        <w:spacing w:after="0"/>
        <w:rPr>
          <w:sz w:val="19"/>
        </w:rPr>
        <w:sectPr>
          <w:pgSz w:w="12240" w:h="15840"/>
          <w:pgMar w:top="840" w:bottom="280" w:left="700" w:right="6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7" name="image1.png" descr=""/>
                  <wp:cNvGraphicFramePr>
                    <a:graphicFrameLocks noChangeAspect="1"/>
                  </wp:cNvGraphicFramePr>
                  <a:graphic>
                    <a:graphicData uri="http://schemas.openxmlformats.org/drawingml/2006/picture">
                      <pic:pic>
                        <pic:nvPicPr>
                          <pic:cNvPr id="2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9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152" w:right="109"/>
        <w:jc w:val="both"/>
      </w:pPr>
      <w:r>
        <w:rPr>
          <w:b/>
        </w:rPr>
        <w:t>Pronunciamiento final OCI. </w:t>
      </w:r>
      <w:r>
        <w:rPr/>
        <w:t>Teniendo en cuenta los argumentos expuestos por la DGI, se reitera que la evaluación realizada se basó en la verificación al cumplimiento del procedimiento establecido para a las certificaciones a las entidades del SNARIV a nivel nacional y territorial, procedimiento que establece en el flujograma cual es el registro de las actividades, las cuales no se cumplen a cabalidad por las áreas evaluadas tal y como lo evidenció ésta Oficina, en consecuencia la observación se mantiene.</w:t>
      </w:r>
    </w:p>
    <w:p>
      <w:pPr>
        <w:pStyle w:val="BodyText"/>
        <w:spacing w:before="10"/>
      </w:pPr>
    </w:p>
    <w:p>
      <w:pPr>
        <w:pStyle w:val="BodyText"/>
        <w:ind w:left="152" w:right="109"/>
        <w:jc w:val="both"/>
      </w:pPr>
      <w:r>
        <w:rPr>
          <w:b/>
        </w:rPr>
        <w:t>Observación</w:t>
      </w:r>
      <w:r>
        <w:rPr>
          <w:b/>
          <w:spacing w:val="-7"/>
        </w:rPr>
        <w:t> </w:t>
      </w:r>
      <w:r>
        <w:rPr>
          <w:b/>
        </w:rPr>
        <w:t>final</w:t>
      </w:r>
      <w:r>
        <w:rPr>
          <w:b/>
          <w:spacing w:val="-6"/>
        </w:rPr>
        <w:t> </w:t>
      </w:r>
      <w:r>
        <w:rPr>
          <w:b/>
        </w:rPr>
        <w:t>OCI</w:t>
      </w:r>
      <w:r>
        <w:rPr>
          <w:b/>
          <w:spacing w:val="-6"/>
        </w:rPr>
        <w:t> </w:t>
      </w:r>
      <w:r>
        <w:rPr>
          <w:b/>
        </w:rPr>
        <w:t>3.1.3.</w:t>
      </w:r>
      <w:r>
        <w:rPr>
          <w:b/>
          <w:spacing w:val="-4"/>
        </w:rPr>
        <w:t> </w:t>
      </w:r>
      <w:r>
        <w:rPr/>
        <w:t>En</w:t>
      </w:r>
      <w:r>
        <w:rPr>
          <w:spacing w:val="-7"/>
        </w:rPr>
        <w:t> </w:t>
      </w:r>
      <w:r>
        <w:rPr/>
        <w:t>lo</w:t>
      </w:r>
      <w:r>
        <w:rPr>
          <w:spacing w:val="-5"/>
        </w:rPr>
        <w:t> </w:t>
      </w:r>
      <w:r>
        <w:rPr/>
        <w:t>referente</w:t>
      </w:r>
      <w:r>
        <w:rPr>
          <w:spacing w:val="-6"/>
        </w:rPr>
        <w:t> </w:t>
      </w:r>
      <w:r>
        <w:rPr/>
        <w:t>a</w:t>
      </w:r>
      <w:r>
        <w:rPr>
          <w:spacing w:val="-7"/>
        </w:rPr>
        <w:t> </w:t>
      </w:r>
      <w:r>
        <w:rPr/>
        <w:t>los</w:t>
      </w:r>
      <w:r>
        <w:rPr>
          <w:spacing w:val="-7"/>
        </w:rPr>
        <w:t> </w:t>
      </w:r>
      <w:r>
        <w:rPr/>
        <w:t>registros</w:t>
      </w:r>
      <w:r>
        <w:rPr>
          <w:spacing w:val="-7"/>
        </w:rPr>
        <w:t> </w:t>
      </w:r>
      <w:r>
        <w:rPr/>
        <w:t>en</w:t>
      </w:r>
      <w:r>
        <w:rPr>
          <w:spacing w:val="-9"/>
        </w:rPr>
        <w:t> </w:t>
      </w:r>
      <w:r>
        <w:rPr/>
        <w:t>la</w:t>
      </w:r>
      <w:r>
        <w:rPr>
          <w:spacing w:val="-7"/>
        </w:rPr>
        <w:t> </w:t>
      </w:r>
      <w:r>
        <w:rPr/>
        <w:t>plataforma</w:t>
      </w:r>
      <w:r>
        <w:rPr>
          <w:spacing w:val="-7"/>
        </w:rPr>
        <w:t> </w:t>
      </w:r>
      <w:r>
        <w:rPr/>
        <w:t>de</w:t>
      </w:r>
      <w:r>
        <w:rPr>
          <w:spacing w:val="-6"/>
        </w:rPr>
        <w:t> </w:t>
      </w:r>
      <w:r>
        <w:rPr/>
        <w:t>seguimiento</w:t>
      </w:r>
      <w:r>
        <w:rPr>
          <w:spacing w:val="-5"/>
        </w:rPr>
        <w:t> </w:t>
      </w:r>
      <w:r>
        <w:rPr/>
        <w:t>a</w:t>
      </w:r>
      <w:r>
        <w:rPr>
          <w:spacing w:val="-7"/>
        </w:rPr>
        <w:t> </w:t>
      </w:r>
      <w:r>
        <w:rPr/>
        <w:t>la</w:t>
      </w:r>
      <w:r>
        <w:rPr>
          <w:spacing w:val="-9"/>
        </w:rPr>
        <w:t> </w:t>
      </w:r>
      <w:r>
        <w:rPr/>
        <w:t>política</w:t>
      </w:r>
      <w:r>
        <w:rPr>
          <w:spacing w:val="-9"/>
        </w:rPr>
        <w:t> </w:t>
      </w:r>
      <w:r>
        <w:rPr/>
        <w:t>pública,</w:t>
      </w:r>
      <w:r>
        <w:rPr>
          <w:spacing w:val="-7"/>
        </w:rPr>
        <w:t> </w:t>
      </w:r>
      <w:r>
        <w:rPr/>
        <w:t>se</w:t>
      </w:r>
      <w:r>
        <w:rPr>
          <w:spacing w:val="-6"/>
        </w:rPr>
        <w:t> </w:t>
      </w:r>
      <w:r>
        <w:rPr/>
        <w:t>pudo verificar que únicamente se aplica hasta el punto de control Nº 3 del procedimiento, en razón a que la herramienta se encuentra en fase 1; de ahí que se genere incumplimiento del procedimiento en el restante de las actividades relacionadas</w:t>
      </w:r>
      <w:r>
        <w:rPr>
          <w:spacing w:val="-7"/>
        </w:rPr>
        <w:t> </w:t>
      </w:r>
      <w:r>
        <w:rPr/>
        <w:t>con</w:t>
      </w:r>
      <w:r>
        <w:rPr>
          <w:spacing w:val="-5"/>
        </w:rPr>
        <w:t> </w:t>
      </w:r>
      <w:r>
        <w:rPr/>
        <w:t>la</w:t>
      </w:r>
      <w:r>
        <w:rPr>
          <w:spacing w:val="-5"/>
        </w:rPr>
        <w:t> </w:t>
      </w:r>
      <w:r>
        <w:rPr/>
        <w:t>herramienta,</w:t>
      </w:r>
      <w:r>
        <w:rPr>
          <w:spacing w:val="-4"/>
        </w:rPr>
        <w:t> </w:t>
      </w:r>
      <w:r>
        <w:rPr/>
        <w:t>dado</w:t>
      </w:r>
      <w:r>
        <w:rPr>
          <w:spacing w:val="-5"/>
        </w:rPr>
        <w:t> </w:t>
      </w:r>
      <w:r>
        <w:rPr/>
        <w:t>la</w:t>
      </w:r>
      <w:r>
        <w:rPr>
          <w:spacing w:val="-7"/>
        </w:rPr>
        <w:t> </w:t>
      </w:r>
      <w:r>
        <w:rPr/>
        <w:t>verificación</w:t>
      </w:r>
      <w:r>
        <w:rPr>
          <w:spacing w:val="-5"/>
        </w:rPr>
        <w:t> </w:t>
      </w:r>
      <w:r>
        <w:rPr/>
        <w:t>de</w:t>
      </w:r>
      <w:r>
        <w:rPr>
          <w:spacing w:val="-4"/>
        </w:rPr>
        <w:t> </w:t>
      </w:r>
      <w:r>
        <w:rPr/>
        <w:t>los</w:t>
      </w:r>
      <w:r>
        <w:rPr>
          <w:spacing w:val="-7"/>
        </w:rPr>
        <w:t> </w:t>
      </w:r>
      <w:r>
        <w:rPr/>
        <w:t>soportes</w:t>
      </w:r>
      <w:r>
        <w:rPr>
          <w:spacing w:val="-4"/>
        </w:rPr>
        <w:t> </w:t>
      </w:r>
      <w:r>
        <w:rPr/>
        <w:t>se</w:t>
      </w:r>
      <w:r>
        <w:rPr>
          <w:spacing w:val="-4"/>
        </w:rPr>
        <w:t> </w:t>
      </w:r>
      <w:r>
        <w:rPr/>
        <w:t>realizó</w:t>
      </w:r>
      <w:r>
        <w:rPr>
          <w:spacing w:val="-3"/>
        </w:rPr>
        <w:t> </w:t>
      </w:r>
      <w:r>
        <w:rPr/>
        <w:t>a</w:t>
      </w:r>
      <w:r>
        <w:rPr>
          <w:spacing w:val="-7"/>
        </w:rPr>
        <w:t> </w:t>
      </w:r>
      <w:r>
        <w:rPr/>
        <w:t>través</w:t>
      </w:r>
      <w:r>
        <w:rPr>
          <w:spacing w:val="-7"/>
        </w:rPr>
        <w:t> </w:t>
      </w:r>
      <w:r>
        <w:rPr/>
        <w:t>de</w:t>
      </w:r>
      <w:r>
        <w:rPr>
          <w:spacing w:val="-4"/>
        </w:rPr>
        <w:t> </w:t>
      </w:r>
      <w:r>
        <w:rPr/>
        <w:t>Totoro</w:t>
      </w:r>
      <w:r>
        <w:rPr>
          <w:spacing w:val="-5"/>
        </w:rPr>
        <w:t> </w:t>
      </w:r>
      <w:r>
        <w:rPr/>
        <w:t>y</w:t>
      </w:r>
      <w:r>
        <w:rPr>
          <w:spacing w:val="-4"/>
        </w:rPr>
        <w:t> </w:t>
      </w:r>
      <w:r>
        <w:rPr/>
        <w:t>correo</w:t>
      </w:r>
      <w:r>
        <w:rPr>
          <w:spacing w:val="-5"/>
        </w:rPr>
        <w:t> </w:t>
      </w:r>
      <w:r>
        <w:rPr/>
        <w:t>electrónicos.</w:t>
      </w:r>
    </w:p>
    <w:p>
      <w:pPr>
        <w:pStyle w:val="BodyText"/>
        <w:rPr>
          <w:sz w:val="23"/>
        </w:rPr>
      </w:pPr>
    </w:p>
    <w:p>
      <w:pPr>
        <w:pStyle w:val="Heading1"/>
        <w:numPr>
          <w:ilvl w:val="1"/>
          <w:numId w:val="3"/>
        </w:numPr>
        <w:tabs>
          <w:tab w:pos="535" w:val="left" w:leader="none"/>
        </w:tabs>
        <w:spacing w:line="240" w:lineRule="auto" w:before="0" w:after="0"/>
        <w:ind w:left="152" w:right="112" w:firstLine="0"/>
        <w:jc w:val="both"/>
      </w:pPr>
      <w:r>
        <w:rPr/>
        <w:t>CERTIFICACIÓN A LAS ENTIDADES QUE CONFORMAN EL SISTEMA NACIONAL DE ATENCIÓN Y REPARACIÓN INTEGRAL A LAS VÍCTIMAS A NIVEL</w:t>
      </w:r>
      <w:r>
        <w:rPr>
          <w:spacing w:val="-19"/>
        </w:rPr>
        <w:t> </w:t>
      </w:r>
      <w:r>
        <w:rPr/>
        <w:t>NACIONAL.</w:t>
      </w:r>
    </w:p>
    <w:p>
      <w:pPr>
        <w:pStyle w:val="BodyText"/>
        <w:spacing w:before="10"/>
        <w:rPr>
          <w:b/>
        </w:rPr>
      </w:pPr>
    </w:p>
    <w:p>
      <w:pPr>
        <w:pStyle w:val="BodyText"/>
        <w:ind w:left="152" w:right="108"/>
        <w:jc w:val="both"/>
      </w:pPr>
      <w:r>
        <w:rPr/>
        <w:t>La Oficina de Control Interno, consultó los documentos técnicos que sirven como base para certificar las Entidades del nivel nacional, los cuales se revisaron por ésta Oficina encontrando que la Dirección de Gestión Interinstitucional y la Subdirección de Coordinación SNARIV elaboraron el documento de metodología para las certificaciones de la vigencia 2014.</w:t>
      </w:r>
      <w:r>
        <w:rPr>
          <w:spacing w:val="-13"/>
        </w:rPr>
        <w:t> </w:t>
      </w:r>
      <w:r>
        <w:rPr/>
        <w:t>La</w:t>
      </w:r>
      <w:r>
        <w:rPr>
          <w:spacing w:val="-13"/>
        </w:rPr>
        <w:t> </w:t>
      </w:r>
      <w:r>
        <w:rPr/>
        <w:t>cual</w:t>
      </w:r>
      <w:r>
        <w:rPr>
          <w:spacing w:val="-13"/>
        </w:rPr>
        <w:t> </w:t>
      </w:r>
      <w:r>
        <w:rPr/>
        <w:t>tiene</w:t>
      </w:r>
      <w:r>
        <w:rPr>
          <w:spacing w:val="-11"/>
        </w:rPr>
        <w:t> </w:t>
      </w:r>
      <w:r>
        <w:rPr/>
        <w:t>por</w:t>
      </w:r>
      <w:r>
        <w:rPr>
          <w:spacing w:val="-13"/>
        </w:rPr>
        <w:t> </w:t>
      </w:r>
      <w:r>
        <w:rPr/>
        <w:t>objeto</w:t>
      </w:r>
      <w:r>
        <w:rPr>
          <w:spacing w:val="-11"/>
        </w:rPr>
        <w:t> </w:t>
      </w:r>
      <w:r>
        <w:rPr/>
        <w:t>validar</w:t>
      </w:r>
      <w:r>
        <w:rPr>
          <w:spacing w:val="-13"/>
        </w:rPr>
        <w:t> </w:t>
      </w:r>
      <w:r>
        <w:rPr/>
        <w:t>la</w:t>
      </w:r>
      <w:r>
        <w:rPr>
          <w:spacing w:val="-13"/>
        </w:rPr>
        <w:t> </w:t>
      </w:r>
      <w:r>
        <w:rPr/>
        <w:t>contribución</w:t>
      </w:r>
      <w:r>
        <w:rPr>
          <w:spacing w:val="-14"/>
        </w:rPr>
        <w:t> </w:t>
      </w:r>
      <w:r>
        <w:rPr/>
        <w:t>de</w:t>
      </w:r>
      <w:r>
        <w:rPr>
          <w:spacing w:val="-10"/>
        </w:rPr>
        <w:t> </w:t>
      </w:r>
      <w:r>
        <w:rPr/>
        <w:t>las</w:t>
      </w:r>
      <w:r>
        <w:rPr>
          <w:spacing w:val="-13"/>
        </w:rPr>
        <w:t> </w:t>
      </w:r>
      <w:r>
        <w:rPr/>
        <w:t>entidades</w:t>
      </w:r>
      <w:r>
        <w:rPr>
          <w:spacing w:val="-11"/>
        </w:rPr>
        <w:t> </w:t>
      </w:r>
      <w:r>
        <w:rPr/>
        <w:t>del</w:t>
      </w:r>
      <w:r>
        <w:rPr>
          <w:spacing w:val="-11"/>
        </w:rPr>
        <w:t> </w:t>
      </w:r>
      <w:r>
        <w:rPr/>
        <w:t>nivel</w:t>
      </w:r>
      <w:r>
        <w:rPr>
          <w:spacing w:val="-13"/>
        </w:rPr>
        <w:t> </w:t>
      </w:r>
      <w:r>
        <w:rPr/>
        <w:t>nacional</w:t>
      </w:r>
      <w:r>
        <w:rPr>
          <w:spacing w:val="-12"/>
        </w:rPr>
        <w:t> </w:t>
      </w:r>
      <w:r>
        <w:rPr/>
        <w:t>del</w:t>
      </w:r>
      <w:r>
        <w:rPr>
          <w:spacing w:val="-13"/>
        </w:rPr>
        <w:t> </w:t>
      </w:r>
      <w:r>
        <w:rPr/>
        <w:t>Sistema</w:t>
      </w:r>
      <w:r>
        <w:rPr>
          <w:spacing w:val="-10"/>
        </w:rPr>
        <w:t> </w:t>
      </w:r>
      <w:r>
        <w:rPr/>
        <w:t>Nacional</w:t>
      </w:r>
      <w:r>
        <w:rPr>
          <w:spacing w:val="-16"/>
        </w:rPr>
        <w:t> </w:t>
      </w:r>
      <w:r>
        <w:rPr/>
        <w:t>de</w:t>
      </w:r>
      <w:r>
        <w:rPr>
          <w:spacing w:val="-11"/>
        </w:rPr>
        <w:t> </w:t>
      </w:r>
      <w:r>
        <w:rPr/>
        <w:t>Atención y</w:t>
      </w:r>
      <w:r>
        <w:rPr>
          <w:spacing w:val="-7"/>
        </w:rPr>
        <w:t> </w:t>
      </w:r>
      <w:r>
        <w:rPr/>
        <w:t>Reparación</w:t>
      </w:r>
      <w:r>
        <w:rPr>
          <w:spacing w:val="-9"/>
        </w:rPr>
        <w:t> </w:t>
      </w:r>
      <w:r>
        <w:rPr/>
        <w:t>Integral</w:t>
      </w:r>
      <w:r>
        <w:rPr>
          <w:spacing w:val="-11"/>
        </w:rPr>
        <w:t> </w:t>
      </w:r>
      <w:r>
        <w:rPr/>
        <w:t>a</w:t>
      </w:r>
      <w:r>
        <w:rPr>
          <w:spacing w:val="-8"/>
        </w:rPr>
        <w:t> </w:t>
      </w:r>
      <w:r>
        <w:rPr/>
        <w:t>las</w:t>
      </w:r>
      <w:r>
        <w:rPr>
          <w:spacing w:val="-13"/>
        </w:rPr>
        <w:t> </w:t>
      </w:r>
      <w:r>
        <w:rPr/>
        <w:t>Víctimas</w:t>
      </w:r>
      <w:r>
        <w:rPr>
          <w:spacing w:val="-12"/>
        </w:rPr>
        <w:t> </w:t>
      </w:r>
      <w:r>
        <w:rPr/>
        <w:t>en</w:t>
      </w:r>
      <w:r>
        <w:rPr>
          <w:spacing w:val="-9"/>
        </w:rPr>
        <w:t> </w:t>
      </w:r>
      <w:r>
        <w:rPr/>
        <w:t>las</w:t>
      </w:r>
      <w:r>
        <w:rPr>
          <w:spacing w:val="-11"/>
        </w:rPr>
        <w:t> </w:t>
      </w:r>
      <w:r>
        <w:rPr/>
        <w:t>acciones</w:t>
      </w:r>
      <w:r>
        <w:rPr>
          <w:spacing w:val="-8"/>
        </w:rPr>
        <w:t> </w:t>
      </w:r>
      <w:r>
        <w:rPr/>
        <w:t>de</w:t>
      </w:r>
      <w:r>
        <w:rPr>
          <w:spacing w:val="-10"/>
        </w:rPr>
        <w:t> </w:t>
      </w:r>
      <w:r>
        <w:rPr/>
        <w:t>prevención,</w:t>
      </w:r>
      <w:r>
        <w:rPr>
          <w:spacing w:val="-10"/>
        </w:rPr>
        <w:t> </w:t>
      </w:r>
      <w:r>
        <w:rPr/>
        <w:t>asistencia,</w:t>
      </w:r>
      <w:r>
        <w:rPr>
          <w:spacing w:val="-11"/>
        </w:rPr>
        <w:t> </w:t>
      </w:r>
      <w:r>
        <w:rPr/>
        <w:t>atención</w:t>
      </w:r>
      <w:r>
        <w:rPr>
          <w:spacing w:val="-11"/>
        </w:rPr>
        <w:t> </w:t>
      </w:r>
      <w:r>
        <w:rPr/>
        <w:t>y</w:t>
      </w:r>
      <w:r>
        <w:rPr>
          <w:spacing w:val="-9"/>
        </w:rPr>
        <w:t> </w:t>
      </w:r>
      <w:r>
        <w:rPr/>
        <w:t>reparación</w:t>
      </w:r>
      <w:r>
        <w:rPr>
          <w:spacing w:val="-9"/>
        </w:rPr>
        <w:t> </w:t>
      </w:r>
      <w:r>
        <w:rPr/>
        <w:t>integral,</w:t>
      </w:r>
      <w:r>
        <w:rPr>
          <w:spacing w:val="-10"/>
        </w:rPr>
        <w:t> </w:t>
      </w:r>
      <w:r>
        <w:rPr/>
        <w:t>en</w:t>
      </w:r>
      <w:r>
        <w:rPr>
          <w:spacing w:val="-11"/>
        </w:rPr>
        <w:t> </w:t>
      </w:r>
      <w:r>
        <w:rPr/>
        <w:t>el</w:t>
      </w:r>
      <w:r>
        <w:rPr>
          <w:spacing w:val="-13"/>
        </w:rPr>
        <w:t> </w:t>
      </w:r>
      <w:r>
        <w:rPr/>
        <w:t>marco de la Ley 1448 de 2011, con el fin de garantizar el goce efectivo de derechos de la población</w:t>
      </w:r>
      <w:r>
        <w:rPr>
          <w:spacing w:val="-32"/>
        </w:rPr>
        <w:t> </w:t>
      </w:r>
      <w:r>
        <w:rPr/>
        <w:t>víctima.</w:t>
      </w:r>
    </w:p>
    <w:p>
      <w:pPr>
        <w:pStyle w:val="BodyText"/>
        <w:spacing w:before="10"/>
      </w:pPr>
    </w:p>
    <w:p>
      <w:pPr>
        <w:pStyle w:val="BodyText"/>
        <w:ind w:left="152" w:right="111"/>
        <w:jc w:val="both"/>
      </w:pPr>
      <w:r>
        <w:rPr/>
        <w:t>De conformidad con lo establecido en el Artículo 160 de la ley 1448 de 2011, las Entidades que conforman el Sistema Nacional de Atención y Reparación Integral a las víctimas, a nivel nacional son treinta y siete (37), las cuales se señalan a continuación:</w:t>
      </w:r>
    </w:p>
    <w:p>
      <w:pPr>
        <w:pStyle w:val="BodyText"/>
        <w:spacing w:before="3"/>
        <w:rPr>
          <w:sz w:val="23"/>
        </w:rPr>
      </w:pPr>
    </w:p>
    <w:tbl>
      <w:tblPr>
        <w:tblW w:w="0" w:type="auto"/>
        <w:jc w:val="left"/>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3"/>
        <w:gridCol w:w="2078"/>
        <w:gridCol w:w="2177"/>
        <w:gridCol w:w="1997"/>
      </w:tblGrid>
      <w:tr>
        <w:trPr>
          <w:trHeight w:val="1082" w:hRule="exact"/>
        </w:trPr>
        <w:tc>
          <w:tcPr>
            <w:tcW w:w="1853" w:type="dxa"/>
          </w:tcPr>
          <w:p>
            <w:pPr>
              <w:pStyle w:val="TableParagraph"/>
              <w:spacing w:before="9"/>
              <w:rPr>
                <w:sz w:val="21"/>
              </w:rPr>
            </w:pPr>
          </w:p>
          <w:p>
            <w:pPr>
              <w:pStyle w:val="TableParagraph"/>
              <w:ind w:left="583" w:right="284" w:hanging="286"/>
              <w:rPr>
                <w:sz w:val="22"/>
              </w:rPr>
            </w:pPr>
            <w:r>
              <w:rPr>
                <w:sz w:val="22"/>
              </w:rPr>
              <w:t>Ministerio del Interior</w:t>
            </w:r>
          </w:p>
        </w:tc>
        <w:tc>
          <w:tcPr>
            <w:tcW w:w="2078" w:type="dxa"/>
          </w:tcPr>
          <w:p>
            <w:pPr>
              <w:pStyle w:val="TableParagraph"/>
              <w:ind w:left="266" w:right="264" w:hanging="1"/>
              <w:jc w:val="center"/>
              <w:rPr>
                <w:sz w:val="22"/>
              </w:rPr>
            </w:pPr>
            <w:r>
              <w:rPr>
                <w:sz w:val="22"/>
              </w:rPr>
              <w:t>Ministerio de Tecnologías de la Información y las Comunicaciones</w:t>
            </w:r>
          </w:p>
        </w:tc>
        <w:tc>
          <w:tcPr>
            <w:tcW w:w="2177" w:type="dxa"/>
          </w:tcPr>
          <w:p>
            <w:pPr>
              <w:pStyle w:val="TableParagraph"/>
              <w:spacing w:before="9"/>
              <w:rPr>
                <w:sz w:val="32"/>
              </w:rPr>
            </w:pPr>
          </w:p>
          <w:p>
            <w:pPr>
              <w:pStyle w:val="TableParagraph"/>
              <w:ind w:left="379" w:right="166"/>
              <w:rPr>
                <w:sz w:val="22"/>
              </w:rPr>
            </w:pPr>
            <w:r>
              <w:rPr>
                <w:sz w:val="22"/>
              </w:rPr>
              <w:t>Policía Nacional</w:t>
            </w:r>
          </w:p>
        </w:tc>
        <w:tc>
          <w:tcPr>
            <w:tcW w:w="1997" w:type="dxa"/>
          </w:tcPr>
          <w:p>
            <w:pPr>
              <w:pStyle w:val="TableParagraph"/>
              <w:spacing w:before="131"/>
              <w:ind w:left="79" w:right="78"/>
              <w:jc w:val="center"/>
              <w:rPr>
                <w:sz w:val="22"/>
              </w:rPr>
            </w:pPr>
            <w:r>
              <w:rPr>
                <w:sz w:val="22"/>
              </w:rPr>
              <w:t>Fondo para el Financiamiento del Sector Agropecuario</w:t>
            </w:r>
          </w:p>
        </w:tc>
      </w:tr>
      <w:tr>
        <w:trPr>
          <w:trHeight w:val="701" w:hRule="exact"/>
        </w:trPr>
        <w:tc>
          <w:tcPr>
            <w:tcW w:w="1853" w:type="dxa"/>
          </w:tcPr>
          <w:p>
            <w:pPr>
              <w:pStyle w:val="TableParagraph"/>
              <w:spacing w:before="73"/>
              <w:ind w:left="597" w:right="308" w:hanging="274"/>
              <w:rPr>
                <w:sz w:val="22"/>
              </w:rPr>
            </w:pPr>
            <w:r>
              <w:rPr>
                <w:sz w:val="22"/>
              </w:rPr>
              <w:t>Ministerio de Justicia</w:t>
            </w:r>
          </w:p>
        </w:tc>
        <w:tc>
          <w:tcPr>
            <w:tcW w:w="2078" w:type="dxa"/>
          </w:tcPr>
          <w:p>
            <w:pPr>
              <w:pStyle w:val="TableParagraph"/>
              <w:rPr>
                <w:sz w:val="17"/>
              </w:rPr>
            </w:pPr>
          </w:p>
          <w:p>
            <w:pPr>
              <w:pStyle w:val="TableParagraph"/>
              <w:ind w:left="86"/>
              <w:rPr>
                <w:sz w:val="22"/>
              </w:rPr>
            </w:pPr>
            <w:r>
              <w:rPr>
                <w:sz w:val="22"/>
              </w:rPr>
              <w:t>Ministerio de Cultura</w:t>
            </w:r>
          </w:p>
        </w:tc>
        <w:tc>
          <w:tcPr>
            <w:tcW w:w="2177" w:type="dxa"/>
          </w:tcPr>
          <w:p>
            <w:pPr>
              <w:pStyle w:val="TableParagraph"/>
              <w:spacing w:before="73"/>
              <w:ind w:left="552" w:right="166" w:hanging="370"/>
              <w:rPr>
                <w:sz w:val="22"/>
              </w:rPr>
            </w:pPr>
            <w:r>
              <w:rPr>
                <w:sz w:val="22"/>
              </w:rPr>
              <w:t>Servicio Nacional de Aprendizaje</w:t>
            </w:r>
          </w:p>
        </w:tc>
        <w:tc>
          <w:tcPr>
            <w:tcW w:w="1997" w:type="dxa"/>
          </w:tcPr>
          <w:p>
            <w:pPr>
              <w:pStyle w:val="TableParagraph"/>
              <w:spacing w:before="73"/>
              <w:ind w:left="640" w:right="112" w:hanging="514"/>
              <w:rPr>
                <w:sz w:val="22"/>
              </w:rPr>
            </w:pPr>
            <w:r>
              <w:rPr>
                <w:sz w:val="22"/>
              </w:rPr>
              <w:t>Banco de Comercio Exterior</w:t>
            </w:r>
          </w:p>
        </w:tc>
      </w:tr>
      <w:tr>
        <w:trPr>
          <w:trHeight w:val="1121" w:hRule="exact"/>
        </w:trPr>
        <w:tc>
          <w:tcPr>
            <w:tcW w:w="1853" w:type="dxa"/>
          </w:tcPr>
          <w:p>
            <w:pPr>
              <w:pStyle w:val="TableParagraph"/>
              <w:spacing w:before="148"/>
              <w:ind w:left="323" w:right="323"/>
              <w:jc w:val="center"/>
              <w:rPr>
                <w:sz w:val="22"/>
              </w:rPr>
            </w:pPr>
            <w:r>
              <w:rPr>
                <w:sz w:val="22"/>
              </w:rPr>
              <w:t>Ministerio de Relaciones Exteriores</w:t>
            </w:r>
          </w:p>
        </w:tc>
        <w:tc>
          <w:tcPr>
            <w:tcW w:w="2078" w:type="dxa"/>
          </w:tcPr>
          <w:p>
            <w:pPr>
              <w:pStyle w:val="TableParagraph"/>
              <w:spacing w:before="148"/>
              <w:ind w:left="376" w:right="376"/>
              <w:jc w:val="center"/>
              <w:rPr>
                <w:sz w:val="22"/>
              </w:rPr>
            </w:pPr>
            <w:r>
              <w:rPr>
                <w:sz w:val="22"/>
              </w:rPr>
              <w:t>Departamento Nacional de Planeación</w:t>
            </w:r>
          </w:p>
        </w:tc>
        <w:tc>
          <w:tcPr>
            <w:tcW w:w="2177" w:type="dxa"/>
          </w:tcPr>
          <w:p>
            <w:pPr>
              <w:pStyle w:val="TableParagraph"/>
              <w:spacing w:before="148"/>
              <w:ind w:left="79" w:right="73" w:firstLine="60"/>
              <w:jc w:val="both"/>
              <w:rPr>
                <w:sz w:val="22"/>
              </w:rPr>
            </w:pPr>
            <w:r>
              <w:rPr>
                <w:sz w:val="22"/>
              </w:rPr>
              <w:t>Instituto Colombiano de Crédito y Estudios Técnicos en el Exterior</w:t>
            </w:r>
          </w:p>
        </w:tc>
        <w:tc>
          <w:tcPr>
            <w:tcW w:w="1997" w:type="dxa"/>
          </w:tcPr>
          <w:p>
            <w:pPr>
              <w:pStyle w:val="TableParagraph"/>
              <w:spacing w:before="13"/>
              <w:ind w:left="93" w:right="91" w:hanging="3"/>
              <w:jc w:val="center"/>
              <w:rPr>
                <w:sz w:val="22"/>
              </w:rPr>
            </w:pPr>
            <w:r>
              <w:rPr>
                <w:sz w:val="22"/>
              </w:rPr>
              <w:t>Departamento Administrativo de la Presidencia de la República</w:t>
            </w:r>
          </w:p>
        </w:tc>
      </w:tr>
      <w:tr>
        <w:trPr>
          <w:trHeight w:val="838" w:hRule="exact"/>
        </w:trPr>
        <w:tc>
          <w:tcPr>
            <w:tcW w:w="1853" w:type="dxa"/>
          </w:tcPr>
          <w:p>
            <w:pPr>
              <w:pStyle w:val="TableParagraph"/>
              <w:spacing w:before="9"/>
              <w:ind w:left="74" w:right="76" w:firstLine="3"/>
              <w:jc w:val="center"/>
              <w:rPr>
                <w:sz w:val="22"/>
              </w:rPr>
            </w:pPr>
            <w:r>
              <w:rPr>
                <w:sz w:val="22"/>
              </w:rPr>
              <w:t>Ministerio de Hacienda y Crédito Público</w:t>
            </w:r>
          </w:p>
        </w:tc>
        <w:tc>
          <w:tcPr>
            <w:tcW w:w="2078" w:type="dxa"/>
          </w:tcPr>
          <w:p>
            <w:pPr>
              <w:pStyle w:val="TableParagraph"/>
              <w:spacing w:before="143"/>
              <w:ind w:left="107" w:right="88" w:firstLine="43"/>
              <w:rPr>
                <w:sz w:val="22"/>
              </w:rPr>
            </w:pPr>
            <w:r>
              <w:rPr>
                <w:sz w:val="22"/>
              </w:rPr>
              <w:t>Departamento para la Prosperidad Social</w:t>
            </w:r>
          </w:p>
        </w:tc>
        <w:tc>
          <w:tcPr>
            <w:tcW w:w="2177" w:type="dxa"/>
          </w:tcPr>
          <w:p>
            <w:pPr>
              <w:pStyle w:val="TableParagraph"/>
              <w:spacing w:before="143"/>
              <w:ind w:left="141" w:right="119" w:hanging="3"/>
              <w:rPr>
                <w:sz w:val="22"/>
              </w:rPr>
            </w:pPr>
            <w:r>
              <w:rPr>
                <w:sz w:val="22"/>
              </w:rPr>
              <w:t>Instituto Colombiano de Bienestar Familiar</w:t>
            </w:r>
          </w:p>
        </w:tc>
        <w:tc>
          <w:tcPr>
            <w:tcW w:w="1997" w:type="dxa"/>
          </w:tcPr>
          <w:p>
            <w:pPr>
              <w:pStyle w:val="TableParagraph"/>
              <w:spacing w:before="143"/>
              <w:ind w:left="163" w:right="120" w:hanging="27"/>
              <w:rPr>
                <w:sz w:val="22"/>
              </w:rPr>
            </w:pPr>
            <w:r>
              <w:rPr>
                <w:sz w:val="22"/>
              </w:rPr>
              <w:t>Centro Nacional de Memoria Histórica</w:t>
            </w:r>
          </w:p>
        </w:tc>
      </w:tr>
      <w:tr>
        <w:trPr>
          <w:trHeight w:val="1121" w:hRule="exact"/>
        </w:trPr>
        <w:tc>
          <w:tcPr>
            <w:tcW w:w="1853" w:type="dxa"/>
          </w:tcPr>
          <w:p>
            <w:pPr>
              <w:pStyle w:val="TableParagraph"/>
              <w:spacing w:before="4"/>
              <w:rPr>
                <w:sz w:val="23"/>
              </w:rPr>
            </w:pPr>
          </w:p>
          <w:p>
            <w:pPr>
              <w:pStyle w:val="TableParagraph"/>
              <w:ind w:left="141" w:right="126" w:firstLine="182"/>
              <w:rPr>
                <w:sz w:val="22"/>
              </w:rPr>
            </w:pPr>
            <w:r>
              <w:rPr>
                <w:sz w:val="22"/>
              </w:rPr>
              <w:t>Ministerio de Defensa Nacional</w:t>
            </w:r>
          </w:p>
        </w:tc>
        <w:tc>
          <w:tcPr>
            <w:tcW w:w="2078" w:type="dxa"/>
          </w:tcPr>
          <w:p>
            <w:pPr>
              <w:pStyle w:val="TableParagraph"/>
              <w:spacing w:before="16"/>
              <w:ind w:left="81" w:right="80" w:hanging="2"/>
              <w:jc w:val="center"/>
              <w:rPr>
                <w:sz w:val="22"/>
              </w:rPr>
            </w:pPr>
            <w:r>
              <w:rPr>
                <w:sz w:val="22"/>
              </w:rPr>
              <w:t>Unidad para la Atención y Reparación Integral a las Víctimas</w:t>
            </w:r>
          </w:p>
        </w:tc>
        <w:tc>
          <w:tcPr>
            <w:tcW w:w="2177" w:type="dxa"/>
          </w:tcPr>
          <w:p>
            <w:pPr>
              <w:pStyle w:val="TableParagraph"/>
              <w:spacing w:before="4"/>
              <w:rPr>
                <w:sz w:val="23"/>
              </w:rPr>
            </w:pPr>
          </w:p>
          <w:p>
            <w:pPr>
              <w:pStyle w:val="TableParagraph"/>
              <w:ind w:left="225" w:right="121" w:hanging="87"/>
              <w:rPr>
                <w:sz w:val="22"/>
              </w:rPr>
            </w:pPr>
            <w:r>
              <w:rPr>
                <w:sz w:val="22"/>
              </w:rPr>
              <w:t>Instituto Colombiano de Desarrollo Rural</w:t>
            </w:r>
          </w:p>
        </w:tc>
        <w:tc>
          <w:tcPr>
            <w:tcW w:w="1997" w:type="dxa"/>
          </w:tcPr>
          <w:p>
            <w:pPr>
              <w:pStyle w:val="TableParagraph"/>
              <w:spacing w:before="4"/>
              <w:rPr>
                <w:sz w:val="23"/>
              </w:rPr>
            </w:pPr>
          </w:p>
          <w:p>
            <w:pPr>
              <w:pStyle w:val="TableParagraph"/>
              <w:ind w:left="652" w:right="354" w:hanging="281"/>
              <w:rPr>
                <w:sz w:val="22"/>
              </w:rPr>
            </w:pPr>
            <w:r>
              <w:rPr>
                <w:sz w:val="22"/>
              </w:rPr>
              <w:t>Ministerio del Trabajo</w:t>
            </w:r>
          </w:p>
        </w:tc>
      </w:tr>
    </w:tbl>
    <w:p>
      <w:pPr>
        <w:spacing w:after="0"/>
        <w:rPr>
          <w:sz w:val="22"/>
        </w:rPr>
        <w:sectPr>
          <w:pgSz w:w="12240" w:h="15840"/>
          <w:pgMar w:top="840" w:bottom="280" w:left="700" w:right="6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9" name="image1.png" descr=""/>
                  <wp:cNvGraphicFramePr>
                    <a:graphicFrameLocks noChangeAspect="1"/>
                  </wp:cNvGraphicFramePr>
                  <a:graphic>
                    <a:graphicData uri="http://schemas.openxmlformats.org/drawingml/2006/picture">
                      <pic:pic>
                        <pic:nvPicPr>
                          <pic:cNvPr id="3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10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9"/>
        <w:rPr>
          <w:sz w:val="14"/>
        </w:rPr>
      </w:pPr>
    </w:p>
    <w:tbl>
      <w:tblPr>
        <w:tblW w:w="0" w:type="auto"/>
        <w:jc w:val="left"/>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3"/>
        <w:gridCol w:w="2078"/>
        <w:gridCol w:w="2177"/>
        <w:gridCol w:w="1997"/>
      </w:tblGrid>
      <w:tr>
        <w:trPr>
          <w:trHeight w:val="982" w:hRule="exact"/>
        </w:trPr>
        <w:tc>
          <w:tcPr>
            <w:tcW w:w="1853" w:type="dxa"/>
          </w:tcPr>
          <w:p>
            <w:pPr>
              <w:pStyle w:val="TableParagraph"/>
              <w:spacing w:before="81"/>
              <w:ind w:left="199" w:right="199" w:firstLine="1"/>
              <w:jc w:val="center"/>
              <w:rPr>
                <w:sz w:val="22"/>
              </w:rPr>
            </w:pPr>
            <w:r>
              <w:rPr>
                <w:sz w:val="22"/>
              </w:rPr>
              <w:t>Ministerio de Agricultura y Desarrollo Rural</w:t>
            </w:r>
          </w:p>
        </w:tc>
        <w:tc>
          <w:tcPr>
            <w:tcW w:w="2078" w:type="dxa"/>
          </w:tcPr>
          <w:p>
            <w:pPr>
              <w:pStyle w:val="TableParagraph"/>
              <w:spacing w:before="81"/>
              <w:ind w:left="71" w:right="67"/>
              <w:jc w:val="center"/>
              <w:rPr>
                <w:sz w:val="22"/>
              </w:rPr>
            </w:pPr>
            <w:r>
              <w:rPr>
                <w:sz w:val="22"/>
              </w:rPr>
              <w:t>Unidad de Gestión</w:t>
            </w:r>
            <w:r>
              <w:rPr>
                <w:spacing w:val="-3"/>
                <w:sz w:val="22"/>
              </w:rPr>
              <w:t> </w:t>
            </w:r>
            <w:r>
              <w:rPr>
                <w:sz w:val="22"/>
              </w:rPr>
              <w:t>de Restitución de Tierras</w:t>
            </w:r>
            <w:r>
              <w:rPr>
                <w:spacing w:val="-6"/>
                <w:sz w:val="22"/>
              </w:rPr>
              <w:t> </w:t>
            </w:r>
            <w:r>
              <w:rPr>
                <w:sz w:val="22"/>
              </w:rPr>
              <w:t>Despojadas</w:t>
            </w:r>
          </w:p>
        </w:tc>
        <w:tc>
          <w:tcPr>
            <w:tcW w:w="2177" w:type="dxa"/>
          </w:tcPr>
          <w:p>
            <w:pPr>
              <w:pStyle w:val="TableParagraph"/>
              <w:spacing w:before="7"/>
              <w:rPr>
                <w:sz w:val="17"/>
              </w:rPr>
            </w:pPr>
          </w:p>
          <w:p>
            <w:pPr>
              <w:pStyle w:val="TableParagraph"/>
              <w:spacing w:before="1"/>
              <w:ind w:left="773" w:right="106" w:hanging="646"/>
              <w:rPr>
                <w:sz w:val="22"/>
              </w:rPr>
            </w:pPr>
            <w:r>
              <w:rPr>
                <w:sz w:val="22"/>
              </w:rPr>
              <w:t>Archivo General de la Nación</w:t>
            </w:r>
          </w:p>
        </w:tc>
        <w:tc>
          <w:tcPr>
            <w:tcW w:w="1997" w:type="dxa"/>
          </w:tcPr>
          <w:p>
            <w:pPr>
              <w:pStyle w:val="TableParagraph"/>
              <w:spacing w:before="81"/>
              <w:ind w:left="386" w:right="384"/>
              <w:jc w:val="center"/>
              <w:rPr>
                <w:b/>
                <w:sz w:val="22"/>
              </w:rPr>
            </w:pPr>
            <w:r>
              <w:rPr>
                <w:b/>
                <w:sz w:val="22"/>
              </w:rPr>
              <w:t>Procuraduría General de la Nación</w:t>
            </w:r>
          </w:p>
        </w:tc>
      </w:tr>
      <w:tr>
        <w:trPr>
          <w:trHeight w:val="816" w:hRule="exact"/>
        </w:trPr>
        <w:tc>
          <w:tcPr>
            <w:tcW w:w="1853" w:type="dxa"/>
          </w:tcPr>
          <w:p>
            <w:pPr>
              <w:pStyle w:val="TableParagraph"/>
              <w:ind w:left="95" w:right="99" w:firstLine="4"/>
              <w:jc w:val="center"/>
              <w:rPr>
                <w:sz w:val="22"/>
              </w:rPr>
            </w:pPr>
            <w:r>
              <w:rPr>
                <w:sz w:val="22"/>
              </w:rPr>
              <w:t>Ministerio de Salud y Protección Social</w:t>
            </w:r>
          </w:p>
        </w:tc>
        <w:tc>
          <w:tcPr>
            <w:tcW w:w="2078" w:type="dxa"/>
          </w:tcPr>
          <w:p>
            <w:pPr>
              <w:pStyle w:val="TableParagraph"/>
              <w:spacing w:before="131"/>
              <w:ind w:left="722" w:right="77" w:hanging="629"/>
              <w:rPr>
                <w:sz w:val="22"/>
              </w:rPr>
            </w:pPr>
            <w:r>
              <w:rPr>
                <w:sz w:val="22"/>
              </w:rPr>
              <w:t>Fiscalía General de la Nación</w:t>
            </w:r>
          </w:p>
        </w:tc>
        <w:tc>
          <w:tcPr>
            <w:tcW w:w="2177" w:type="dxa"/>
          </w:tcPr>
          <w:p>
            <w:pPr>
              <w:pStyle w:val="TableParagraph"/>
              <w:ind w:left="151" w:right="150"/>
              <w:jc w:val="center"/>
              <w:rPr>
                <w:sz w:val="22"/>
              </w:rPr>
            </w:pPr>
            <w:r>
              <w:rPr>
                <w:sz w:val="22"/>
              </w:rPr>
              <w:t>Instituto Nacional de Medicina Legal y Ciencias Forenses</w:t>
            </w:r>
          </w:p>
        </w:tc>
        <w:tc>
          <w:tcPr>
            <w:tcW w:w="1997" w:type="dxa"/>
          </w:tcPr>
          <w:p>
            <w:pPr>
              <w:pStyle w:val="TableParagraph"/>
              <w:spacing w:before="131"/>
              <w:ind w:left="513" w:right="104" w:hanging="396"/>
              <w:rPr>
                <w:sz w:val="22"/>
              </w:rPr>
            </w:pPr>
            <w:r>
              <w:rPr>
                <w:sz w:val="22"/>
              </w:rPr>
              <w:t>Unidad Nacional de Protección</w:t>
            </w:r>
          </w:p>
        </w:tc>
      </w:tr>
      <w:tr>
        <w:trPr>
          <w:trHeight w:val="817" w:hRule="exact"/>
        </w:trPr>
        <w:tc>
          <w:tcPr>
            <w:tcW w:w="1853" w:type="dxa"/>
          </w:tcPr>
          <w:p>
            <w:pPr>
              <w:pStyle w:val="TableParagraph"/>
              <w:ind w:left="69" w:right="71" w:firstLine="2"/>
              <w:jc w:val="center"/>
              <w:rPr>
                <w:sz w:val="22"/>
              </w:rPr>
            </w:pPr>
            <w:r>
              <w:rPr>
                <w:sz w:val="22"/>
              </w:rPr>
              <w:t>Ministerio de Comercio Industria y Turismo</w:t>
            </w:r>
          </w:p>
        </w:tc>
        <w:tc>
          <w:tcPr>
            <w:tcW w:w="2078" w:type="dxa"/>
          </w:tcPr>
          <w:p>
            <w:pPr>
              <w:pStyle w:val="TableParagraph"/>
              <w:spacing w:before="131"/>
              <w:ind w:left="722" w:right="368" w:hanging="339"/>
              <w:rPr>
                <w:sz w:val="22"/>
              </w:rPr>
            </w:pPr>
            <w:r>
              <w:rPr>
                <w:sz w:val="22"/>
              </w:rPr>
              <w:t>Defensoría del Pueblo</w:t>
            </w:r>
          </w:p>
        </w:tc>
        <w:tc>
          <w:tcPr>
            <w:tcW w:w="2177" w:type="dxa"/>
          </w:tcPr>
          <w:p>
            <w:pPr>
              <w:pStyle w:val="TableParagraph"/>
              <w:spacing w:before="131"/>
              <w:ind w:left="384" w:right="172" w:hanging="195"/>
              <w:rPr>
                <w:sz w:val="22"/>
              </w:rPr>
            </w:pPr>
            <w:r>
              <w:rPr>
                <w:sz w:val="22"/>
              </w:rPr>
              <w:t>Instituto Geográfico Agustín Codazzi</w:t>
            </w:r>
          </w:p>
        </w:tc>
        <w:tc>
          <w:tcPr>
            <w:tcW w:w="1997" w:type="dxa"/>
          </w:tcPr>
          <w:p>
            <w:pPr>
              <w:pStyle w:val="TableParagraph"/>
              <w:spacing w:before="131"/>
              <w:ind w:left="429" w:right="75" w:hanging="336"/>
              <w:rPr>
                <w:sz w:val="22"/>
              </w:rPr>
            </w:pPr>
            <w:r>
              <w:rPr>
                <w:sz w:val="22"/>
              </w:rPr>
              <w:t>Consejo Superior de la Judicatura</w:t>
            </w:r>
          </w:p>
        </w:tc>
      </w:tr>
      <w:tr>
        <w:trPr>
          <w:trHeight w:val="816" w:hRule="exact"/>
        </w:trPr>
        <w:tc>
          <w:tcPr>
            <w:tcW w:w="1853" w:type="dxa"/>
          </w:tcPr>
          <w:p>
            <w:pPr>
              <w:pStyle w:val="TableParagraph"/>
              <w:ind w:left="323" w:right="323"/>
              <w:jc w:val="center"/>
              <w:rPr>
                <w:sz w:val="22"/>
              </w:rPr>
            </w:pPr>
            <w:r>
              <w:rPr>
                <w:sz w:val="22"/>
              </w:rPr>
              <w:t>Ministerio de Educación Nacional</w:t>
            </w:r>
          </w:p>
        </w:tc>
        <w:tc>
          <w:tcPr>
            <w:tcW w:w="2078" w:type="dxa"/>
          </w:tcPr>
          <w:p>
            <w:pPr>
              <w:pStyle w:val="TableParagraph"/>
              <w:ind w:left="153" w:right="155" w:firstLine="4"/>
              <w:jc w:val="center"/>
              <w:rPr>
                <w:sz w:val="22"/>
              </w:rPr>
            </w:pPr>
            <w:r>
              <w:rPr>
                <w:sz w:val="22"/>
              </w:rPr>
              <w:t>Registraduría Nacional del Estado Civil</w:t>
            </w:r>
          </w:p>
        </w:tc>
        <w:tc>
          <w:tcPr>
            <w:tcW w:w="2177" w:type="dxa"/>
          </w:tcPr>
          <w:p>
            <w:pPr>
              <w:pStyle w:val="TableParagraph"/>
              <w:spacing w:before="131"/>
              <w:ind w:left="165" w:right="143" w:hanging="8"/>
              <w:rPr>
                <w:sz w:val="22"/>
              </w:rPr>
            </w:pPr>
            <w:r>
              <w:rPr>
                <w:sz w:val="22"/>
              </w:rPr>
              <w:t>Superintendencia de Notariado y Registro</w:t>
            </w:r>
          </w:p>
        </w:tc>
        <w:tc>
          <w:tcPr>
            <w:tcW w:w="1997" w:type="dxa"/>
          </w:tcPr>
          <w:p>
            <w:pPr>
              <w:pStyle w:val="TableParagraph"/>
              <w:ind w:left="78" w:right="78"/>
              <w:jc w:val="center"/>
              <w:rPr>
                <w:sz w:val="22"/>
              </w:rPr>
            </w:pPr>
            <w:r>
              <w:rPr>
                <w:sz w:val="22"/>
              </w:rPr>
              <w:t>Ministerio de Vivienda, Ciudad y Territorio</w:t>
            </w:r>
          </w:p>
        </w:tc>
      </w:tr>
    </w:tbl>
    <w:p>
      <w:pPr>
        <w:pStyle w:val="BodyText"/>
        <w:spacing w:before="1"/>
        <w:rPr>
          <w:sz w:val="18"/>
        </w:rPr>
      </w:pPr>
    </w:p>
    <w:p>
      <w:pPr>
        <w:pStyle w:val="BodyText"/>
        <w:spacing w:before="57"/>
        <w:ind w:left="152" w:right="113" w:firstLine="50"/>
        <w:jc w:val="both"/>
      </w:pPr>
      <w:r>
        <w:rPr/>
        <w:t>Así mismo, se establecen los criterios a tener en cuenta para la certificación y los insumos que para cada criterio se requiere</w:t>
      </w:r>
      <w:r>
        <w:rPr>
          <w:spacing w:val="-6"/>
        </w:rPr>
        <w:t> </w:t>
      </w:r>
      <w:r>
        <w:rPr/>
        <w:t>cumplir</w:t>
      </w:r>
      <w:r>
        <w:rPr>
          <w:spacing w:val="-6"/>
        </w:rPr>
        <w:t> </w:t>
      </w:r>
      <w:r>
        <w:rPr/>
        <w:t>dependiendo</w:t>
      </w:r>
      <w:r>
        <w:rPr>
          <w:spacing w:val="-4"/>
        </w:rPr>
        <w:t> </w:t>
      </w:r>
      <w:r>
        <w:rPr/>
        <w:t>la</w:t>
      </w:r>
      <w:r>
        <w:rPr>
          <w:spacing w:val="-6"/>
        </w:rPr>
        <w:t> </w:t>
      </w:r>
      <w:r>
        <w:rPr/>
        <w:t>entidad</w:t>
      </w:r>
      <w:r>
        <w:rPr>
          <w:spacing w:val="-6"/>
        </w:rPr>
        <w:t> </w:t>
      </w:r>
      <w:r>
        <w:rPr/>
        <w:t>ha</w:t>
      </w:r>
      <w:r>
        <w:rPr>
          <w:spacing w:val="-6"/>
        </w:rPr>
        <w:t> </w:t>
      </w:r>
      <w:r>
        <w:rPr/>
        <w:t>acreditar,</w:t>
      </w:r>
      <w:r>
        <w:rPr>
          <w:spacing w:val="-8"/>
        </w:rPr>
        <w:t> </w:t>
      </w:r>
      <w:r>
        <w:rPr/>
        <w:t>teniendo</w:t>
      </w:r>
      <w:r>
        <w:rPr>
          <w:spacing w:val="-4"/>
        </w:rPr>
        <w:t> </w:t>
      </w:r>
      <w:r>
        <w:rPr/>
        <w:t>en</w:t>
      </w:r>
      <w:r>
        <w:rPr>
          <w:spacing w:val="-6"/>
        </w:rPr>
        <w:t> </w:t>
      </w:r>
      <w:r>
        <w:rPr/>
        <w:t>cuenta</w:t>
      </w:r>
      <w:r>
        <w:rPr>
          <w:spacing w:val="-8"/>
        </w:rPr>
        <w:t> </w:t>
      </w:r>
      <w:r>
        <w:rPr/>
        <w:t>el</w:t>
      </w:r>
      <w:r>
        <w:rPr>
          <w:spacing w:val="-5"/>
        </w:rPr>
        <w:t> </w:t>
      </w:r>
      <w:r>
        <w:rPr/>
        <w:t>objetivo</w:t>
      </w:r>
      <w:r>
        <w:rPr>
          <w:spacing w:val="-4"/>
        </w:rPr>
        <w:t> </w:t>
      </w:r>
      <w:r>
        <w:rPr/>
        <w:t>principal</w:t>
      </w:r>
      <w:r>
        <w:rPr>
          <w:spacing w:val="-6"/>
        </w:rPr>
        <w:t> </w:t>
      </w:r>
      <w:r>
        <w:rPr/>
        <w:t>de</w:t>
      </w:r>
      <w:r>
        <w:rPr>
          <w:spacing w:val="-5"/>
        </w:rPr>
        <w:t> </w:t>
      </w:r>
      <w:r>
        <w:rPr/>
        <w:t>la</w:t>
      </w:r>
      <w:r>
        <w:rPr>
          <w:spacing w:val="-6"/>
        </w:rPr>
        <w:t> </w:t>
      </w:r>
      <w:r>
        <w:rPr/>
        <w:t>certificación,</w:t>
      </w:r>
      <w:r>
        <w:rPr>
          <w:spacing w:val="-5"/>
        </w:rPr>
        <w:t> </w:t>
      </w:r>
      <w:r>
        <w:rPr/>
        <w:t>como se evidencia a</w:t>
      </w:r>
      <w:r>
        <w:rPr>
          <w:spacing w:val="-7"/>
        </w:rPr>
        <w:t> </w:t>
      </w:r>
      <w:r>
        <w:rPr/>
        <w:t>continuación.</w:t>
      </w:r>
    </w:p>
    <w:p>
      <w:pPr>
        <w:pStyle w:val="BodyText"/>
        <w:spacing w:before="3"/>
        <w:rPr>
          <w:sz w:val="23"/>
        </w:rPr>
      </w:pPr>
    </w:p>
    <w:tbl>
      <w:tblPr>
        <w:tblW w:w="0" w:type="auto"/>
        <w:jc w:val="left"/>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1"/>
        <w:gridCol w:w="4359"/>
      </w:tblGrid>
      <w:tr>
        <w:trPr>
          <w:trHeight w:val="1028" w:hRule="exact"/>
        </w:trPr>
        <w:tc>
          <w:tcPr>
            <w:tcW w:w="4361" w:type="dxa"/>
          </w:tcPr>
          <w:p>
            <w:pPr>
              <w:pStyle w:val="TableParagraph"/>
              <w:spacing w:line="268" w:lineRule="exact"/>
              <w:ind w:left="1759" w:right="1759"/>
              <w:jc w:val="center"/>
              <w:rPr>
                <w:b/>
                <w:sz w:val="22"/>
              </w:rPr>
            </w:pPr>
            <w:r>
              <w:rPr>
                <w:b/>
                <w:sz w:val="22"/>
              </w:rPr>
              <w:t>INSUMO</w:t>
            </w:r>
          </w:p>
        </w:tc>
        <w:tc>
          <w:tcPr>
            <w:tcW w:w="4359" w:type="dxa"/>
          </w:tcPr>
          <w:p>
            <w:pPr>
              <w:pStyle w:val="TableParagraph"/>
              <w:spacing w:line="268" w:lineRule="exact"/>
              <w:ind w:left="1731" w:right="1731"/>
              <w:jc w:val="center"/>
              <w:rPr>
                <w:b/>
                <w:sz w:val="22"/>
              </w:rPr>
            </w:pPr>
            <w:r>
              <w:rPr>
                <w:b/>
                <w:sz w:val="22"/>
              </w:rPr>
              <w:t>CRITERIO</w:t>
            </w:r>
          </w:p>
        </w:tc>
      </w:tr>
      <w:tr>
        <w:trPr>
          <w:trHeight w:val="1138" w:hRule="exact"/>
        </w:trPr>
        <w:tc>
          <w:tcPr>
            <w:tcW w:w="4361" w:type="dxa"/>
          </w:tcPr>
          <w:p>
            <w:pPr>
              <w:pStyle w:val="TableParagraph"/>
              <w:spacing w:line="268" w:lineRule="exact"/>
              <w:ind w:left="103" w:right="100"/>
              <w:rPr>
                <w:sz w:val="22"/>
              </w:rPr>
            </w:pPr>
            <w:r>
              <w:rPr>
                <w:sz w:val="22"/>
              </w:rPr>
              <w:t>Plan de acción 2014</w:t>
            </w:r>
          </w:p>
        </w:tc>
        <w:tc>
          <w:tcPr>
            <w:tcW w:w="4359" w:type="dxa"/>
          </w:tcPr>
          <w:p>
            <w:pPr>
              <w:pStyle w:val="TableParagraph"/>
              <w:spacing w:line="278" w:lineRule="auto"/>
              <w:ind w:left="103" w:right="102"/>
              <w:jc w:val="both"/>
              <w:rPr>
                <w:sz w:val="22"/>
              </w:rPr>
            </w:pPr>
            <w:r>
              <w:rPr>
                <w:sz w:val="22"/>
              </w:rPr>
              <w:t>Porcentaje de ejecución de las metas físicas programadas en el plan de acción/operativo 2014.</w:t>
            </w:r>
          </w:p>
        </w:tc>
      </w:tr>
      <w:tr>
        <w:trPr>
          <w:trHeight w:val="1243" w:hRule="exact"/>
        </w:trPr>
        <w:tc>
          <w:tcPr>
            <w:tcW w:w="4361" w:type="dxa"/>
          </w:tcPr>
          <w:p>
            <w:pPr>
              <w:pStyle w:val="TableParagraph"/>
              <w:tabs>
                <w:tab w:pos="1561" w:val="left" w:leader="none"/>
                <w:tab w:pos="2382" w:val="left" w:leader="none"/>
                <w:tab w:pos="3973" w:val="left" w:leader="none"/>
              </w:tabs>
              <w:spacing w:line="276" w:lineRule="auto"/>
              <w:ind w:left="103" w:right="100"/>
              <w:rPr>
                <w:sz w:val="22"/>
              </w:rPr>
            </w:pPr>
            <w:r>
              <w:rPr>
                <w:sz w:val="22"/>
              </w:rPr>
              <w:t>Presupuesto</w:t>
              <w:tab/>
              <w:t>(base</w:t>
              <w:tab/>
              <w:t>estandarizada</w:t>
              <w:tab/>
              <w:t>del Ministerio de</w:t>
            </w:r>
            <w:r>
              <w:rPr>
                <w:spacing w:val="-2"/>
                <w:sz w:val="22"/>
              </w:rPr>
              <w:t> </w:t>
            </w:r>
            <w:r>
              <w:rPr>
                <w:sz w:val="22"/>
              </w:rPr>
              <w:t>Hacienda)</w:t>
            </w:r>
          </w:p>
        </w:tc>
        <w:tc>
          <w:tcPr>
            <w:tcW w:w="4359" w:type="dxa"/>
          </w:tcPr>
          <w:p>
            <w:pPr>
              <w:pStyle w:val="TableParagraph"/>
              <w:numPr>
                <w:ilvl w:val="0"/>
                <w:numId w:val="4"/>
              </w:numPr>
              <w:tabs>
                <w:tab w:pos="419" w:val="left" w:leader="none"/>
                <w:tab w:pos="420" w:val="left" w:leader="none"/>
              </w:tabs>
              <w:spacing w:line="273" w:lineRule="auto" w:before="0" w:after="0"/>
              <w:ind w:left="420" w:right="97" w:hanging="284"/>
              <w:jc w:val="left"/>
              <w:rPr>
                <w:sz w:val="22"/>
              </w:rPr>
            </w:pPr>
            <w:r>
              <w:rPr>
                <w:sz w:val="22"/>
              </w:rPr>
              <w:t>Porcentaje de ejecución presupuestal de</w:t>
            </w:r>
            <w:r>
              <w:rPr>
                <w:spacing w:val="-15"/>
                <w:sz w:val="22"/>
              </w:rPr>
              <w:t> </w:t>
            </w:r>
            <w:r>
              <w:rPr>
                <w:sz w:val="22"/>
              </w:rPr>
              <w:t>la vigencia.</w:t>
            </w:r>
          </w:p>
          <w:p>
            <w:pPr>
              <w:pStyle w:val="TableParagraph"/>
              <w:numPr>
                <w:ilvl w:val="0"/>
                <w:numId w:val="4"/>
              </w:numPr>
              <w:tabs>
                <w:tab w:pos="419" w:val="left" w:leader="none"/>
                <w:tab w:pos="420" w:val="left" w:leader="none"/>
              </w:tabs>
              <w:spacing w:line="276" w:lineRule="auto" w:before="3" w:after="0"/>
              <w:ind w:left="420" w:right="100" w:hanging="284"/>
              <w:jc w:val="left"/>
              <w:rPr>
                <w:sz w:val="22"/>
              </w:rPr>
            </w:pPr>
            <w:r>
              <w:rPr>
                <w:sz w:val="22"/>
              </w:rPr>
              <w:t>Tendencia incremental en la asignación presupuestal</w:t>
            </w:r>
          </w:p>
        </w:tc>
      </w:tr>
      <w:tr>
        <w:trPr>
          <w:trHeight w:val="3101" w:hRule="exact"/>
        </w:trPr>
        <w:tc>
          <w:tcPr>
            <w:tcW w:w="4361" w:type="dxa"/>
          </w:tcPr>
          <w:p>
            <w:pPr>
              <w:pStyle w:val="TableParagraph"/>
              <w:spacing w:before="1"/>
              <w:ind w:left="103" w:right="100"/>
              <w:rPr>
                <w:sz w:val="22"/>
              </w:rPr>
            </w:pPr>
            <w:r>
              <w:rPr>
                <w:sz w:val="22"/>
              </w:rPr>
              <w:t>Enfoque diferencial</w:t>
            </w:r>
          </w:p>
        </w:tc>
        <w:tc>
          <w:tcPr>
            <w:tcW w:w="4359" w:type="dxa"/>
          </w:tcPr>
          <w:p>
            <w:pPr>
              <w:pStyle w:val="TableParagraph"/>
              <w:numPr>
                <w:ilvl w:val="0"/>
                <w:numId w:val="5"/>
              </w:numPr>
              <w:tabs>
                <w:tab w:pos="420" w:val="left" w:leader="none"/>
              </w:tabs>
              <w:spacing w:line="273" w:lineRule="auto" w:before="0" w:after="0"/>
              <w:ind w:left="420" w:right="102" w:hanging="284"/>
              <w:jc w:val="both"/>
              <w:rPr>
                <w:sz w:val="22"/>
              </w:rPr>
            </w:pPr>
            <w:r>
              <w:rPr>
                <w:sz w:val="22"/>
              </w:rPr>
              <w:t>Competencias por enfoque diferencial de acuerdo a la</w:t>
            </w:r>
            <w:r>
              <w:rPr>
                <w:spacing w:val="-2"/>
                <w:sz w:val="22"/>
              </w:rPr>
              <w:t> </w:t>
            </w:r>
            <w:r>
              <w:rPr>
                <w:sz w:val="22"/>
              </w:rPr>
              <w:t>normatividad.</w:t>
            </w:r>
          </w:p>
          <w:p>
            <w:pPr>
              <w:pStyle w:val="TableParagraph"/>
              <w:numPr>
                <w:ilvl w:val="0"/>
                <w:numId w:val="5"/>
              </w:numPr>
              <w:tabs>
                <w:tab w:pos="420" w:val="left" w:leader="none"/>
              </w:tabs>
              <w:spacing w:line="276" w:lineRule="auto" w:before="4" w:after="0"/>
              <w:ind w:left="420" w:right="102" w:hanging="284"/>
              <w:jc w:val="both"/>
              <w:rPr>
                <w:sz w:val="22"/>
              </w:rPr>
            </w:pPr>
            <w:r>
              <w:rPr>
                <w:sz w:val="22"/>
              </w:rPr>
              <w:t>Planes, programas y proyectos que contemplan el enfoque</w:t>
            </w:r>
            <w:r>
              <w:rPr>
                <w:spacing w:val="-7"/>
                <w:sz w:val="22"/>
              </w:rPr>
              <w:t> </w:t>
            </w:r>
            <w:r>
              <w:rPr>
                <w:sz w:val="22"/>
              </w:rPr>
              <w:t>diferencial.</w:t>
            </w:r>
          </w:p>
          <w:p>
            <w:pPr>
              <w:pStyle w:val="TableParagraph"/>
              <w:numPr>
                <w:ilvl w:val="0"/>
                <w:numId w:val="5"/>
              </w:numPr>
              <w:tabs>
                <w:tab w:pos="420" w:val="left" w:leader="none"/>
              </w:tabs>
              <w:spacing w:line="276" w:lineRule="auto" w:before="0" w:after="0"/>
              <w:ind w:left="420" w:right="99" w:hanging="284"/>
              <w:jc w:val="both"/>
              <w:rPr>
                <w:sz w:val="22"/>
              </w:rPr>
            </w:pPr>
            <w:r>
              <w:rPr>
                <w:sz w:val="22"/>
              </w:rPr>
              <w:t>Sistemas de información que permiten hacer seguimiento a los grupos de especial protección</w:t>
            </w:r>
            <w:r>
              <w:rPr>
                <w:spacing w:val="-5"/>
                <w:sz w:val="22"/>
              </w:rPr>
              <w:t> </w:t>
            </w:r>
            <w:r>
              <w:rPr>
                <w:sz w:val="22"/>
              </w:rPr>
              <w:t>constitucional.</w:t>
            </w:r>
          </w:p>
          <w:p>
            <w:pPr>
              <w:pStyle w:val="TableParagraph"/>
              <w:numPr>
                <w:ilvl w:val="0"/>
                <w:numId w:val="5"/>
              </w:numPr>
              <w:tabs>
                <w:tab w:pos="419" w:val="left" w:leader="none"/>
                <w:tab w:pos="420" w:val="left" w:leader="none"/>
              </w:tabs>
              <w:spacing w:line="267" w:lineRule="exact" w:before="0" w:after="0"/>
              <w:ind w:left="420" w:right="0" w:hanging="284"/>
              <w:jc w:val="left"/>
              <w:rPr>
                <w:sz w:val="22"/>
              </w:rPr>
            </w:pPr>
            <w:r>
              <w:rPr>
                <w:sz w:val="22"/>
              </w:rPr>
              <w:t>Rutas de acceso por</w:t>
            </w:r>
            <w:r>
              <w:rPr>
                <w:spacing w:val="-7"/>
                <w:sz w:val="22"/>
              </w:rPr>
              <w:t> </w:t>
            </w:r>
            <w:r>
              <w:rPr>
                <w:sz w:val="22"/>
              </w:rPr>
              <w:t>enfoque.</w:t>
            </w:r>
          </w:p>
          <w:p>
            <w:pPr>
              <w:pStyle w:val="TableParagraph"/>
              <w:numPr>
                <w:ilvl w:val="0"/>
                <w:numId w:val="5"/>
              </w:numPr>
              <w:tabs>
                <w:tab w:pos="420" w:val="left" w:leader="none"/>
              </w:tabs>
              <w:spacing w:line="276" w:lineRule="auto" w:before="41" w:after="0"/>
              <w:ind w:left="420" w:right="100" w:hanging="284"/>
              <w:jc w:val="both"/>
              <w:rPr>
                <w:sz w:val="22"/>
              </w:rPr>
            </w:pPr>
            <w:r>
              <w:rPr>
                <w:sz w:val="22"/>
              </w:rPr>
              <w:t>Actos administrativos que institucionalizan las directrices para el enfoque</w:t>
            </w:r>
            <w:r>
              <w:rPr>
                <w:spacing w:val="-6"/>
                <w:sz w:val="22"/>
              </w:rPr>
              <w:t> </w:t>
            </w:r>
            <w:r>
              <w:rPr>
                <w:sz w:val="22"/>
              </w:rPr>
              <w:t>diferencial.</w:t>
            </w:r>
          </w:p>
        </w:tc>
      </w:tr>
    </w:tbl>
    <w:p>
      <w:pPr>
        <w:spacing w:after="0" w:line="276" w:lineRule="auto"/>
        <w:jc w:val="both"/>
        <w:rPr>
          <w:sz w:val="22"/>
        </w:rPr>
        <w:sectPr>
          <w:pgSz w:w="12240" w:h="15840"/>
          <w:pgMar w:top="840" w:bottom="280" w:left="700" w:right="6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31" name="image1.png" descr=""/>
                  <wp:cNvGraphicFramePr>
                    <a:graphicFrameLocks noChangeAspect="1"/>
                  </wp:cNvGraphicFramePr>
                  <a:graphic>
                    <a:graphicData uri="http://schemas.openxmlformats.org/drawingml/2006/picture">
                      <pic:pic>
                        <pic:nvPicPr>
                          <pic:cNvPr id="3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11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9"/>
        <w:rPr>
          <w:sz w:val="14"/>
        </w:rPr>
      </w:pPr>
    </w:p>
    <w:tbl>
      <w:tblPr>
        <w:tblW w:w="0" w:type="auto"/>
        <w:jc w:val="left"/>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1"/>
        <w:gridCol w:w="4359"/>
      </w:tblGrid>
      <w:tr>
        <w:trPr>
          <w:trHeight w:val="936" w:hRule="exact"/>
        </w:trPr>
        <w:tc>
          <w:tcPr>
            <w:tcW w:w="4361" w:type="dxa"/>
          </w:tcPr>
          <w:p>
            <w:pPr>
              <w:pStyle w:val="TableParagraph"/>
              <w:spacing w:line="268" w:lineRule="exact"/>
              <w:ind w:left="103" w:right="100"/>
              <w:rPr>
                <w:sz w:val="22"/>
              </w:rPr>
            </w:pPr>
            <w:r>
              <w:rPr>
                <w:sz w:val="22"/>
              </w:rPr>
              <w:t>Subcomités técnicos del SNARIV</w:t>
            </w:r>
          </w:p>
        </w:tc>
        <w:tc>
          <w:tcPr>
            <w:tcW w:w="4359" w:type="dxa"/>
          </w:tcPr>
          <w:p>
            <w:pPr>
              <w:pStyle w:val="TableParagraph"/>
              <w:spacing w:line="276" w:lineRule="auto"/>
              <w:ind w:left="419" w:right="100" w:hanging="284"/>
              <w:jc w:val="both"/>
              <w:rPr>
                <w:sz w:val="22"/>
              </w:rPr>
            </w:pPr>
            <w:r>
              <w:rPr>
                <w:rFonts w:ascii="Arial" w:hAnsi="Arial"/>
                <w:sz w:val="22"/>
              </w:rPr>
              <w:t>- </w:t>
            </w:r>
            <w:r>
              <w:rPr>
                <w:sz w:val="22"/>
              </w:rPr>
              <w:t>Asistencia a las sesiones de los subcomités de acuerdo con la Ley de Víctimas y Restitución de Tierras.</w:t>
            </w:r>
          </w:p>
        </w:tc>
      </w:tr>
      <w:tr>
        <w:trPr>
          <w:trHeight w:val="1246" w:hRule="exact"/>
        </w:trPr>
        <w:tc>
          <w:tcPr>
            <w:tcW w:w="4361" w:type="dxa"/>
          </w:tcPr>
          <w:p>
            <w:pPr>
              <w:pStyle w:val="TableParagraph"/>
              <w:spacing w:before="1"/>
              <w:ind w:left="103" w:right="100"/>
              <w:rPr>
                <w:sz w:val="22"/>
              </w:rPr>
            </w:pPr>
            <w:r>
              <w:rPr>
                <w:sz w:val="22"/>
              </w:rPr>
              <w:t>Sistemas de información</w:t>
            </w:r>
          </w:p>
        </w:tc>
        <w:tc>
          <w:tcPr>
            <w:tcW w:w="4359" w:type="dxa"/>
          </w:tcPr>
          <w:p>
            <w:pPr>
              <w:pStyle w:val="TableParagraph"/>
              <w:numPr>
                <w:ilvl w:val="0"/>
                <w:numId w:val="6"/>
              </w:numPr>
              <w:tabs>
                <w:tab w:pos="420" w:val="left" w:leader="none"/>
              </w:tabs>
              <w:spacing w:line="276" w:lineRule="auto" w:before="0" w:after="0"/>
              <w:ind w:left="420" w:right="102" w:hanging="284"/>
              <w:jc w:val="both"/>
              <w:rPr>
                <w:sz w:val="22"/>
              </w:rPr>
            </w:pPr>
            <w:r>
              <w:rPr>
                <w:sz w:val="22"/>
              </w:rPr>
              <w:t>Acuerdos o convenios de intercambio de información con la Red Nacional de Información.</w:t>
            </w:r>
          </w:p>
          <w:p>
            <w:pPr>
              <w:pStyle w:val="TableParagraph"/>
              <w:numPr>
                <w:ilvl w:val="0"/>
                <w:numId w:val="6"/>
              </w:numPr>
              <w:tabs>
                <w:tab w:pos="419" w:val="left" w:leader="none"/>
                <w:tab w:pos="420" w:val="left" w:leader="none"/>
              </w:tabs>
              <w:spacing w:line="240" w:lineRule="auto" w:before="0" w:after="0"/>
              <w:ind w:left="420" w:right="0" w:hanging="284"/>
              <w:jc w:val="left"/>
              <w:rPr>
                <w:sz w:val="22"/>
              </w:rPr>
            </w:pPr>
            <w:r>
              <w:rPr>
                <w:sz w:val="22"/>
              </w:rPr>
              <w:t>Intercambio efectivo de</w:t>
            </w:r>
            <w:r>
              <w:rPr>
                <w:spacing w:val="-6"/>
                <w:sz w:val="22"/>
              </w:rPr>
              <w:t> </w:t>
            </w:r>
            <w:r>
              <w:rPr>
                <w:sz w:val="22"/>
              </w:rPr>
              <w:t>información</w:t>
            </w:r>
          </w:p>
        </w:tc>
      </w:tr>
      <w:tr>
        <w:trPr>
          <w:trHeight w:val="829" w:hRule="exact"/>
        </w:trPr>
        <w:tc>
          <w:tcPr>
            <w:tcW w:w="4361" w:type="dxa"/>
          </w:tcPr>
          <w:p>
            <w:pPr>
              <w:pStyle w:val="TableParagraph"/>
              <w:spacing w:before="2"/>
              <w:ind w:left="103"/>
              <w:rPr>
                <w:sz w:val="22"/>
              </w:rPr>
            </w:pPr>
            <w:r>
              <w:rPr>
                <w:sz w:val="22"/>
              </w:rPr>
              <w:t>Inclusión de los Autos Sentencia T-025 de 2004</w:t>
            </w:r>
          </w:p>
        </w:tc>
        <w:tc>
          <w:tcPr>
            <w:tcW w:w="4359" w:type="dxa"/>
          </w:tcPr>
          <w:p>
            <w:pPr>
              <w:pStyle w:val="TableParagraph"/>
              <w:spacing w:line="276" w:lineRule="auto"/>
              <w:ind w:left="103" w:right="99"/>
              <w:rPr>
                <w:sz w:val="22"/>
              </w:rPr>
            </w:pPr>
            <w:r>
              <w:rPr>
                <w:sz w:val="22"/>
              </w:rPr>
              <w:t>Órdenes de informe periódico y ordenes estructurales</w:t>
            </w:r>
          </w:p>
        </w:tc>
      </w:tr>
      <w:tr>
        <w:trPr>
          <w:trHeight w:val="828" w:hRule="exact"/>
        </w:trPr>
        <w:tc>
          <w:tcPr>
            <w:tcW w:w="4361" w:type="dxa"/>
          </w:tcPr>
          <w:p>
            <w:pPr>
              <w:pStyle w:val="TableParagraph"/>
              <w:spacing w:line="268" w:lineRule="exact"/>
              <w:ind w:left="103" w:right="100"/>
              <w:rPr>
                <w:sz w:val="22"/>
              </w:rPr>
            </w:pPr>
            <w:r>
              <w:rPr>
                <w:sz w:val="22"/>
              </w:rPr>
              <w:t>Índice de Goce Efectivo de Derechos</w:t>
            </w:r>
          </w:p>
        </w:tc>
        <w:tc>
          <w:tcPr>
            <w:tcW w:w="4359" w:type="dxa"/>
          </w:tcPr>
          <w:p>
            <w:pPr>
              <w:pStyle w:val="TableParagraph"/>
              <w:spacing w:line="278" w:lineRule="auto"/>
              <w:ind w:left="103" w:right="99"/>
              <w:rPr>
                <w:sz w:val="22"/>
              </w:rPr>
            </w:pPr>
            <w:r>
              <w:rPr>
                <w:sz w:val="22"/>
              </w:rPr>
              <w:t>Resultados de la medición realizada con la batería de indicadores</w:t>
            </w:r>
          </w:p>
        </w:tc>
      </w:tr>
      <w:tr>
        <w:trPr>
          <w:trHeight w:val="1027" w:hRule="exact"/>
        </w:trPr>
        <w:tc>
          <w:tcPr>
            <w:tcW w:w="4361" w:type="dxa"/>
          </w:tcPr>
          <w:p>
            <w:pPr>
              <w:pStyle w:val="TableParagraph"/>
              <w:spacing w:line="268" w:lineRule="exact"/>
              <w:ind w:left="103" w:right="100"/>
              <w:rPr>
                <w:sz w:val="22"/>
              </w:rPr>
            </w:pPr>
            <w:r>
              <w:rPr>
                <w:sz w:val="22"/>
              </w:rPr>
              <w:t>Sentencia ejecutoriadas de Justicia y Paz</w:t>
            </w:r>
          </w:p>
        </w:tc>
        <w:tc>
          <w:tcPr>
            <w:tcW w:w="4359" w:type="dxa"/>
          </w:tcPr>
          <w:p>
            <w:pPr>
              <w:pStyle w:val="TableParagraph"/>
              <w:tabs>
                <w:tab w:pos="1283" w:val="left" w:leader="none"/>
                <w:tab w:pos="2370" w:val="left" w:leader="none"/>
                <w:tab w:pos="2809" w:val="left" w:leader="none"/>
                <w:tab w:pos="3648" w:val="left" w:leader="none"/>
                <w:tab w:pos="4087" w:val="left" w:leader="none"/>
              </w:tabs>
              <w:spacing w:line="278" w:lineRule="auto"/>
              <w:ind w:left="103" w:right="99"/>
              <w:rPr>
                <w:sz w:val="22"/>
              </w:rPr>
            </w:pPr>
            <w:r>
              <w:rPr>
                <w:sz w:val="22"/>
              </w:rPr>
              <w:t>Porcentaje</w:t>
              <w:tab/>
              <w:t>promedio</w:t>
              <w:tab/>
              <w:t>de</w:t>
              <w:tab/>
              <w:t>avance</w:t>
              <w:tab/>
              <w:t>en</w:t>
              <w:tab/>
              <w:t>el cumplimiento de todas las</w:t>
            </w:r>
            <w:r>
              <w:rPr>
                <w:spacing w:val="-10"/>
                <w:sz w:val="22"/>
              </w:rPr>
              <w:t> </w:t>
            </w:r>
            <w:r>
              <w:rPr>
                <w:sz w:val="22"/>
              </w:rPr>
              <w:t>sentencias</w:t>
            </w:r>
          </w:p>
        </w:tc>
      </w:tr>
      <w:tr>
        <w:trPr>
          <w:trHeight w:val="1028" w:hRule="exact"/>
        </w:trPr>
        <w:tc>
          <w:tcPr>
            <w:tcW w:w="4361" w:type="dxa"/>
          </w:tcPr>
          <w:p>
            <w:pPr>
              <w:pStyle w:val="TableParagraph"/>
              <w:spacing w:line="268" w:lineRule="exact"/>
              <w:ind w:left="103" w:right="100"/>
              <w:rPr>
                <w:sz w:val="22"/>
              </w:rPr>
            </w:pPr>
            <w:r>
              <w:rPr>
                <w:sz w:val="22"/>
              </w:rPr>
              <w:t>Gestión de la oferta</w:t>
            </w:r>
          </w:p>
        </w:tc>
        <w:tc>
          <w:tcPr>
            <w:tcW w:w="4359" w:type="dxa"/>
          </w:tcPr>
          <w:p>
            <w:pPr>
              <w:pStyle w:val="TableParagraph"/>
              <w:spacing w:line="278" w:lineRule="auto"/>
              <w:ind w:left="103" w:right="99"/>
              <w:rPr>
                <w:sz w:val="22"/>
              </w:rPr>
            </w:pPr>
            <w:r>
              <w:rPr>
                <w:sz w:val="22"/>
              </w:rPr>
              <w:t>Caracterización de la oferta para las víctimas en la herramienta MAARIV</w:t>
            </w:r>
          </w:p>
        </w:tc>
      </w:tr>
      <w:tr>
        <w:trPr>
          <w:trHeight w:val="2174" w:hRule="exact"/>
        </w:trPr>
        <w:tc>
          <w:tcPr>
            <w:tcW w:w="4361" w:type="dxa"/>
          </w:tcPr>
          <w:p>
            <w:pPr>
              <w:pStyle w:val="TableParagraph"/>
              <w:spacing w:line="276" w:lineRule="auto"/>
              <w:ind w:left="103" w:right="33"/>
              <w:rPr>
                <w:sz w:val="22"/>
              </w:rPr>
            </w:pPr>
            <w:r>
              <w:rPr>
                <w:sz w:val="22"/>
              </w:rPr>
              <w:t>Esfuerzo</w:t>
            </w:r>
            <w:r>
              <w:rPr>
                <w:spacing w:val="-12"/>
                <w:sz w:val="22"/>
              </w:rPr>
              <w:t> </w:t>
            </w:r>
            <w:r>
              <w:rPr>
                <w:sz w:val="22"/>
              </w:rPr>
              <w:t>de</w:t>
            </w:r>
            <w:r>
              <w:rPr>
                <w:spacing w:val="-12"/>
                <w:sz w:val="22"/>
              </w:rPr>
              <w:t> </w:t>
            </w:r>
            <w:r>
              <w:rPr>
                <w:sz w:val="22"/>
              </w:rPr>
              <w:t>la</w:t>
            </w:r>
            <w:r>
              <w:rPr>
                <w:spacing w:val="-16"/>
                <w:sz w:val="22"/>
              </w:rPr>
              <w:t> </w:t>
            </w:r>
            <w:r>
              <w:rPr>
                <w:sz w:val="22"/>
              </w:rPr>
              <w:t>entidad</w:t>
            </w:r>
            <w:r>
              <w:rPr>
                <w:spacing w:val="-14"/>
                <w:sz w:val="22"/>
              </w:rPr>
              <w:t> </w:t>
            </w:r>
            <w:r>
              <w:rPr>
                <w:sz w:val="22"/>
              </w:rPr>
              <w:t>para</w:t>
            </w:r>
            <w:r>
              <w:rPr>
                <w:spacing w:val="-18"/>
                <w:sz w:val="22"/>
              </w:rPr>
              <w:t> </w:t>
            </w:r>
            <w:r>
              <w:rPr>
                <w:sz w:val="22"/>
              </w:rPr>
              <w:t>mejorar</w:t>
            </w:r>
            <w:r>
              <w:rPr>
                <w:spacing w:val="-13"/>
                <w:sz w:val="22"/>
              </w:rPr>
              <w:t> </w:t>
            </w:r>
            <w:r>
              <w:rPr>
                <w:sz w:val="22"/>
              </w:rPr>
              <w:t>la</w:t>
            </w:r>
            <w:r>
              <w:rPr>
                <w:spacing w:val="-16"/>
                <w:sz w:val="22"/>
              </w:rPr>
              <w:t> </w:t>
            </w:r>
            <w:r>
              <w:rPr>
                <w:sz w:val="22"/>
              </w:rPr>
              <w:t>atención a la población</w:t>
            </w:r>
            <w:r>
              <w:rPr>
                <w:spacing w:val="-5"/>
                <w:sz w:val="22"/>
              </w:rPr>
              <w:t> </w:t>
            </w:r>
            <w:r>
              <w:rPr>
                <w:sz w:val="22"/>
              </w:rPr>
              <w:t>víctima.</w:t>
            </w:r>
          </w:p>
        </w:tc>
        <w:tc>
          <w:tcPr>
            <w:tcW w:w="4359" w:type="dxa"/>
          </w:tcPr>
          <w:p>
            <w:pPr>
              <w:pStyle w:val="TableParagraph"/>
              <w:numPr>
                <w:ilvl w:val="0"/>
                <w:numId w:val="7"/>
              </w:numPr>
              <w:tabs>
                <w:tab w:pos="420" w:val="left" w:leader="none"/>
              </w:tabs>
              <w:spacing w:line="273" w:lineRule="auto" w:before="0" w:after="0"/>
              <w:ind w:left="420" w:right="101" w:hanging="284"/>
              <w:jc w:val="both"/>
              <w:rPr>
                <w:sz w:val="22"/>
              </w:rPr>
            </w:pPr>
            <w:r>
              <w:rPr>
                <w:sz w:val="22"/>
              </w:rPr>
              <w:t>Participación en los Centros Regionales de Atención y Reparación a</w:t>
            </w:r>
            <w:r>
              <w:rPr>
                <w:spacing w:val="-2"/>
                <w:sz w:val="22"/>
              </w:rPr>
              <w:t> </w:t>
            </w:r>
            <w:r>
              <w:rPr>
                <w:sz w:val="22"/>
              </w:rPr>
              <w:t>Víctimas</w:t>
            </w:r>
          </w:p>
          <w:p>
            <w:pPr>
              <w:pStyle w:val="TableParagraph"/>
              <w:numPr>
                <w:ilvl w:val="0"/>
                <w:numId w:val="7"/>
              </w:numPr>
              <w:tabs>
                <w:tab w:pos="420" w:val="left" w:leader="none"/>
              </w:tabs>
              <w:spacing w:line="276" w:lineRule="auto" w:before="3" w:after="0"/>
              <w:ind w:left="420" w:right="99" w:hanging="284"/>
              <w:jc w:val="both"/>
              <w:rPr>
                <w:sz w:val="22"/>
              </w:rPr>
            </w:pPr>
            <w:r>
              <w:rPr>
                <w:sz w:val="22"/>
              </w:rPr>
              <w:t>Capacitación del talento humano asignado a la atención de la población</w:t>
            </w:r>
            <w:r>
              <w:rPr>
                <w:spacing w:val="-6"/>
                <w:sz w:val="22"/>
              </w:rPr>
              <w:t> </w:t>
            </w:r>
            <w:r>
              <w:rPr>
                <w:sz w:val="22"/>
              </w:rPr>
              <w:t>víctima.</w:t>
            </w:r>
          </w:p>
          <w:p>
            <w:pPr>
              <w:pStyle w:val="TableParagraph"/>
              <w:numPr>
                <w:ilvl w:val="0"/>
                <w:numId w:val="7"/>
              </w:numPr>
              <w:tabs>
                <w:tab w:pos="420" w:val="left" w:leader="none"/>
              </w:tabs>
              <w:spacing w:line="276" w:lineRule="auto" w:before="0" w:after="0"/>
              <w:ind w:left="420" w:right="100" w:hanging="284"/>
              <w:jc w:val="both"/>
              <w:rPr>
                <w:sz w:val="22"/>
              </w:rPr>
            </w:pPr>
            <w:r>
              <w:rPr>
                <w:sz w:val="22"/>
              </w:rPr>
              <w:t>Estrategia de comunicación y divulgación sobre</w:t>
            </w:r>
            <w:r>
              <w:rPr>
                <w:spacing w:val="-10"/>
                <w:sz w:val="22"/>
              </w:rPr>
              <w:t> </w:t>
            </w:r>
            <w:r>
              <w:rPr>
                <w:sz w:val="22"/>
              </w:rPr>
              <w:t>los</w:t>
            </w:r>
            <w:r>
              <w:rPr>
                <w:spacing w:val="-10"/>
                <w:sz w:val="22"/>
              </w:rPr>
              <w:t> </w:t>
            </w:r>
            <w:r>
              <w:rPr>
                <w:sz w:val="22"/>
              </w:rPr>
              <w:t>programas</w:t>
            </w:r>
            <w:r>
              <w:rPr>
                <w:spacing w:val="-10"/>
                <w:sz w:val="22"/>
              </w:rPr>
              <w:t> </w:t>
            </w:r>
            <w:r>
              <w:rPr>
                <w:sz w:val="22"/>
              </w:rPr>
              <w:t>y</w:t>
            </w:r>
            <w:r>
              <w:rPr>
                <w:spacing w:val="-9"/>
                <w:sz w:val="22"/>
              </w:rPr>
              <w:t> </w:t>
            </w:r>
            <w:r>
              <w:rPr>
                <w:sz w:val="22"/>
              </w:rPr>
              <w:t>proyectos</w:t>
            </w:r>
            <w:r>
              <w:rPr>
                <w:spacing w:val="-8"/>
                <w:sz w:val="22"/>
              </w:rPr>
              <w:t> </w:t>
            </w:r>
            <w:r>
              <w:rPr>
                <w:sz w:val="22"/>
              </w:rPr>
              <w:t>dirigidos</w:t>
            </w:r>
            <w:r>
              <w:rPr>
                <w:spacing w:val="-10"/>
                <w:sz w:val="22"/>
              </w:rPr>
              <w:t> </w:t>
            </w:r>
            <w:r>
              <w:rPr>
                <w:sz w:val="22"/>
              </w:rPr>
              <w:t>a la atención de la</w:t>
            </w:r>
            <w:r>
              <w:rPr>
                <w:spacing w:val="-5"/>
                <w:sz w:val="22"/>
              </w:rPr>
              <w:t> </w:t>
            </w:r>
            <w:r>
              <w:rPr>
                <w:sz w:val="22"/>
              </w:rPr>
              <w:t>población</w:t>
            </w:r>
          </w:p>
        </w:tc>
      </w:tr>
    </w:tbl>
    <w:p>
      <w:pPr>
        <w:pStyle w:val="BodyText"/>
        <w:spacing w:before="1"/>
        <w:rPr>
          <w:sz w:val="18"/>
        </w:rPr>
      </w:pPr>
    </w:p>
    <w:p>
      <w:pPr>
        <w:spacing w:line="240" w:lineRule="auto" w:before="57"/>
        <w:ind w:left="152" w:right="212" w:firstLine="0"/>
        <w:jc w:val="both"/>
        <w:rPr>
          <w:sz w:val="22"/>
        </w:rPr>
      </w:pPr>
      <w:r>
        <w:rPr>
          <w:sz w:val="22"/>
        </w:rPr>
        <w:t>Con el ánimo de verificar la aplicación y cumplimiento del procedimiento establecido para la certificación de las entidades que hacen parte del SNARIV en el nivel nacional, la Oficina de Control Interno, seleccionó una muestra aleatoria de cinco (5) entidades, partiendo del universo de treinta y seis (36) Entidades certificadas, tales entidades seleccionadas son; </w:t>
      </w:r>
      <w:r>
        <w:rPr>
          <w:b/>
          <w:sz w:val="22"/>
          <w:u w:val="single"/>
        </w:rPr>
        <w:t>Defensoría del pueblo, Banco Agrario de Colombia S.A., Registraduría Nacional del estado Civil, Ministerio de Defensa Nacional y Ministerio de Salud </w:t>
      </w:r>
      <w:r>
        <w:rPr>
          <w:sz w:val="22"/>
        </w:rPr>
        <w:t>obteniendo el siguiente resultado:</w:t>
      </w:r>
    </w:p>
    <w:p>
      <w:pPr>
        <w:pStyle w:val="BodyText"/>
        <w:spacing w:before="2"/>
        <w:rPr>
          <w:sz w:val="18"/>
        </w:rPr>
      </w:pPr>
    </w:p>
    <w:p>
      <w:pPr>
        <w:pStyle w:val="Heading1"/>
        <w:numPr>
          <w:ilvl w:val="2"/>
          <w:numId w:val="8"/>
        </w:numPr>
        <w:tabs>
          <w:tab w:pos="656" w:val="left" w:leader="none"/>
        </w:tabs>
        <w:spacing w:line="240" w:lineRule="auto" w:before="57" w:after="0"/>
        <w:ind w:left="655" w:right="0" w:hanging="503"/>
        <w:jc w:val="both"/>
      </w:pPr>
      <w:r>
        <w:rPr/>
        <w:t>DEFENSORÍA DEL</w:t>
      </w:r>
      <w:r>
        <w:rPr>
          <w:spacing w:val="-12"/>
        </w:rPr>
        <w:t> </w:t>
      </w:r>
      <w:r>
        <w:rPr/>
        <w:t>PUEBLO.</w:t>
      </w:r>
    </w:p>
    <w:p>
      <w:pPr>
        <w:pStyle w:val="BodyText"/>
        <w:rPr>
          <w:b/>
          <w:sz w:val="23"/>
        </w:rPr>
      </w:pPr>
    </w:p>
    <w:p>
      <w:pPr>
        <w:pStyle w:val="BodyText"/>
        <w:ind w:left="152" w:right="212"/>
        <w:jc w:val="both"/>
      </w:pPr>
      <w:r>
        <w:rPr/>
        <w:t>La OCI pudo constatar en los documentos ubicado en la carpeta </w:t>
      </w:r>
      <w:r>
        <w:rPr>
          <w:color w:val="001F5F"/>
        </w:rPr>
        <w:t>\\totoro\Unidad_Victimas\Dir Gestion Interinstitucional\Coordinación SNARIV\210.29 CERTIFICACIONES\210.29.1 Certificación Nacional del SNARIV\2015 Certificación 2014\Informes por entidad</w:t>
      </w:r>
      <w:r>
        <w:rPr/>
        <w:t>, reposa acta de validación de fecha 19 de octubre de 2015, por medio de la cual</w:t>
      </w:r>
      <w:r>
        <w:rPr>
          <w:spacing w:val="-3"/>
        </w:rPr>
        <w:t> </w:t>
      </w:r>
      <w:r>
        <w:rPr/>
        <w:t>se</w:t>
      </w:r>
      <w:r>
        <w:rPr>
          <w:spacing w:val="-3"/>
        </w:rPr>
        <w:t> </w:t>
      </w:r>
      <w:r>
        <w:rPr/>
        <w:t>validó</w:t>
      </w:r>
      <w:r>
        <w:rPr>
          <w:spacing w:val="-2"/>
        </w:rPr>
        <w:t> </w:t>
      </w:r>
      <w:r>
        <w:rPr/>
        <w:t>las</w:t>
      </w:r>
      <w:r>
        <w:rPr>
          <w:spacing w:val="-4"/>
        </w:rPr>
        <w:t> </w:t>
      </w:r>
      <w:r>
        <w:rPr/>
        <w:t>contribuciones</w:t>
      </w:r>
      <w:r>
        <w:rPr>
          <w:spacing w:val="-3"/>
        </w:rPr>
        <w:t> </w:t>
      </w:r>
      <w:r>
        <w:rPr/>
        <w:t>de</w:t>
      </w:r>
      <w:r>
        <w:rPr>
          <w:spacing w:val="-3"/>
        </w:rPr>
        <w:t> </w:t>
      </w:r>
      <w:r>
        <w:rPr/>
        <w:t>la</w:t>
      </w:r>
      <w:r>
        <w:rPr>
          <w:spacing w:val="-6"/>
        </w:rPr>
        <w:t> </w:t>
      </w:r>
      <w:r>
        <w:rPr/>
        <w:t>Defensoría</w:t>
      </w:r>
      <w:r>
        <w:rPr>
          <w:spacing w:val="-4"/>
        </w:rPr>
        <w:t> </w:t>
      </w:r>
      <w:r>
        <w:rPr/>
        <w:t>del</w:t>
      </w:r>
      <w:r>
        <w:rPr>
          <w:spacing w:val="-5"/>
        </w:rPr>
        <w:t> </w:t>
      </w:r>
      <w:r>
        <w:rPr/>
        <w:t>Pueblo</w:t>
      </w:r>
      <w:r>
        <w:rPr>
          <w:spacing w:val="-3"/>
        </w:rPr>
        <w:t> </w:t>
      </w:r>
      <w:r>
        <w:rPr/>
        <w:t>al</w:t>
      </w:r>
      <w:r>
        <w:rPr>
          <w:spacing w:val="-4"/>
        </w:rPr>
        <w:t> </w:t>
      </w:r>
      <w:r>
        <w:rPr/>
        <w:t>SNARIV,</w:t>
      </w:r>
      <w:r>
        <w:rPr>
          <w:spacing w:val="-3"/>
        </w:rPr>
        <w:t> </w:t>
      </w:r>
      <w:r>
        <w:rPr/>
        <w:t>frente</w:t>
      </w:r>
      <w:r>
        <w:rPr>
          <w:spacing w:val="-3"/>
        </w:rPr>
        <w:t> </w:t>
      </w:r>
      <w:r>
        <w:rPr/>
        <w:t>a</w:t>
      </w:r>
      <w:r>
        <w:rPr>
          <w:spacing w:val="-3"/>
        </w:rPr>
        <w:t> </w:t>
      </w:r>
      <w:r>
        <w:rPr/>
        <w:t>las</w:t>
      </w:r>
      <w:r>
        <w:rPr>
          <w:spacing w:val="-3"/>
        </w:rPr>
        <w:t> </w:t>
      </w:r>
      <w:r>
        <w:rPr/>
        <w:t>acciones</w:t>
      </w:r>
      <w:r>
        <w:rPr>
          <w:spacing w:val="-3"/>
        </w:rPr>
        <w:t> </w:t>
      </w:r>
      <w:r>
        <w:rPr/>
        <w:t>de</w:t>
      </w:r>
      <w:r>
        <w:rPr>
          <w:spacing w:val="-3"/>
        </w:rPr>
        <w:t> </w:t>
      </w:r>
      <w:r>
        <w:rPr/>
        <w:t>prevención,</w:t>
      </w:r>
      <w:r>
        <w:rPr>
          <w:spacing w:val="-3"/>
        </w:rPr>
        <w:t> </w:t>
      </w:r>
      <w:r>
        <w:rPr/>
        <w:t>asistencia y reparación integral a las víctimas en el marco de la ley 1448 de</w:t>
      </w:r>
      <w:r>
        <w:rPr>
          <w:spacing w:val="-19"/>
        </w:rPr>
        <w:t> </w:t>
      </w:r>
      <w:r>
        <w:rPr/>
        <w:t>2011.</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33" name="image1.png" descr=""/>
                  <wp:cNvGraphicFramePr>
                    <a:graphicFrameLocks noChangeAspect="1"/>
                  </wp:cNvGraphicFramePr>
                  <a:graphic>
                    <a:graphicData uri="http://schemas.openxmlformats.org/drawingml/2006/picture">
                      <pic:pic>
                        <pic:nvPicPr>
                          <pic:cNvPr id="3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12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152" w:right="214"/>
        <w:jc w:val="both"/>
      </w:pPr>
      <w:r>
        <w:rPr/>
        <w:t>Posteriormente se observa informe final de la evaluación a ésta entidad, el cual contiene los criterios evaluados así; acciones ejecutadas en el año 2014, enfoque diferencial, asistencia a los Subcomités, presupuesto, sistemas de información,</w:t>
      </w:r>
      <w:r>
        <w:rPr>
          <w:spacing w:val="-13"/>
        </w:rPr>
        <w:t> </w:t>
      </w:r>
      <w:r>
        <w:rPr/>
        <w:t>esfuerzo</w:t>
      </w:r>
      <w:r>
        <w:rPr>
          <w:spacing w:val="-12"/>
        </w:rPr>
        <w:t> </w:t>
      </w:r>
      <w:r>
        <w:rPr/>
        <w:t>de</w:t>
      </w:r>
      <w:r>
        <w:rPr>
          <w:spacing w:val="-12"/>
        </w:rPr>
        <w:t> </w:t>
      </w:r>
      <w:r>
        <w:rPr/>
        <w:t>la</w:t>
      </w:r>
      <w:r>
        <w:rPr>
          <w:spacing w:val="-16"/>
        </w:rPr>
        <w:t> </w:t>
      </w:r>
      <w:r>
        <w:rPr/>
        <w:t>entidad</w:t>
      </w:r>
      <w:r>
        <w:rPr>
          <w:spacing w:val="-11"/>
        </w:rPr>
        <w:t> </w:t>
      </w:r>
      <w:r>
        <w:rPr/>
        <w:t>por</w:t>
      </w:r>
      <w:r>
        <w:rPr>
          <w:spacing w:val="-15"/>
        </w:rPr>
        <w:t> </w:t>
      </w:r>
      <w:r>
        <w:rPr/>
        <w:t>mejorar</w:t>
      </w:r>
      <w:r>
        <w:rPr>
          <w:spacing w:val="-13"/>
        </w:rPr>
        <w:t> </w:t>
      </w:r>
      <w:r>
        <w:rPr/>
        <w:t>la</w:t>
      </w:r>
      <w:r>
        <w:rPr>
          <w:spacing w:val="-13"/>
        </w:rPr>
        <w:t> </w:t>
      </w:r>
      <w:r>
        <w:rPr/>
        <w:t>atención</w:t>
      </w:r>
      <w:r>
        <w:rPr>
          <w:spacing w:val="-14"/>
        </w:rPr>
        <w:t> </w:t>
      </w:r>
      <w:r>
        <w:rPr/>
        <w:t>a</w:t>
      </w:r>
      <w:r>
        <w:rPr>
          <w:spacing w:val="-11"/>
        </w:rPr>
        <w:t> </w:t>
      </w:r>
      <w:r>
        <w:rPr/>
        <w:t>las</w:t>
      </w:r>
      <w:r>
        <w:rPr>
          <w:spacing w:val="-16"/>
        </w:rPr>
        <w:t> </w:t>
      </w:r>
      <w:r>
        <w:rPr/>
        <w:t>víctimas</w:t>
      </w:r>
      <w:r>
        <w:rPr>
          <w:spacing w:val="-13"/>
        </w:rPr>
        <w:t> </w:t>
      </w:r>
      <w:r>
        <w:rPr/>
        <w:t>y</w:t>
      </w:r>
      <w:r>
        <w:rPr>
          <w:spacing w:val="-12"/>
        </w:rPr>
        <w:t> </w:t>
      </w:r>
      <w:r>
        <w:rPr/>
        <w:t>finalmente</w:t>
      </w:r>
      <w:r>
        <w:rPr>
          <w:spacing w:val="-10"/>
        </w:rPr>
        <w:t> </w:t>
      </w:r>
      <w:r>
        <w:rPr/>
        <w:t>las</w:t>
      </w:r>
      <w:r>
        <w:rPr>
          <w:spacing w:val="-13"/>
        </w:rPr>
        <w:t> </w:t>
      </w:r>
      <w:r>
        <w:rPr/>
        <w:t>recomendaciones</w:t>
      </w:r>
      <w:r>
        <w:rPr>
          <w:spacing w:val="-13"/>
        </w:rPr>
        <w:t> </w:t>
      </w:r>
      <w:r>
        <w:rPr/>
        <w:t>orientadas a la mejora continua de la</w:t>
      </w:r>
      <w:r>
        <w:rPr>
          <w:spacing w:val="-10"/>
        </w:rPr>
        <w:t> </w:t>
      </w:r>
      <w:r>
        <w:rPr/>
        <w:t>Entidad.</w:t>
      </w:r>
    </w:p>
    <w:p>
      <w:pPr>
        <w:pStyle w:val="BodyText"/>
        <w:spacing w:before="9"/>
      </w:pPr>
    </w:p>
    <w:p>
      <w:pPr>
        <w:pStyle w:val="BodyText"/>
        <w:spacing w:line="266" w:lineRule="exact"/>
        <w:ind w:left="152" w:right="218"/>
        <w:jc w:val="both"/>
      </w:pPr>
      <w:r>
        <w:rPr/>
        <w:t>En consecuencia y como resultado final de la certificación, la Unidad concluyó que la Defensoría del Pueblo se encuentra dentro del grupo de AVANCE, tal y como se observa a continuación.</w:t>
      </w:r>
    </w:p>
    <w:p>
      <w:pPr>
        <w:pStyle w:val="BodyText"/>
        <w:spacing w:before="6"/>
        <w:rPr>
          <w:sz w:val="20"/>
        </w:rPr>
      </w:pPr>
      <w:r>
        <w:rPr/>
        <w:drawing>
          <wp:anchor distT="0" distB="0" distL="0" distR="0" allowOverlap="1" layoutInCell="1" locked="0" behindDoc="0" simplePos="0" relativeHeight="1192">
            <wp:simplePos x="0" y="0"/>
            <wp:positionH relativeFrom="page">
              <wp:posOffset>2051304</wp:posOffset>
            </wp:positionH>
            <wp:positionV relativeFrom="paragraph">
              <wp:posOffset>183896</wp:posOffset>
            </wp:positionV>
            <wp:extent cx="3674671" cy="2886360"/>
            <wp:effectExtent l="0" t="0" r="0" b="0"/>
            <wp:wrapTopAndBottom/>
            <wp:docPr id="35" name="image7.jpeg" descr=""/>
            <wp:cNvGraphicFramePr>
              <a:graphicFrameLocks noChangeAspect="1"/>
            </wp:cNvGraphicFramePr>
            <a:graphic>
              <a:graphicData uri="http://schemas.openxmlformats.org/drawingml/2006/picture">
                <pic:pic>
                  <pic:nvPicPr>
                    <pic:cNvPr id="36" name="image7.jpeg"/>
                    <pic:cNvPicPr/>
                  </pic:nvPicPr>
                  <pic:blipFill>
                    <a:blip r:embed="rId22" cstate="print"/>
                    <a:stretch>
                      <a:fillRect/>
                    </a:stretch>
                  </pic:blipFill>
                  <pic:spPr>
                    <a:xfrm>
                      <a:off x="0" y="0"/>
                      <a:ext cx="3674671" cy="2886360"/>
                    </a:xfrm>
                    <a:prstGeom prst="rect">
                      <a:avLst/>
                    </a:prstGeom>
                  </pic:spPr>
                </pic:pic>
              </a:graphicData>
            </a:graphic>
          </wp:anchor>
        </w:drawing>
      </w:r>
    </w:p>
    <w:p>
      <w:pPr>
        <w:pStyle w:val="BodyText"/>
        <w:spacing w:before="9"/>
        <w:rPr>
          <w:sz w:val="16"/>
        </w:rPr>
      </w:pPr>
    </w:p>
    <w:p>
      <w:pPr>
        <w:pStyle w:val="Heading1"/>
        <w:numPr>
          <w:ilvl w:val="2"/>
          <w:numId w:val="8"/>
        </w:numPr>
        <w:tabs>
          <w:tab w:pos="654" w:val="left" w:leader="none"/>
        </w:tabs>
        <w:spacing w:line="240" w:lineRule="auto" w:before="0" w:after="0"/>
        <w:ind w:left="653" w:right="0" w:hanging="501"/>
        <w:jc w:val="both"/>
      </w:pPr>
      <w:r>
        <w:rPr/>
        <w:t>BANCO AGRARIO DE</w:t>
      </w:r>
      <w:r>
        <w:rPr>
          <w:spacing w:val="-11"/>
        </w:rPr>
        <w:t> </w:t>
      </w:r>
      <w:r>
        <w:rPr/>
        <w:t>COLOMBIA.</w:t>
      </w:r>
    </w:p>
    <w:p>
      <w:pPr>
        <w:pStyle w:val="BodyText"/>
        <w:spacing w:before="10"/>
        <w:rPr>
          <w:b/>
        </w:rPr>
      </w:pPr>
    </w:p>
    <w:p>
      <w:pPr>
        <w:pStyle w:val="BodyText"/>
        <w:ind w:left="152" w:right="210"/>
        <w:jc w:val="both"/>
      </w:pPr>
      <w:r>
        <w:rPr/>
        <w:t>La OCI pudo constatar verificó en los documentos ubicado en la carpeta </w:t>
      </w:r>
      <w:r>
        <w:rPr>
          <w:color w:val="001F5F"/>
        </w:rPr>
        <w:t>\\totoro\Unidad_Victimas\Dir Gestion Interinstitucional\Coordinación SNARIV\210.29 CERTIFICACIONES\210.29.1 Certificación Nacional del SNARIV\2015 Certificación</w:t>
      </w:r>
      <w:r>
        <w:rPr>
          <w:color w:val="001F5F"/>
          <w:spacing w:val="-7"/>
        </w:rPr>
        <w:t> </w:t>
      </w:r>
      <w:r>
        <w:rPr>
          <w:color w:val="001F5F"/>
        </w:rPr>
        <w:t>2014\Informes</w:t>
      </w:r>
      <w:r>
        <w:rPr>
          <w:color w:val="001F5F"/>
          <w:spacing w:val="-4"/>
        </w:rPr>
        <w:t> </w:t>
      </w:r>
      <w:r>
        <w:rPr>
          <w:color w:val="001F5F"/>
        </w:rPr>
        <w:t>por</w:t>
      </w:r>
      <w:r>
        <w:rPr>
          <w:color w:val="001F5F"/>
          <w:spacing w:val="-7"/>
        </w:rPr>
        <w:t> </w:t>
      </w:r>
      <w:r>
        <w:rPr>
          <w:color w:val="001F5F"/>
        </w:rPr>
        <w:t>entidad</w:t>
      </w:r>
      <w:r>
        <w:rPr/>
        <w:t>,</w:t>
      </w:r>
      <w:r>
        <w:rPr>
          <w:spacing w:val="-6"/>
        </w:rPr>
        <w:t> </w:t>
      </w:r>
      <w:r>
        <w:rPr/>
        <w:t>expediente</w:t>
      </w:r>
      <w:r>
        <w:rPr>
          <w:spacing w:val="-6"/>
        </w:rPr>
        <w:t> </w:t>
      </w:r>
      <w:r>
        <w:rPr/>
        <w:t>correspondiente</w:t>
      </w:r>
      <w:r>
        <w:rPr>
          <w:spacing w:val="-6"/>
        </w:rPr>
        <w:t> </w:t>
      </w:r>
      <w:r>
        <w:rPr/>
        <w:t>al</w:t>
      </w:r>
      <w:r>
        <w:rPr>
          <w:spacing w:val="-5"/>
        </w:rPr>
        <w:t> </w:t>
      </w:r>
      <w:r>
        <w:rPr/>
        <w:t>proceso</w:t>
      </w:r>
      <w:r>
        <w:rPr>
          <w:spacing w:val="-8"/>
        </w:rPr>
        <w:t> </w:t>
      </w:r>
      <w:r>
        <w:rPr/>
        <w:t>de</w:t>
      </w:r>
      <w:r>
        <w:rPr>
          <w:spacing w:val="-4"/>
        </w:rPr>
        <w:t> </w:t>
      </w:r>
      <w:r>
        <w:rPr/>
        <w:t>certificación</w:t>
      </w:r>
      <w:r>
        <w:rPr>
          <w:spacing w:val="-5"/>
        </w:rPr>
        <w:t> </w:t>
      </w:r>
      <w:r>
        <w:rPr/>
        <w:t>del</w:t>
      </w:r>
      <w:r>
        <w:rPr>
          <w:spacing w:val="-7"/>
        </w:rPr>
        <w:t> </w:t>
      </w:r>
      <w:r>
        <w:rPr/>
        <w:t>Banco</w:t>
      </w:r>
      <w:r>
        <w:rPr>
          <w:spacing w:val="-5"/>
        </w:rPr>
        <w:t> </w:t>
      </w:r>
      <w:r>
        <w:rPr/>
        <w:t>Agrario</w:t>
      </w:r>
      <w:r>
        <w:rPr>
          <w:spacing w:val="-4"/>
        </w:rPr>
        <w:t> </w:t>
      </w:r>
      <w:r>
        <w:rPr/>
        <w:t>de Colombia, en donde se observaron diferentes documentos de trabajo tales como el acta de validación de la metodología utilizada por la Unidad para la</w:t>
      </w:r>
      <w:r>
        <w:rPr>
          <w:spacing w:val="-12"/>
        </w:rPr>
        <w:t> </w:t>
      </w:r>
      <w:r>
        <w:rPr/>
        <w:t>certificación.</w:t>
      </w:r>
    </w:p>
    <w:p>
      <w:pPr>
        <w:pStyle w:val="BodyText"/>
        <w:spacing w:before="10"/>
      </w:pPr>
    </w:p>
    <w:p>
      <w:pPr>
        <w:pStyle w:val="BodyText"/>
        <w:ind w:left="152" w:right="211"/>
        <w:jc w:val="both"/>
      </w:pPr>
      <w:r>
        <w:rPr/>
        <w:t>Como</w:t>
      </w:r>
      <w:r>
        <w:rPr>
          <w:spacing w:val="-13"/>
        </w:rPr>
        <w:t> </w:t>
      </w:r>
      <w:r>
        <w:rPr/>
        <w:t>es</w:t>
      </w:r>
      <w:r>
        <w:rPr>
          <w:spacing w:val="-10"/>
        </w:rPr>
        <w:t> </w:t>
      </w:r>
      <w:r>
        <w:rPr/>
        <w:t>indicado</w:t>
      </w:r>
      <w:r>
        <w:rPr>
          <w:spacing w:val="-10"/>
        </w:rPr>
        <w:t> </w:t>
      </w:r>
      <w:r>
        <w:rPr/>
        <w:t>por</w:t>
      </w:r>
      <w:r>
        <w:rPr>
          <w:spacing w:val="-14"/>
        </w:rPr>
        <w:t> </w:t>
      </w:r>
      <w:r>
        <w:rPr/>
        <w:t>el</w:t>
      </w:r>
      <w:r>
        <w:rPr>
          <w:spacing w:val="-11"/>
        </w:rPr>
        <w:t> </w:t>
      </w:r>
      <w:r>
        <w:rPr/>
        <w:t>informe</w:t>
      </w:r>
      <w:r>
        <w:rPr>
          <w:spacing w:val="-11"/>
        </w:rPr>
        <w:t> </w:t>
      </w:r>
      <w:r>
        <w:rPr/>
        <w:t>final</w:t>
      </w:r>
      <w:r>
        <w:rPr>
          <w:spacing w:val="-12"/>
        </w:rPr>
        <w:t> </w:t>
      </w:r>
      <w:r>
        <w:rPr/>
        <w:t>de</w:t>
      </w:r>
      <w:r>
        <w:rPr>
          <w:spacing w:val="-13"/>
        </w:rPr>
        <w:t> </w:t>
      </w:r>
      <w:r>
        <w:rPr/>
        <w:t>la</w:t>
      </w:r>
      <w:r>
        <w:rPr>
          <w:spacing w:val="-12"/>
        </w:rPr>
        <w:t> </w:t>
      </w:r>
      <w:r>
        <w:rPr/>
        <w:t>certificación</w:t>
      </w:r>
      <w:r>
        <w:rPr>
          <w:spacing w:val="-12"/>
        </w:rPr>
        <w:t> </w:t>
      </w:r>
      <w:r>
        <w:rPr/>
        <w:t>para</w:t>
      </w:r>
      <w:r>
        <w:rPr>
          <w:spacing w:val="-12"/>
        </w:rPr>
        <w:t> </w:t>
      </w:r>
      <w:r>
        <w:rPr/>
        <w:t>ésta</w:t>
      </w:r>
      <w:r>
        <w:rPr>
          <w:spacing w:val="-14"/>
        </w:rPr>
        <w:t> </w:t>
      </w:r>
      <w:r>
        <w:rPr/>
        <w:t>Entidad,</w:t>
      </w:r>
      <w:r>
        <w:rPr>
          <w:spacing w:val="-11"/>
        </w:rPr>
        <w:t> </w:t>
      </w:r>
      <w:r>
        <w:rPr/>
        <w:t>se</w:t>
      </w:r>
      <w:r>
        <w:rPr>
          <w:spacing w:val="-11"/>
        </w:rPr>
        <w:t> </w:t>
      </w:r>
      <w:r>
        <w:rPr/>
        <w:t>verificó</w:t>
      </w:r>
      <w:r>
        <w:rPr>
          <w:spacing w:val="-11"/>
        </w:rPr>
        <w:t> </w:t>
      </w:r>
      <w:r>
        <w:rPr/>
        <w:t>el</w:t>
      </w:r>
      <w:r>
        <w:rPr>
          <w:spacing w:val="-14"/>
        </w:rPr>
        <w:t> </w:t>
      </w:r>
      <w:r>
        <w:rPr/>
        <w:t>cumplimiento</w:t>
      </w:r>
      <w:r>
        <w:rPr>
          <w:spacing w:val="-10"/>
        </w:rPr>
        <w:t> </w:t>
      </w:r>
      <w:r>
        <w:rPr/>
        <w:t>de</w:t>
      </w:r>
      <w:r>
        <w:rPr>
          <w:spacing w:val="-11"/>
        </w:rPr>
        <w:t> </w:t>
      </w:r>
      <w:r>
        <w:rPr/>
        <w:t>los</w:t>
      </w:r>
      <w:r>
        <w:rPr>
          <w:spacing w:val="-11"/>
        </w:rPr>
        <w:t> </w:t>
      </w:r>
      <w:r>
        <w:rPr/>
        <w:t>elementos de</w:t>
      </w:r>
      <w:r>
        <w:rPr>
          <w:spacing w:val="-13"/>
        </w:rPr>
        <w:t> </w:t>
      </w:r>
      <w:r>
        <w:rPr/>
        <w:t>calificación;</w:t>
      </w:r>
      <w:r>
        <w:rPr>
          <w:spacing w:val="-13"/>
        </w:rPr>
        <w:t> </w:t>
      </w:r>
      <w:r>
        <w:rPr/>
        <w:t>acciones</w:t>
      </w:r>
      <w:r>
        <w:rPr>
          <w:spacing w:val="-14"/>
        </w:rPr>
        <w:t> </w:t>
      </w:r>
      <w:r>
        <w:rPr/>
        <w:t>ejecutadas</w:t>
      </w:r>
      <w:r>
        <w:rPr>
          <w:spacing w:val="-14"/>
        </w:rPr>
        <w:t> </w:t>
      </w:r>
      <w:r>
        <w:rPr/>
        <w:t>por</w:t>
      </w:r>
      <w:r>
        <w:rPr>
          <w:spacing w:val="-16"/>
        </w:rPr>
        <w:t> </w:t>
      </w:r>
      <w:r>
        <w:rPr/>
        <w:t>el</w:t>
      </w:r>
      <w:r>
        <w:rPr>
          <w:spacing w:val="-14"/>
        </w:rPr>
        <w:t> </w:t>
      </w:r>
      <w:r>
        <w:rPr/>
        <w:t>Banco</w:t>
      </w:r>
      <w:r>
        <w:rPr>
          <w:spacing w:val="-13"/>
        </w:rPr>
        <w:t> </w:t>
      </w:r>
      <w:r>
        <w:rPr/>
        <w:t>Agrario</w:t>
      </w:r>
      <w:r>
        <w:rPr>
          <w:spacing w:val="-13"/>
        </w:rPr>
        <w:t> </w:t>
      </w:r>
      <w:r>
        <w:rPr/>
        <w:t>durante</w:t>
      </w:r>
      <w:r>
        <w:rPr>
          <w:spacing w:val="-13"/>
        </w:rPr>
        <w:t> </w:t>
      </w:r>
      <w:r>
        <w:rPr/>
        <w:t>el</w:t>
      </w:r>
      <w:r>
        <w:rPr>
          <w:spacing w:val="-16"/>
        </w:rPr>
        <w:t> </w:t>
      </w:r>
      <w:r>
        <w:rPr/>
        <w:t>año</w:t>
      </w:r>
      <w:r>
        <w:rPr>
          <w:spacing w:val="-15"/>
        </w:rPr>
        <w:t> </w:t>
      </w:r>
      <w:r>
        <w:rPr/>
        <w:t>2014,</w:t>
      </w:r>
      <w:r>
        <w:rPr>
          <w:spacing w:val="-16"/>
        </w:rPr>
        <w:t> </w:t>
      </w:r>
      <w:r>
        <w:rPr/>
        <w:t>asistencia</w:t>
      </w:r>
      <w:r>
        <w:rPr>
          <w:spacing w:val="-15"/>
        </w:rPr>
        <w:t> </w:t>
      </w:r>
      <w:r>
        <w:rPr/>
        <w:t>a</w:t>
      </w:r>
      <w:r>
        <w:rPr>
          <w:spacing w:val="-14"/>
        </w:rPr>
        <w:t> </w:t>
      </w:r>
      <w:r>
        <w:rPr/>
        <w:t>los</w:t>
      </w:r>
      <w:r>
        <w:rPr>
          <w:spacing w:val="-14"/>
        </w:rPr>
        <w:t> </w:t>
      </w:r>
      <w:r>
        <w:rPr/>
        <w:t>subcomités,</w:t>
      </w:r>
      <w:r>
        <w:rPr>
          <w:spacing w:val="-14"/>
        </w:rPr>
        <w:t> </w:t>
      </w:r>
      <w:r>
        <w:rPr/>
        <w:t>presupuesto, sentencias</w:t>
      </w:r>
      <w:r>
        <w:rPr>
          <w:spacing w:val="-9"/>
        </w:rPr>
        <w:t> </w:t>
      </w:r>
      <w:r>
        <w:rPr/>
        <w:t>ejecutoriadas</w:t>
      </w:r>
      <w:r>
        <w:rPr>
          <w:spacing w:val="-7"/>
        </w:rPr>
        <w:t> </w:t>
      </w:r>
      <w:r>
        <w:rPr/>
        <w:t>de</w:t>
      </w:r>
      <w:r>
        <w:rPr>
          <w:spacing w:val="-6"/>
        </w:rPr>
        <w:t> </w:t>
      </w:r>
      <w:r>
        <w:rPr/>
        <w:t>justicia</w:t>
      </w:r>
      <w:r>
        <w:rPr>
          <w:spacing w:val="-9"/>
        </w:rPr>
        <w:t> </w:t>
      </w:r>
      <w:r>
        <w:rPr/>
        <w:t>y</w:t>
      </w:r>
      <w:r>
        <w:rPr>
          <w:spacing w:val="-6"/>
        </w:rPr>
        <w:t> </w:t>
      </w:r>
      <w:r>
        <w:rPr/>
        <w:t>paz,</w:t>
      </w:r>
      <w:r>
        <w:rPr>
          <w:spacing w:val="-9"/>
        </w:rPr>
        <w:t> </w:t>
      </w:r>
      <w:r>
        <w:rPr/>
        <w:t>caracterización</w:t>
      </w:r>
      <w:r>
        <w:rPr>
          <w:spacing w:val="-7"/>
        </w:rPr>
        <w:t> </w:t>
      </w:r>
      <w:r>
        <w:rPr/>
        <w:t>de</w:t>
      </w:r>
      <w:r>
        <w:rPr>
          <w:spacing w:val="-6"/>
        </w:rPr>
        <w:t> </w:t>
      </w:r>
      <w:r>
        <w:rPr/>
        <w:t>la</w:t>
      </w:r>
      <w:r>
        <w:rPr>
          <w:spacing w:val="-9"/>
        </w:rPr>
        <w:t> </w:t>
      </w:r>
      <w:r>
        <w:rPr/>
        <w:t>oferta,</w:t>
      </w:r>
      <w:r>
        <w:rPr>
          <w:spacing w:val="-9"/>
        </w:rPr>
        <w:t> </w:t>
      </w:r>
      <w:r>
        <w:rPr/>
        <w:t>sistemas</w:t>
      </w:r>
      <w:r>
        <w:rPr>
          <w:spacing w:val="-7"/>
        </w:rPr>
        <w:t> </w:t>
      </w:r>
      <w:r>
        <w:rPr/>
        <w:t>de</w:t>
      </w:r>
      <w:r>
        <w:rPr>
          <w:spacing w:val="-6"/>
        </w:rPr>
        <w:t> </w:t>
      </w:r>
      <w:r>
        <w:rPr/>
        <w:t>información,</w:t>
      </w:r>
      <w:r>
        <w:rPr>
          <w:spacing w:val="-9"/>
        </w:rPr>
        <w:t> </w:t>
      </w:r>
      <w:r>
        <w:rPr/>
        <w:t>esfuerzo</w:t>
      </w:r>
      <w:r>
        <w:rPr>
          <w:spacing w:val="-5"/>
        </w:rPr>
        <w:t> </w:t>
      </w:r>
      <w:r>
        <w:rPr/>
        <w:t>de</w:t>
      </w:r>
      <w:r>
        <w:rPr>
          <w:spacing w:val="-8"/>
        </w:rPr>
        <w:t> </w:t>
      </w:r>
      <w:r>
        <w:rPr/>
        <w:t>la</w:t>
      </w:r>
      <w:r>
        <w:rPr>
          <w:spacing w:val="-7"/>
        </w:rPr>
        <w:t> </w:t>
      </w:r>
      <w:r>
        <w:rPr/>
        <w:t>entidad para mejorar la atención a las víctimas y finalmente las recomendaciones orientadas a la mejora</w:t>
      </w:r>
      <w:r>
        <w:rPr>
          <w:spacing w:val="-24"/>
        </w:rPr>
        <w:t> </w:t>
      </w:r>
      <w:r>
        <w:rPr/>
        <w:t>continua.</w:t>
      </w:r>
    </w:p>
    <w:p>
      <w:pPr>
        <w:pStyle w:val="BodyText"/>
        <w:rPr>
          <w:sz w:val="23"/>
        </w:rPr>
      </w:pPr>
    </w:p>
    <w:p>
      <w:pPr>
        <w:pStyle w:val="BodyText"/>
        <w:ind w:left="152" w:right="217"/>
        <w:jc w:val="both"/>
      </w:pPr>
      <w:r>
        <w:rPr/>
        <w:t>El resultado final de la calificación para el Banco Agrario, en cumplimiento de los criterios a certificar corresponde al grupo de AVANCE, como se observa en la certificación final.</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37" name="image1.png" descr=""/>
                  <wp:cNvGraphicFramePr>
                    <a:graphicFrameLocks noChangeAspect="1"/>
                  </wp:cNvGraphicFramePr>
                  <a:graphic>
                    <a:graphicData uri="http://schemas.openxmlformats.org/drawingml/2006/picture">
                      <pic:pic>
                        <pic:nvPicPr>
                          <pic:cNvPr id="3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13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sz w:val="11"/>
        </w:rPr>
      </w:pPr>
      <w:r>
        <w:rPr/>
        <w:drawing>
          <wp:anchor distT="0" distB="0" distL="0" distR="0" allowOverlap="1" layoutInCell="1" locked="0" behindDoc="0" simplePos="0" relativeHeight="1216">
            <wp:simplePos x="0" y="0"/>
            <wp:positionH relativeFrom="page">
              <wp:posOffset>2078735</wp:posOffset>
            </wp:positionH>
            <wp:positionV relativeFrom="paragraph">
              <wp:posOffset>114045</wp:posOffset>
            </wp:positionV>
            <wp:extent cx="3555075" cy="2720721"/>
            <wp:effectExtent l="0" t="0" r="0" b="0"/>
            <wp:wrapTopAndBottom/>
            <wp:docPr id="39" name="image8.png" descr=""/>
            <wp:cNvGraphicFramePr>
              <a:graphicFrameLocks noChangeAspect="1"/>
            </wp:cNvGraphicFramePr>
            <a:graphic>
              <a:graphicData uri="http://schemas.openxmlformats.org/drawingml/2006/picture">
                <pic:pic>
                  <pic:nvPicPr>
                    <pic:cNvPr id="40" name="image8.png"/>
                    <pic:cNvPicPr/>
                  </pic:nvPicPr>
                  <pic:blipFill>
                    <a:blip r:embed="rId23" cstate="print"/>
                    <a:stretch>
                      <a:fillRect/>
                    </a:stretch>
                  </pic:blipFill>
                  <pic:spPr>
                    <a:xfrm>
                      <a:off x="0" y="0"/>
                      <a:ext cx="3555075" cy="2720721"/>
                    </a:xfrm>
                    <a:prstGeom prst="rect">
                      <a:avLst/>
                    </a:prstGeom>
                  </pic:spPr>
                </pic:pic>
              </a:graphicData>
            </a:graphic>
          </wp:anchor>
        </w:drawing>
      </w:r>
    </w:p>
    <w:p>
      <w:pPr>
        <w:pStyle w:val="BodyText"/>
        <w:spacing w:before="9"/>
        <w:rPr>
          <w:sz w:val="18"/>
        </w:rPr>
      </w:pPr>
    </w:p>
    <w:p>
      <w:pPr>
        <w:pStyle w:val="Heading1"/>
        <w:numPr>
          <w:ilvl w:val="2"/>
          <w:numId w:val="8"/>
        </w:numPr>
        <w:tabs>
          <w:tab w:pos="656" w:val="left" w:leader="none"/>
        </w:tabs>
        <w:spacing w:line="240" w:lineRule="auto" w:before="56" w:after="0"/>
        <w:ind w:left="655" w:right="0" w:hanging="503"/>
        <w:jc w:val="both"/>
      </w:pPr>
      <w:r>
        <w:rPr/>
        <w:t>REGISTRADURÍA NACIONAL DEL ESTADO</w:t>
      </w:r>
      <w:r>
        <w:rPr>
          <w:spacing w:val="-19"/>
        </w:rPr>
        <w:t> </w:t>
      </w:r>
      <w:r>
        <w:rPr/>
        <w:t>CIVIL.</w:t>
      </w:r>
    </w:p>
    <w:p>
      <w:pPr>
        <w:pStyle w:val="BodyText"/>
        <w:spacing w:before="10"/>
        <w:rPr>
          <w:b/>
        </w:rPr>
      </w:pPr>
    </w:p>
    <w:p>
      <w:pPr>
        <w:pStyle w:val="BodyText"/>
        <w:ind w:left="152" w:right="212"/>
        <w:jc w:val="both"/>
      </w:pPr>
      <w:r>
        <w:rPr/>
        <w:t>La OCI pudo constatar en los documentos ubicado en la carpeta </w:t>
      </w:r>
      <w:r>
        <w:rPr>
          <w:color w:val="001F5F"/>
        </w:rPr>
        <w:t>\\totoro\Unidad_Victimas\Dir Gestion Interinstitucional\Coordinación SNARIV\210.29 CERTIFICACIONES\210.29.1 Certificación Nacional del SNARIV\2015 Certificación 2014\Informes por entidad</w:t>
      </w:r>
      <w:r>
        <w:rPr/>
        <w:t>, expediente correspondiente al proceso de certificación de la Registraduría Nacional del Estado Civil, en donde se observaron diferentes documentos de trabajo tales como el acta de validación de la metodología utilizada por la Unidad para la certificación de fecha 22 de junio de 2015, en dicho documento se establecieron los siguientes criterios a certificar así:</w:t>
      </w:r>
    </w:p>
    <w:p>
      <w:pPr>
        <w:pStyle w:val="BodyText"/>
        <w:spacing w:before="11"/>
        <w:rPr>
          <w:sz w:val="19"/>
        </w:rPr>
      </w:pPr>
      <w:r>
        <w:rPr/>
        <w:pict>
          <v:group style="position:absolute;margin-left:136.080002pt;margin-top:14.135899pt;width:336.75pt;height:180.4pt;mso-position-horizontal-relative:page;mso-position-vertical-relative:paragraph;z-index:1240;mso-wrap-distance-left:0;mso-wrap-distance-right:0" coordorigin="2722,283" coordsize="6735,3608">
            <v:shape style="position:absolute;left:2722;top:283;width:6734;height:3480" type="#_x0000_t75" stroked="false">
              <v:imagedata r:id="rId24" o:title=""/>
            </v:shape>
            <v:shape style="position:absolute;left:2956;top:1234;width:5086;height:2640" coordorigin="2956,1234" coordsize="5086,2640" path="m2956,1674l2961,1603,2978,1535,3005,1472,3040,1414,3084,1363,3136,1319,3193,1283,3257,1257,3324,1240,3396,1234,7601,1234,7673,1240,7740,1257,7803,1283,7861,1319,7912,1363,7956,1414,7992,1472,8019,1535,8035,1603,8041,1674,8041,3434,8035,3506,8019,3573,7992,3637,7956,3694,7912,3745,7861,3789,7803,3825,7740,3852,7673,3869,7601,3874,3396,3874,3324,3869,3257,3852,3193,3825,3136,3789,3084,3745,3040,3694,3005,3637,2978,3573,2961,3506,2956,3434,2956,1674xe" filled="false" stroked="true" strokeweight="1.56pt" strokecolor="#c00000">
              <v:path arrowok="t"/>
            </v:shape>
            <w10:wrap type="topAndBottom"/>
          </v:group>
        </w:pict>
      </w:r>
    </w:p>
    <w:p>
      <w:pPr>
        <w:pStyle w:val="BodyText"/>
      </w:pPr>
    </w:p>
    <w:p>
      <w:pPr>
        <w:pStyle w:val="BodyText"/>
        <w:spacing w:before="11"/>
        <w:rPr>
          <w:sz w:val="32"/>
        </w:rPr>
      </w:pPr>
    </w:p>
    <w:p>
      <w:pPr>
        <w:pStyle w:val="BodyText"/>
        <w:ind w:left="152" w:right="211" w:firstLine="50"/>
        <w:jc w:val="both"/>
      </w:pPr>
      <w:r>
        <w:rPr/>
        <w:t>Al cotejar con los criterios mencionados en el informe final de certificación, se evidencian diferencias en los mismos, dado</w:t>
      </w:r>
      <w:r>
        <w:rPr>
          <w:spacing w:val="-9"/>
        </w:rPr>
        <w:t> </w:t>
      </w:r>
      <w:r>
        <w:rPr/>
        <w:t>que</w:t>
      </w:r>
      <w:r>
        <w:rPr>
          <w:spacing w:val="-12"/>
        </w:rPr>
        <w:t> </w:t>
      </w:r>
      <w:r>
        <w:rPr/>
        <w:t>en</w:t>
      </w:r>
      <w:r>
        <w:rPr>
          <w:spacing w:val="-13"/>
        </w:rPr>
        <w:t> </w:t>
      </w:r>
      <w:r>
        <w:rPr/>
        <w:t>el</w:t>
      </w:r>
      <w:r>
        <w:rPr>
          <w:spacing w:val="-13"/>
        </w:rPr>
        <w:t> </w:t>
      </w:r>
      <w:r>
        <w:rPr/>
        <w:t>acta</w:t>
      </w:r>
      <w:r>
        <w:rPr>
          <w:spacing w:val="-12"/>
        </w:rPr>
        <w:t> </w:t>
      </w:r>
      <w:r>
        <w:rPr/>
        <w:t>de</w:t>
      </w:r>
      <w:r>
        <w:rPr>
          <w:spacing w:val="-12"/>
        </w:rPr>
        <w:t> </w:t>
      </w:r>
      <w:r>
        <w:rPr/>
        <w:t>validación</w:t>
      </w:r>
      <w:r>
        <w:rPr>
          <w:spacing w:val="-11"/>
        </w:rPr>
        <w:t> </w:t>
      </w:r>
      <w:r>
        <w:rPr/>
        <w:t>referida,</w:t>
      </w:r>
      <w:r>
        <w:rPr>
          <w:spacing w:val="-13"/>
        </w:rPr>
        <w:t> </w:t>
      </w:r>
      <w:r>
        <w:rPr/>
        <w:t>la</w:t>
      </w:r>
      <w:r>
        <w:rPr>
          <w:spacing w:val="-13"/>
        </w:rPr>
        <w:t> </w:t>
      </w:r>
      <w:r>
        <w:rPr/>
        <w:t>cual</w:t>
      </w:r>
      <w:r>
        <w:rPr>
          <w:spacing w:val="-13"/>
        </w:rPr>
        <w:t> </w:t>
      </w:r>
      <w:r>
        <w:rPr/>
        <w:t>se</w:t>
      </w:r>
      <w:r>
        <w:rPr>
          <w:spacing w:val="-12"/>
        </w:rPr>
        <w:t> </w:t>
      </w:r>
      <w:r>
        <w:rPr/>
        <w:t>encuentra</w:t>
      </w:r>
      <w:r>
        <w:rPr>
          <w:spacing w:val="-10"/>
        </w:rPr>
        <w:t> </w:t>
      </w:r>
      <w:r>
        <w:rPr/>
        <w:t>firmada</w:t>
      </w:r>
      <w:r>
        <w:rPr>
          <w:spacing w:val="-13"/>
        </w:rPr>
        <w:t> </w:t>
      </w:r>
      <w:r>
        <w:rPr/>
        <w:t>y</w:t>
      </w:r>
      <w:r>
        <w:rPr>
          <w:spacing w:val="-14"/>
        </w:rPr>
        <w:t> </w:t>
      </w:r>
      <w:r>
        <w:rPr/>
        <w:t>validada</w:t>
      </w:r>
      <w:r>
        <w:rPr>
          <w:spacing w:val="-13"/>
        </w:rPr>
        <w:t> </w:t>
      </w:r>
      <w:r>
        <w:rPr/>
        <w:t>por</w:t>
      </w:r>
      <w:r>
        <w:rPr>
          <w:spacing w:val="-11"/>
        </w:rPr>
        <w:t> </w:t>
      </w:r>
      <w:r>
        <w:rPr/>
        <w:t>funcionarios</w:t>
      </w:r>
      <w:r>
        <w:rPr>
          <w:spacing w:val="-10"/>
        </w:rPr>
        <w:t> </w:t>
      </w:r>
      <w:r>
        <w:rPr/>
        <w:t>de</w:t>
      </w:r>
      <w:r>
        <w:rPr>
          <w:spacing w:val="-12"/>
        </w:rPr>
        <w:t> </w:t>
      </w:r>
      <w:r>
        <w:rPr/>
        <w:t>las</w:t>
      </w:r>
      <w:r>
        <w:rPr>
          <w:spacing w:val="-13"/>
        </w:rPr>
        <w:t> </w:t>
      </w:r>
      <w:r>
        <w:rPr/>
        <w:t>dos</w:t>
      </w:r>
      <w:r>
        <w:rPr>
          <w:spacing w:val="-15"/>
        </w:rPr>
        <w:t> </w:t>
      </w:r>
      <w:r>
        <w:rPr/>
        <w:t>entidades</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41" name="image1.png" descr=""/>
                  <wp:cNvGraphicFramePr>
                    <a:graphicFrameLocks noChangeAspect="1"/>
                  </wp:cNvGraphicFramePr>
                  <a:graphic>
                    <a:graphicData uri="http://schemas.openxmlformats.org/drawingml/2006/picture">
                      <pic:pic>
                        <pic:nvPicPr>
                          <pic:cNvPr id="4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14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152" w:right="218"/>
        <w:jc w:val="both"/>
      </w:pPr>
      <w:r>
        <w:rPr/>
        <w:t>participantes (UARIV y REGISTRADURÍA), se observan los criterios arriba señalados; mientras que en el informe final resultante de la certificación se observan como criterios los siguientes:</w:t>
      </w:r>
    </w:p>
    <w:p>
      <w:pPr>
        <w:pStyle w:val="BodyText"/>
        <w:rPr>
          <w:sz w:val="23"/>
        </w:rPr>
      </w:pPr>
    </w:p>
    <w:p>
      <w:pPr>
        <w:pStyle w:val="ListParagraph"/>
        <w:numPr>
          <w:ilvl w:val="3"/>
          <w:numId w:val="8"/>
        </w:numPr>
        <w:tabs>
          <w:tab w:pos="1233" w:val="left" w:leader="none"/>
        </w:tabs>
        <w:spacing w:line="240" w:lineRule="auto" w:before="0" w:after="0"/>
        <w:ind w:left="1232" w:right="0" w:hanging="360"/>
        <w:jc w:val="left"/>
        <w:rPr>
          <w:sz w:val="22"/>
        </w:rPr>
      </w:pPr>
      <w:r>
        <w:rPr>
          <w:sz w:val="22"/>
        </w:rPr>
        <w:t>Acciones ejecutadas por la Registraduría durante el</w:t>
      </w:r>
      <w:r>
        <w:rPr>
          <w:spacing w:val="-9"/>
          <w:sz w:val="22"/>
        </w:rPr>
        <w:t> </w:t>
      </w:r>
      <w:r>
        <w:rPr>
          <w:sz w:val="22"/>
        </w:rPr>
        <w:t>2014.</w:t>
      </w:r>
    </w:p>
    <w:p>
      <w:pPr>
        <w:pStyle w:val="ListParagraph"/>
        <w:numPr>
          <w:ilvl w:val="3"/>
          <w:numId w:val="8"/>
        </w:numPr>
        <w:tabs>
          <w:tab w:pos="1233" w:val="left" w:leader="none"/>
        </w:tabs>
        <w:spacing w:line="240" w:lineRule="auto" w:before="0" w:after="0"/>
        <w:ind w:left="1232" w:right="0" w:hanging="360"/>
        <w:jc w:val="left"/>
        <w:rPr>
          <w:sz w:val="22"/>
        </w:rPr>
      </w:pPr>
      <w:r>
        <w:rPr>
          <w:sz w:val="22"/>
        </w:rPr>
        <w:t>Enfoque</w:t>
      </w:r>
      <w:r>
        <w:rPr>
          <w:spacing w:val="-4"/>
          <w:sz w:val="22"/>
        </w:rPr>
        <w:t> </w:t>
      </w:r>
      <w:r>
        <w:rPr>
          <w:sz w:val="22"/>
        </w:rPr>
        <w:t>diferencial</w:t>
      </w:r>
    </w:p>
    <w:p>
      <w:pPr>
        <w:pStyle w:val="ListParagraph"/>
        <w:numPr>
          <w:ilvl w:val="3"/>
          <w:numId w:val="8"/>
        </w:numPr>
        <w:tabs>
          <w:tab w:pos="1233" w:val="left" w:leader="none"/>
        </w:tabs>
        <w:spacing w:line="267" w:lineRule="exact" w:before="0" w:after="0"/>
        <w:ind w:left="1232" w:right="0" w:hanging="360"/>
        <w:jc w:val="left"/>
        <w:rPr>
          <w:sz w:val="22"/>
        </w:rPr>
      </w:pPr>
      <w:r>
        <w:rPr>
          <w:sz w:val="22"/>
        </w:rPr>
        <w:t>Asistencia a los</w:t>
      </w:r>
      <w:r>
        <w:rPr>
          <w:spacing w:val="-9"/>
          <w:sz w:val="22"/>
        </w:rPr>
        <w:t> </w:t>
      </w:r>
      <w:r>
        <w:rPr>
          <w:sz w:val="22"/>
        </w:rPr>
        <w:t>subcomités</w:t>
      </w:r>
    </w:p>
    <w:p>
      <w:pPr>
        <w:pStyle w:val="ListParagraph"/>
        <w:numPr>
          <w:ilvl w:val="3"/>
          <w:numId w:val="8"/>
        </w:numPr>
        <w:tabs>
          <w:tab w:pos="1233" w:val="left" w:leader="none"/>
        </w:tabs>
        <w:spacing w:line="267" w:lineRule="exact" w:before="0" w:after="0"/>
        <w:ind w:left="1232" w:right="0" w:hanging="360"/>
        <w:jc w:val="left"/>
        <w:rPr>
          <w:sz w:val="22"/>
        </w:rPr>
      </w:pPr>
      <w:r>
        <w:rPr>
          <w:sz w:val="22"/>
        </w:rPr>
        <w:t>Presupuesto</w:t>
      </w:r>
    </w:p>
    <w:p>
      <w:pPr>
        <w:pStyle w:val="ListParagraph"/>
        <w:numPr>
          <w:ilvl w:val="3"/>
          <w:numId w:val="8"/>
        </w:numPr>
        <w:tabs>
          <w:tab w:pos="1233" w:val="left" w:leader="none"/>
        </w:tabs>
        <w:spacing w:line="240" w:lineRule="auto" w:before="0" w:after="0"/>
        <w:ind w:left="1232" w:right="0" w:hanging="360"/>
        <w:jc w:val="left"/>
        <w:rPr>
          <w:sz w:val="22"/>
        </w:rPr>
      </w:pPr>
      <w:r>
        <w:rPr>
          <w:sz w:val="22"/>
        </w:rPr>
        <w:t>Sistemas de</w:t>
      </w:r>
      <w:r>
        <w:rPr>
          <w:spacing w:val="-8"/>
          <w:sz w:val="22"/>
        </w:rPr>
        <w:t> </w:t>
      </w:r>
      <w:r>
        <w:rPr>
          <w:sz w:val="22"/>
        </w:rPr>
        <w:t>información</w:t>
      </w:r>
    </w:p>
    <w:p>
      <w:pPr>
        <w:pStyle w:val="ListParagraph"/>
        <w:numPr>
          <w:ilvl w:val="3"/>
          <w:numId w:val="8"/>
        </w:numPr>
        <w:tabs>
          <w:tab w:pos="1233" w:val="left" w:leader="none"/>
        </w:tabs>
        <w:spacing w:line="240" w:lineRule="auto" w:before="1" w:after="0"/>
        <w:ind w:left="1232" w:right="0" w:hanging="360"/>
        <w:jc w:val="left"/>
        <w:rPr>
          <w:sz w:val="22"/>
        </w:rPr>
      </w:pPr>
      <w:r>
        <w:rPr>
          <w:sz w:val="22"/>
        </w:rPr>
        <w:t>Esfuerzo de la entidad en la mejora para atención a las</w:t>
      </w:r>
      <w:r>
        <w:rPr>
          <w:spacing w:val="-17"/>
          <w:sz w:val="22"/>
        </w:rPr>
        <w:t> </w:t>
      </w:r>
      <w:r>
        <w:rPr>
          <w:sz w:val="22"/>
        </w:rPr>
        <w:t>víctimas</w:t>
      </w:r>
    </w:p>
    <w:p>
      <w:pPr>
        <w:pStyle w:val="BodyText"/>
        <w:rPr>
          <w:sz w:val="23"/>
        </w:rPr>
      </w:pPr>
    </w:p>
    <w:p>
      <w:pPr>
        <w:pStyle w:val="BodyText"/>
        <w:ind w:left="152" w:right="213"/>
        <w:jc w:val="both"/>
      </w:pPr>
      <w:r>
        <w:rPr/>
        <w:t>Por lo anterior, se evidencia diferencia entre los criterios a tener en cuenta para la certificación, como quiera que en informe final no se observó el resultado frente al plan de acción y sentencias de justicia y paz, las cuales se incluyeron y aprobaron por las dos entidades en la reunión realizada el 22 de junio de 2015.</w:t>
      </w:r>
    </w:p>
    <w:p>
      <w:pPr>
        <w:pStyle w:val="BodyText"/>
        <w:spacing w:before="10"/>
      </w:pPr>
    </w:p>
    <w:p>
      <w:pPr>
        <w:pStyle w:val="ListParagraph"/>
        <w:numPr>
          <w:ilvl w:val="0"/>
          <w:numId w:val="9"/>
        </w:numPr>
        <w:tabs>
          <w:tab w:pos="873" w:val="left" w:leader="none"/>
        </w:tabs>
        <w:spacing w:line="240" w:lineRule="auto" w:before="0" w:after="0"/>
        <w:ind w:left="872" w:right="215" w:hanging="360"/>
        <w:jc w:val="both"/>
        <w:rPr>
          <w:sz w:val="22"/>
        </w:rPr>
      </w:pPr>
      <w:r>
        <w:rPr>
          <w:b/>
          <w:sz w:val="22"/>
        </w:rPr>
        <w:t>Observación:</w:t>
      </w:r>
      <w:r>
        <w:rPr>
          <w:b/>
          <w:spacing w:val="-12"/>
          <w:sz w:val="22"/>
        </w:rPr>
        <w:t> </w:t>
      </w:r>
      <w:r>
        <w:rPr>
          <w:sz w:val="22"/>
        </w:rPr>
        <w:t>Se</w:t>
      </w:r>
      <w:r>
        <w:rPr>
          <w:spacing w:val="-11"/>
          <w:sz w:val="22"/>
        </w:rPr>
        <w:t> </w:t>
      </w:r>
      <w:r>
        <w:rPr>
          <w:sz w:val="22"/>
        </w:rPr>
        <w:t>evidenció</w:t>
      </w:r>
      <w:r>
        <w:rPr>
          <w:spacing w:val="-13"/>
          <w:sz w:val="22"/>
        </w:rPr>
        <w:t> </w:t>
      </w:r>
      <w:r>
        <w:rPr>
          <w:sz w:val="22"/>
        </w:rPr>
        <w:t>debilidad</w:t>
      </w:r>
      <w:r>
        <w:rPr>
          <w:spacing w:val="-12"/>
          <w:sz w:val="22"/>
        </w:rPr>
        <w:t> </w:t>
      </w:r>
      <w:r>
        <w:rPr>
          <w:sz w:val="22"/>
        </w:rPr>
        <w:t>en</w:t>
      </w:r>
      <w:r>
        <w:rPr>
          <w:spacing w:val="-12"/>
          <w:sz w:val="22"/>
        </w:rPr>
        <w:t> </w:t>
      </w:r>
      <w:r>
        <w:rPr>
          <w:sz w:val="22"/>
        </w:rPr>
        <w:t>el</w:t>
      </w:r>
      <w:r>
        <w:rPr>
          <w:spacing w:val="-11"/>
          <w:sz w:val="22"/>
        </w:rPr>
        <w:t> </w:t>
      </w:r>
      <w:r>
        <w:rPr>
          <w:sz w:val="22"/>
        </w:rPr>
        <w:t>proceso</w:t>
      </w:r>
      <w:r>
        <w:rPr>
          <w:spacing w:val="-10"/>
          <w:sz w:val="22"/>
        </w:rPr>
        <w:t> </w:t>
      </w:r>
      <w:r>
        <w:rPr>
          <w:sz w:val="22"/>
        </w:rPr>
        <w:t>de</w:t>
      </w:r>
      <w:r>
        <w:rPr>
          <w:spacing w:val="-13"/>
          <w:sz w:val="22"/>
        </w:rPr>
        <w:t> </w:t>
      </w:r>
      <w:r>
        <w:rPr>
          <w:sz w:val="22"/>
        </w:rPr>
        <w:t>certificación</w:t>
      </w:r>
      <w:r>
        <w:rPr>
          <w:spacing w:val="-12"/>
          <w:sz w:val="22"/>
        </w:rPr>
        <w:t> </w:t>
      </w:r>
      <w:r>
        <w:rPr>
          <w:sz w:val="22"/>
        </w:rPr>
        <w:t>de</w:t>
      </w:r>
      <w:r>
        <w:rPr>
          <w:spacing w:val="-11"/>
          <w:sz w:val="22"/>
        </w:rPr>
        <w:t> </w:t>
      </w:r>
      <w:r>
        <w:rPr>
          <w:sz w:val="22"/>
        </w:rPr>
        <w:t>la</w:t>
      </w:r>
      <w:r>
        <w:rPr>
          <w:spacing w:val="-14"/>
          <w:sz w:val="22"/>
        </w:rPr>
        <w:t> </w:t>
      </w:r>
      <w:r>
        <w:rPr>
          <w:sz w:val="22"/>
        </w:rPr>
        <w:t>Registraduría</w:t>
      </w:r>
      <w:r>
        <w:rPr>
          <w:spacing w:val="-12"/>
          <w:sz w:val="22"/>
        </w:rPr>
        <w:t> </w:t>
      </w:r>
      <w:r>
        <w:rPr>
          <w:sz w:val="22"/>
        </w:rPr>
        <w:t>Nacional</w:t>
      </w:r>
      <w:r>
        <w:rPr>
          <w:spacing w:val="-12"/>
          <w:sz w:val="22"/>
        </w:rPr>
        <w:t> </w:t>
      </w:r>
      <w:r>
        <w:rPr>
          <w:sz w:val="22"/>
        </w:rPr>
        <w:t>del</w:t>
      </w:r>
      <w:r>
        <w:rPr>
          <w:spacing w:val="-14"/>
          <w:sz w:val="22"/>
        </w:rPr>
        <w:t> </w:t>
      </w:r>
      <w:r>
        <w:rPr>
          <w:sz w:val="22"/>
        </w:rPr>
        <w:t>Estado</w:t>
      </w:r>
      <w:r>
        <w:rPr>
          <w:spacing w:val="-10"/>
          <w:sz w:val="22"/>
        </w:rPr>
        <w:t> </w:t>
      </w:r>
      <w:r>
        <w:rPr>
          <w:sz w:val="22"/>
        </w:rPr>
        <w:t>Civil, en tanto que se observaron diferencias frente a los criterios de certificación encontrados en el acta de aprobación y el informe final de la certificación. De igual forma, no se observó documento que aclarara la diferencia</w:t>
      </w:r>
      <w:r>
        <w:rPr>
          <w:spacing w:val="-4"/>
          <w:sz w:val="22"/>
        </w:rPr>
        <w:t> </w:t>
      </w:r>
      <w:r>
        <w:rPr>
          <w:sz w:val="22"/>
        </w:rPr>
        <w:t>observada.</w:t>
      </w:r>
    </w:p>
    <w:p>
      <w:pPr>
        <w:pStyle w:val="BodyText"/>
        <w:spacing w:before="10"/>
      </w:pPr>
    </w:p>
    <w:p>
      <w:pPr>
        <w:pStyle w:val="Heading1"/>
        <w:jc w:val="both"/>
      </w:pPr>
      <w:r>
        <w:rPr/>
        <w:t>Respuesta Dirección de Gestión Interinstitucional.</w:t>
      </w:r>
    </w:p>
    <w:p>
      <w:pPr>
        <w:pStyle w:val="BodyText"/>
        <w:spacing w:before="12"/>
        <w:rPr>
          <w:b/>
          <w:sz w:val="19"/>
        </w:rPr>
      </w:pPr>
      <w:r>
        <w:rPr/>
        <w:drawing>
          <wp:anchor distT="0" distB="0" distL="0" distR="0" allowOverlap="1" layoutInCell="1" locked="0" behindDoc="0" simplePos="0" relativeHeight="1264">
            <wp:simplePos x="0" y="0"/>
            <wp:positionH relativeFrom="page">
              <wp:posOffset>541019</wp:posOffset>
            </wp:positionH>
            <wp:positionV relativeFrom="paragraph">
              <wp:posOffset>179779</wp:posOffset>
            </wp:positionV>
            <wp:extent cx="6286040" cy="2271807"/>
            <wp:effectExtent l="0" t="0" r="0" b="0"/>
            <wp:wrapTopAndBottom/>
            <wp:docPr id="43" name="image10.png" descr=""/>
            <wp:cNvGraphicFramePr>
              <a:graphicFrameLocks noChangeAspect="1"/>
            </wp:cNvGraphicFramePr>
            <a:graphic>
              <a:graphicData uri="http://schemas.openxmlformats.org/drawingml/2006/picture">
                <pic:pic>
                  <pic:nvPicPr>
                    <pic:cNvPr id="44" name="image10.png"/>
                    <pic:cNvPicPr/>
                  </pic:nvPicPr>
                  <pic:blipFill>
                    <a:blip r:embed="rId25" cstate="print"/>
                    <a:stretch>
                      <a:fillRect/>
                    </a:stretch>
                  </pic:blipFill>
                  <pic:spPr>
                    <a:xfrm>
                      <a:off x="0" y="0"/>
                      <a:ext cx="6286040" cy="2271807"/>
                    </a:xfrm>
                    <a:prstGeom prst="rect">
                      <a:avLst/>
                    </a:prstGeom>
                  </pic:spPr>
                </pic:pic>
              </a:graphicData>
            </a:graphic>
          </wp:anchor>
        </w:drawing>
      </w:r>
    </w:p>
    <w:p>
      <w:pPr>
        <w:spacing w:after="0"/>
        <w:rPr>
          <w:sz w:val="19"/>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45" name="image1.png" descr=""/>
                  <wp:cNvGraphicFramePr>
                    <a:graphicFrameLocks noChangeAspect="1"/>
                  </wp:cNvGraphicFramePr>
                  <a:graphic>
                    <a:graphicData uri="http://schemas.openxmlformats.org/drawingml/2006/picture">
                      <pic:pic>
                        <pic:nvPicPr>
                          <pic:cNvPr id="4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15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drawing>
          <wp:anchor distT="0" distB="0" distL="0" distR="0" allowOverlap="1" layoutInCell="1" locked="0" behindDoc="0" simplePos="0" relativeHeight="1288">
            <wp:simplePos x="0" y="0"/>
            <wp:positionH relativeFrom="page">
              <wp:posOffset>955547</wp:posOffset>
            </wp:positionH>
            <wp:positionV relativeFrom="paragraph">
              <wp:posOffset>114045</wp:posOffset>
            </wp:positionV>
            <wp:extent cx="5837195" cy="4929187"/>
            <wp:effectExtent l="0" t="0" r="0" b="0"/>
            <wp:wrapTopAndBottom/>
            <wp:docPr id="47" name="image11.jpeg" descr=""/>
            <wp:cNvGraphicFramePr>
              <a:graphicFrameLocks noChangeAspect="1"/>
            </wp:cNvGraphicFramePr>
            <a:graphic>
              <a:graphicData uri="http://schemas.openxmlformats.org/drawingml/2006/picture">
                <pic:pic>
                  <pic:nvPicPr>
                    <pic:cNvPr id="48" name="image11.jpeg"/>
                    <pic:cNvPicPr/>
                  </pic:nvPicPr>
                  <pic:blipFill>
                    <a:blip r:embed="rId26" cstate="print"/>
                    <a:stretch>
                      <a:fillRect/>
                    </a:stretch>
                  </pic:blipFill>
                  <pic:spPr>
                    <a:xfrm>
                      <a:off x="0" y="0"/>
                      <a:ext cx="5837195" cy="4929187"/>
                    </a:xfrm>
                    <a:prstGeom prst="rect">
                      <a:avLst/>
                    </a:prstGeom>
                  </pic:spPr>
                </pic:pic>
              </a:graphicData>
            </a:graphic>
          </wp:anchor>
        </w:drawing>
      </w:r>
    </w:p>
    <w:p>
      <w:pPr>
        <w:pStyle w:val="BodyText"/>
        <w:rPr>
          <w:b/>
          <w:sz w:val="15"/>
        </w:rPr>
      </w:pPr>
    </w:p>
    <w:p>
      <w:pPr>
        <w:pStyle w:val="BodyText"/>
        <w:spacing w:before="56"/>
        <w:ind w:left="152" w:right="214"/>
        <w:jc w:val="both"/>
      </w:pPr>
      <w:r>
        <w:rPr>
          <w:b/>
        </w:rPr>
        <w:t>Pronunciamiento final OCI. </w:t>
      </w:r>
      <w:r>
        <w:rPr/>
        <w:t>De conformidad con lo expuesto por la DGI y de acuerdo a la verificación de la evidencia aportada, se levanta la observación en razón a que se constató el cumplimiento de los requisitos establecidos para la presente certificación y el motivo por el cual no se incluye el tema de sentencias de justicia y paz.</w:t>
      </w:r>
    </w:p>
    <w:p>
      <w:pPr>
        <w:pStyle w:val="BodyText"/>
        <w:spacing w:before="10"/>
      </w:pPr>
    </w:p>
    <w:p>
      <w:pPr>
        <w:pStyle w:val="Heading1"/>
        <w:numPr>
          <w:ilvl w:val="2"/>
          <w:numId w:val="8"/>
        </w:numPr>
        <w:tabs>
          <w:tab w:pos="656" w:val="left" w:leader="none"/>
        </w:tabs>
        <w:spacing w:line="240" w:lineRule="auto" w:before="0" w:after="0"/>
        <w:ind w:left="655" w:right="0" w:hanging="503"/>
        <w:jc w:val="both"/>
      </w:pPr>
      <w:r>
        <w:rPr/>
        <w:t>MINISTERIO DE DEFENSA</w:t>
      </w:r>
      <w:r>
        <w:rPr>
          <w:spacing w:val="-18"/>
        </w:rPr>
        <w:t> </w:t>
      </w:r>
      <w:r>
        <w:rPr/>
        <w:t>NACIONAL.</w:t>
      </w:r>
    </w:p>
    <w:p>
      <w:pPr>
        <w:pStyle w:val="BodyText"/>
        <w:rPr>
          <w:b/>
          <w:sz w:val="23"/>
        </w:rPr>
      </w:pPr>
    </w:p>
    <w:p>
      <w:pPr>
        <w:pStyle w:val="BodyText"/>
        <w:ind w:left="152" w:right="210"/>
        <w:jc w:val="both"/>
      </w:pPr>
      <w:r>
        <w:rPr/>
        <w:t>La OCI pudo constatar verificó en los documentos ubicado en la carpeta </w:t>
      </w:r>
      <w:r>
        <w:rPr>
          <w:color w:val="001F5F"/>
        </w:rPr>
        <w:t>\\totoro\Unidad_Victimas\Dir Gestion Interinstitucional\Coordinación SNARIV\210.29 CERTIFICACIONES\210.29.1 Certificación Nacional del SNARIV\2015 Certificación 2014\Informes por entidad</w:t>
      </w:r>
      <w:r>
        <w:rPr/>
        <w:t>, expediente correspondiente al proceso del Ministerio de Defensa Nacional, hallándose diferentes documentos como acta de validación firmada, informe final de certificación, certificación y listado de asistencia de 16 de julio de 2015.</w:t>
      </w:r>
    </w:p>
    <w:p>
      <w:pPr>
        <w:pStyle w:val="BodyText"/>
        <w:rPr>
          <w:sz w:val="23"/>
        </w:rPr>
      </w:pPr>
    </w:p>
    <w:p>
      <w:pPr>
        <w:pStyle w:val="BodyText"/>
        <w:ind w:left="152" w:right="216"/>
        <w:jc w:val="both"/>
      </w:pPr>
      <w:r>
        <w:rPr/>
        <w:t>Al</w:t>
      </w:r>
      <w:r>
        <w:rPr>
          <w:spacing w:val="-3"/>
        </w:rPr>
        <w:t> </w:t>
      </w:r>
      <w:r>
        <w:rPr/>
        <w:t>contrastar</w:t>
      </w:r>
      <w:r>
        <w:rPr>
          <w:spacing w:val="-4"/>
        </w:rPr>
        <w:t> </w:t>
      </w:r>
      <w:r>
        <w:rPr/>
        <w:t>el</w:t>
      </w:r>
      <w:r>
        <w:rPr>
          <w:spacing w:val="-2"/>
        </w:rPr>
        <w:t> </w:t>
      </w:r>
      <w:r>
        <w:rPr/>
        <w:t>documento</w:t>
      </w:r>
      <w:r>
        <w:rPr>
          <w:spacing w:val="-3"/>
        </w:rPr>
        <w:t> </w:t>
      </w:r>
      <w:r>
        <w:rPr/>
        <w:t>de</w:t>
      </w:r>
      <w:r>
        <w:rPr>
          <w:spacing w:val="-2"/>
        </w:rPr>
        <w:t> </w:t>
      </w:r>
      <w:r>
        <w:rPr/>
        <w:t>aprobación</w:t>
      </w:r>
      <w:r>
        <w:rPr>
          <w:spacing w:val="-5"/>
        </w:rPr>
        <w:t> </w:t>
      </w:r>
      <w:r>
        <w:rPr/>
        <w:t>de</w:t>
      </w:r>
      <w:r>
        <w:rPr>
          <w:spacing w:val="-2"/>
        </w:rPr>
        <w:t> </w:t>
      </w:r>
      <w:r>
        <w:rPr/>
        <w:t>los</w:t>
      </w:r>
      <w:r>
        <w:rPr>
          <w:spacing w:val="-2"/>
        </w:rPr>
        <w:t> </w:t>
      </w:r>
      <w:r>
        <w:rPr/>
        <w:t>criterios</w:t>
      </w:r>
      <w:r>
        <w:rPr>
          <w:spacing w:val="-4"/>
        </w:rPr>
        <w:t> </w:t>
      </w:r>
      <w:r>
        <w:rPr/>
        <w:t>objeto</w:t>
      </w:r>
      <w:r>
        <w:rPr>
          <w:spacing w:val="-1"/>
        </w:rPr>
        <w:t> </w:t>
      </w:r>
      <w:r>
        <w:rPr/>
        <w:t>de</w:t>
      </w:r>
      <w:r>
        <w:rPr>
          <w:spacing w:val="-2"/>
        </w:rPr>
        <w:t> </w:t>
      </w:r>
      <w:r>
        <w:rPr/>
        <w:t>certificación</w:t>
      </w:r>
      <w:r>
        <w:rPr>
          <w:spacing w:val="-3"/>
        </w:rPr>
        <w:t> </w:t>
      </w:r>
      <w:r>
        <w:rPr/>
        <w:t>con</w:t>
      </w:r>
      <w:r>
        <w:rPr>
          <w:spacing w:val="-3"/>
        </w:rPr>
        <w:t> </w:t>
      </w:r>
      <w:r>
        <w:rPr/>
        <w:t>el</w:t>
      </w:r>
      <w:r>
        <w:rPr>
          <w:spacing w:val="-5"/>
        </w:rPr>
        <w:t> </w:t>
      </w:r>
      <w:r>
        <w:rPr/>
        <w:t>informe</w:t>
      </w:r>
      <w:r>
        <w:rPr>
          <w:spacing w:val="-4"/>
        </w:rPr>
        <w:t> </w:t>
      </w:r>
      <w:r>
        <w:rPr/>
        <w:t>final</w:t>
      </w:r>
      <w:r>
        <w:rPr>
          <w:spacing w:val="-2"/>
        </w:rPr>
        <w:t> </w:t>
      </w:r>
      <w:r>
        <w:rPr/>
        <w:t>del</w:t>
      </w:r>
      <w:r>
        <w:rPr>
          <w:spacing w:val="-2"/>
        </w:rPr>
        <w:t> </w:t>
      </w:r>
      <w:r>
        <w:rPr/>
        <w:t>resultado,</w:t>
      </w:r>
      <w:r>
        <w:rPr>
          <w:spacing w:val="-4"/>
        </w:rPr>
        <w:t> </w:t>
      </w:r>
      <w:r>
        <w:rPr/>
        <w:t>se observó</w:t>
      </w:r>
      <w:r>
        <w:rPr>
          <w:spacing w:val="32"/>
        </w:rPr>
        <w:t> </w:t>
      </w:r>
      <w:r>
        <w:rPr/>
        <w:t>coherencia</w:t>
      </w:r>
      <w:r>
        <w:rPr>
          <w:spacing w:val="31"/>
        </w:rPr>
        <w:t> </w:t>
      </w:r>
      <w:r>
        <w:rPr/>
        <w:t>en</w:t>
      </w:r>
      <w:r>
        <w:rPr>
          <w:spacing w:val="33"/>
        </w:rPr>
        <w:t> </w:t>
      </w:r>
      <w:r>
        <w:rPr/>
        <w:t>los</w:t>
      </w:r>
      <w:r>
        <w:rPr>
          <w:spacing w:val="31"/>
        </w:rPr>
        <w:t> </w:t>
      </w:r>
      <w:r>
        <w:rPr/>
        <w:t>mismos</w:t>
      </w:r>
      <w:r>
        <w:rPr>
          <w:spacing w:val="31"/>
        </w:rPr>
        <w:t> </w:t>
      </w:r>
      <w:r>
        <w:rPr/>
        <w:t>así;</w:t>
      </w:r>
      <w:r>
        <w:rPr>
          <w:spacing w:val="31"/>
        </w:rPr>
        <w:t> </w:t>
      </w:r>
      <w:r>
        <w:rPr/>
        <w:t>plan</w:t>
      </w:r>
      <w:r>
        <w:rPr>
          <w:spacing w:val="32"/>
        </w:rPr>
        <w:t> </w:t>
      </w:r>
      <w:r>
        <w:rPr/>
        <w:t>de</w:t>
      </w:r>
      <w:r>
        <w:rPr>
          <w:spacing w:val="31"/>
        </w:rPr>
        <w:t> </w:t>
      </w:r>
      <w:r>
        <w:rPr/>
        <w:t>acción,</w:t>
      </w:r>
      <w:r>
        <w:rPr>
          <w:spacing w:val="31"/>
        </w:rPr>
        <w:t> </w:t>
      </w:r>
      <w:r>
        <w:rPr/>
        <w:t>enfoque</w:t>
      </w:r>
      <w:r>
        <w:rPr>
          <w:spacing w:val="37"/>
        </w:rPr>
        <w:t> </w:t>
      </w:r>
      <w:r>
        <w:rPr/>
        <w:t>diferencial,</w:t>
      </w:r>
      <w:r>
        <w:rPr>
          <w:spacing w:val="33"/>
        </w:rPr>
        <w:t> </w:t>
      </w:r>
      <w:r>
        <w:rPr/>
        <w:t>asistencia</w:t>
      </w:r>
      <w:r>
        <w:rPr>
          <w:spacing w:val="31"/>
        </w:rPr>
        <w:t> </w:t>
      </w:r>
      <w:r>
        <w:rPr/>
        <w:t>a</w:t>
      </w:r>
      <w:r>
        <w:rPr>
          <w:spacing w:val="33"/>
        </w:rPr>
        <w:t> </w:t>
      </w:r>
      <w:r>
        <w:rPr/>
        <w:t>subcomités,</w:t>
      </w:r>
      <w:r>
        <w:rPr>
          <w:spacing w:val="34"/>
        </w:rPr>
        <w:t> </w:t>
      </w:r>
      <w:r>
        <w:rPr/>
        <w:t>sistemas</w:t>
      </w:r>
      <w:r>
        <w:rPr>
          <w:spacing w:val="33"/>
        </w:rPr>
        <w:t> </w:t>
      </w:r>
      <w:r>
        <w:rPr/>
        <w:t>de</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49" name="image1.png" descr=""/>
                  <wp:cNvGraphicFramePr>
                    <a:graphicFrameLocks noChangeAspect="1"/>
                  </wp:cNvGraphicFramePr>
                  <a:graphic>
                    <a:graphicData uri="http://schemas.openxmlformats.org/drawingml/2006/picture">
                      <pic:pic>
                        <pic:nvPicPr>
                          <pic:cNvPr id="5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16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152" w:right="217"/>
        <w:jc w:val="both"/>
      </w:pPr>
      <w:r>
        <w:rPr/>
        <w:t>información, sentencias ejecutoriadas de justicia y paz, esfuerzo de la entidad para brindar una mejor atención a las víctimas y finalmente las recomendaciones para la mejora.</w:t>
      </w:r>
    </w:p>
    <w:p>
      <w:pPr>
        <w:pStyle w:val="BodyText"/>
        <w:rPr>
          <w:sz w:val="23"/>
        </w:rPr>
      </w:pPr>
    </w:p>
    <w:p>
      <w:pPr>
        <w:pStyle w:val="BodyText"/>
        <w:ind w:left="152" w:right="212"/>
        <w:jc w:val="both"/>
      </w:pPr>
      <w:r>
        <w:rPr/>
        <w:t>Como resultado de la calificación, se observó que el Ministerio de Defensa Nacional se encuentra en el grupo de entidades</w:t>
      </w:r>
      <w:r>
        <w:rPr>
          <w:spacing w:val="-8"/>
        </w:rPr>
        <w:t> </w:t>
      </w:r>
      <w:r>
        <w:rPr/>
        <w:t>con</w:t>
      </w:r>
      <w:r>
        <w:rPr>
          <w:spacing w:val="-9"/>
        </w:rPr>
        <w:t> </w:t>
      </w:r>
      <w:r>
        <w:rPr/>
        <w:t>AVANCE</w:t>
      </w:r>
      <w:r>
        <w:rPr>
          <w:spacing w:val="-7"/>
        </w:rPr>
        <w:t> </w:t>
      </w:r>
      <w:r>
        <w:rPr/>
        <w:t>frente</w:t>
      </w:r>
      <w:r>
        <w:rPr>
          <w:spacing w:val="-7"/>
        </w:rPr>
        <w:t> </w:t>
      </w:r>
      <w:r>
        <w:rPr/>
        <w:t>a</w:t>
      </w:r>
      <w:r>
        <w:rPr>
          <w:spacing w:val="-8"/>
        </w:rPr>
        <w:t> </w:t>
      </w:r>
      <w:r>
        <w:rPr/>
        <w:t>la</w:t>
      </w:r>
      <w:r>
        <w:rPr>
          <w:spacing w:val="-9"/>
        </w:rPr>
        <w:t> </w:t>
      </w:r>
      <w:r>
        <w:rPr/>
        <w:t>contribución</w:t>
      </w:r>
      <w:r>
        <w:rPr>
          <w:spacing w:val="-7"/>
        </w:rPr>
        <w:t> </w:t>
      </w:r>
      <w:r>
        <w:rPr/>
        <w:t>de</w:t>
      </w:r>
      <w:r>
        <w:rPr>
          <w:spacing w:val="-6"/>
        </w:rPr>
        <w:t> </w:t>
      </w:r>
      <w:r>
        <w:rPr/>
        <w:t>goce</w:t>
      </w:r>
      <w:r>
        <w:rPr>
          <w:spacing w:val="-8"/>
        </w:rPr>
        <w:t> </w:t>
      </w:r>
      <w:r>
        <w:rPr/>
        <w:t>efectivo</w:t>
      </w:r>
      <w:r>
        <w:rPr>
          <w:spacing w:val="-8"/>
        </w:rPr>
        <w:t> </w:t>
      </w:r>
      <w:r>
        <w:rPr/>
        <w:t>de</w:t>
      </w:r>
      <w:r>
        <w:rPr>
          <w:spacing w:val="-6"/>
        </w:rPr>
        <w:t> </w:t>
      </w:r>
      <w:r>
        <w:rPr/>
        <w:t>derechos</w:t>
      </w:r>
      <w:r>
        <w:rPr>
          <w:spacing w:val="-8"/>
        </w:rPr>
        <w:t> </w:t>
      </w:r>
      <w:r>
        <w:rPr/>
        <w:t>a</w:t>
      </w:r>
      <w:r>
        <w:rPr>
          <w:spacing w:val="-7"/>
        </w:rPr>
        <w:t> </w:t>
      </w:r>
      <w:r>
        <w:rPr/>
        <w:t>las</w:t>
      </w:r>
      <w:r>
        <w:rPr>
          <w:spacing w:val="-11"/>
        </w:rPr>
        <w:t> </w:t>
      </w:r>
      <w:r>
        <w:rPr/>
        <w:t>víctimas</w:t>
      </w:r>
      <w:r>
        <w:rPr>
          <w:spacing w:val="-8"/>
        </w:rPr>
        <w:t> </w:t>
      </w:r>
      <w:r>
        <w:rPr/>
        <w:t>del</w:t>
      </w:r>
      <w:r>
        <w:rPr>
          <w:spacing w:val="-8"/>
        </w:rPr>
        <w:t> </w:t>
      </w:r>
      <w:r>
        <w:rPr/>
        <w:t>conflicto</w:t>
      </w:r>
      <w:r>
        <w:rPr>
          <w:spacing w:val="-7"/>
        </w:rPr>
        <w:t> </w:t>
      </w:r>
      <w:r>
        <w:rPr/>
        <w:t>armado,</w:t>
      </w:r>
      <w:r>
        <w:rPr>
          <w:spacing w:val="-6"/>
        </w:rPr>
        <w:t> </w:t>
      </w:r>
      <w:r>
        <w:rPr/>
        <w:t>como se observa en la</w:t>
      </w:r>
      <w:r>
        <w:rPr>
          <w:spacing w:val="-7"/>
        </w:rPr>
        <w:t> </w:t>
      </w:r>
      <w:r>
        <w:rPr/>
        <w:t>certificación.</w:t>
      </w:r>
    </w:p>
    <w:p>
      <w:pPr>
        <w:pStyle w:val="BodyText"/>
        <w:spacing w:before="10"/>
        <w:rPr>
          <w:sz w:val="19"/>
        </w:rPr>
      </w:pPr>
      <w:r>
        <w:rPr/>
        <w:drawing>
          <wp:anchor distT="0" distB="0" distL="0" distR="0" allowOverlap="1" layoutInCell="1" locked="0" behindDoc="0" simplePos="0" relativeHeight="1312">
            <wp:simplePos x="0" y="0"/>
            <wp:positionH relativeFrom="page">
              <wp:posOffset>1975104</wp:posOffset>
            </wp:positionH>
            <wp:positionV relativeFrom="paragraph">
              <wp:posOffset>178636</wp:posOffset>
            </wp:positionV>
            <wp:extent cx="3812569" cy="2948940"/>
            <wp:effectExtent l="0" t="0" r="0" b="0"/>
            <wp:wrapTopAndBottom/>
            <wp:docPr id="51" name="image12.jpeg" descr=""/>
            <wp:cNvGraphicFramePr>
              <a:graphicFrameLocks noChangeAspect="1"/>
            </wp:cNvGraphicFramePr>
            <a:graphic>
              <a:graphicData uri="http://schemas.openxmlformats.org/drawingml/2006/picture">
                <pic:pic>
                  <pic:nvPicPr>
                    <pic:cNvPr id="52" name="image12.jpeg"/>
                    <pic:cNvPicPr/>
                  </pic:nvPicPr>
                  <pic:blipFill>
                    <a:blip r:embed="rId27" cstate="print"/>
                    <a:stretch>
                      <a:fillRect/>
                    </a:stretch>
                  </pic:blipFill>
                  <pic:spPr>
                    <a:xfrm>
                      <a:off x="0" y="0"/>
                      <a:ext cx="3812569" cy="2948940"/>
                    </a:xfrm>
                    <a:prstGeom prst="rect">
                      <a:avLst/>
                    </a:prstGeom>
                  </pic:spPr>
                </pic:pic>
              </a:graphicData>
            </a:graphic>
          </wp:anchor>
        </w:drawing>
      </w:r>
    </w:p>
    <w:p>
      <w:pPr>
        <w:pStyle w:val="BodyText"/>
      </w:pPr>
    </w:p>
    <w:p>
      <w:pPr>
        <w:pStyle w:val="BodyText"/>
      </w:pPr>
    </w:p>
    <w:p>
      <w:pPr>
        <w:pStyle w:val="BodyText"/>
        <w:spacing w:before="4"/>
        <w:rPr>
          <w:sz w:val="19"/>
        </w:rPr>
      </w:pPr>
    </w:p>
    <w:p>
      <w:pPr>
        <w:pStyle w:val="BodyText"/>
        <w:ind w:left="152" w:right="212"/>
        <w:jc w:val="both"/>
      </w:pPr>
      <w:r>
        <w:rPr>
          <w:b/>
        </w:rPr>
        <w:t>Fortalezas. </w:t>
      </w:r>
      <w:r>
        <w:rPr/>
        <w:t>Se puedo evidenciar por parte de la OCI frente a las certificaciones de la Defensoría del Pueblo, Banco Agrario de Colombia, Ministerio de Defensa el cumplimiento de los criterios establecidos en el documento metodológico de calificación, el cual es elaborado por la UARIV y avalado por la entidad certificada; de igual manera se observa el cumplimiento del procedimiento objeto de auditoría tanto en la elaboración de la metodología, socialización y aceptación por parte de ente a certificado, así como el resultado final.</w:t>
      </w:r>
    </w:p>
    <w:p>
      <w:pPr>
        <w:pStyle w:val="BodyText"/>
        <w:spacing w:before="10"/>
      </w:pPr>
    </w:p>
    <w:p>
      <w:pPr>
        <w:pStyle w:val="Heading1"/>
        <w:numPr>
          <w:ilvl w:val="2"/>
          <w:numId w:val="8"/>
        </w:numPr>
        <w:tabs>
          <w:tab w:pos="656" w:val="left" w:leader="none"/>
        </w:tabs>
        <w:spacing w:line="240" w:lineRule="auto" w:before="0" w:after="0"/>
        <w:ind w:left="655" w:right="0" w:hanging="503"/>
        <w:jc w:val="both"/>
      </w:pPr>
      <w:r>
        <w:rPr/>
        <w:t>MINISTERIO DE SALUD Y PROTECCIÓN</w:t>
      </w:r>
      <w:r>
        <w:rPr>
          <w:spacing w:val="-21"/>
        </w:rPr>
        <w:t> </w:t>
      </w:r>
      <w:r>
        <w:rPr/>
        <w:t>SOCIAL.</w:t>
      </w:r>
    </w:p>
    <w:p>
      <w:pPr>
        <w:pStyle w:val="BodyText"/>
        <w:rPr>
          <w:b/>
          <w:sz w:val="23"/>
        </w:rPr>
      </w:pPr>
    </w:p>
    <w:p>
      <w:pPr>
        <w:pStyle w:val="BodyText"/>
        <w:ind w:left="152" w:right="212"/>
        <w:jc w:val="both"/>
      </w:pPr>
      <w:r>
        <w:rPr/>
        <w:t>Se verificó en los documentos ubicado en la carpeta </w:t>
      </w:r>
      <w:r>
        <w:rPr>
          <w:color w:val="001F5F"/>
        </w:rPr>
        <w:t>\\totoro\Unidad_Victimas\Dir Gestion Interinstitucional\Coordinación SNARIV\210.29 CERTIFICACIONES\210.29.1 Certificación Nacional del SNARIV\2015 Certificación 2014\Informes por entidad</w:t>
      </w:r>
      <w:r>
        <w:rPr/>
        <w:t>, expediente correspondiente al proceso de certificación del Ministerio de Salud,</w:t>
      </w:r>
      <w:r>
        <w:rPr>
          <w:spacing w:val="-8"/>
        </w:rPr>
        <w:t> </w:t>
      </w:r>
      <w:r>
        <w:rPr/>
        <w:t>encontrándose</w:t>
      </w:r>
      <w:r>
        <w:rPr>
          <w:spacing w:val="-7"/>
        </w:rPr>
        <w:t> </w:t>
      </w:r>
      <w:r>
        <w:rPr/>
        <w:t>varios</w:t>
      </w:r>
      <w:r>
        <w:rPr>
          <w:spacing w:val="-8"/>
        </w:rPr>
        <w:t> </w:t>
      </w:r>
      <w:r>
        <w:rPr/>
        <w:t>documentos</w:t>
      </w:r>
      <w:r>
        <w:rPr>
          <w:spacing w:val="-8"/>
        </w:rPr>
        <w:t> </w:t>
      </w:r>
      <w:r>
        <w:rPr/>
        <w:t>como</w:t>
      </w:r>
      <w:r>
        <w:rPr>
          <w:spacing w:val="-7"/>
        </w:rPr>
        <w:t> </w:t>
      </w:r>
      <w:r>
        <w:rPr/>
        <w:t>acta</w:t>
      </w:r>
      <w:r>
        <w:rPr>
          <w:spacing w:val="-8"/>
        </w:rPr>
        <w:t> </w:t>
      </w:r>
      <w:r>
        <w:rPr/>
        <w:t>de</w:t>
      </w:r>
      <w:r>
        <w:rPr>
          <w:spacing w:val="-7"/>
        </w:rPr>
        <w:t> </w:t>
      </w:r>
      <w:r>
        <w:rPr/>
        <w:t>validación</w:t>
      </w:r>
      <w:r>
        <w:rPr>
          <w:spacing w:val="-9"/>
        </w:rPr>
        <w:t> </w:t>
      </w:r>
      <w:r>
        <w:rPr/>
        <w:t>con</w:t>
      </w:r>
      <w:r>
        <w:rPr>
          <w:spacing w:val="-9"/>
        </w:rPr>
        <w:t> </w:t>
      </w:r>
      <w:r>
        <w:rPr/>
        <w:t>la</w:t>
      </w:r>
      <w:r>
        <w:rPr>
          <w:spacing w:val="-9"/>
        </w:rPr>
        <w:t> </w:t>
      </w:r>
      <w:r>
        <w:rPr/>
        <w:t>entidad</w:t>
      </w:r>
      <w:r>
        <w:rPr>
          <w:spacing w:val="-11"/>
        </w:rPr>
        <w:t> </w:t>
      </w:r>
      <w:r>
        <w:rPr/>
        <w:t>a</w:t>
      </w:r>
      <w:r>
        <w:rPr>
          <w:spacing w:val="-8"/>
        </w:rPr>
        <w:t> </w:t>
      </w:r>
      <w:r>
        <w:rPr/>
        <w:t>certificar</w:t>
      </w:r>
      <w:r>
        <w:rPr>
          <w:spacing w:val="-8"/>
        </w:rPr>
        <w:t> </w:t>
      </w:r>
      <w:r>
        <w:rPr/>
        <w:t>de</w:t>
      </w:r>
      <w:r>
        <w:rPr>
          <w:spacing w:val="-7"/>
        </w:rPr>
        <w:t> </w:t>
      </w:r>
      <w:r>
        <w:rPr/>
        <w:t>fecha</w:t>
      </w:r>
      <w:r>
        <w:rPr>
          <w:spacing w:val="-9"/>
        </w:rPr>
        <w:t> </w:t>
      </w:r>
      <w:r>
        <w:rPr/>
        <w:t>13</w:t>
      </w:r>
      <w:r>
        <w:rPr>
          <w:spacing w:val="-7"/>
        </w:rPr>
        <w:t> </w:t>
      </w:r>
      <w:r>
        <w:rPr/>
        <w:t>de</w:t>
      </w:r>
      <w:r>
        <w:rPr>
          <w:spacing w:val="-7"/>
        </w:rPr>
        <w:t> </w:t>
      </w:r>
      <w:r>
        <w:rPr/>
        <w:t>noviembre de 2015, lista de asistencia de reunión con el Ministerio de la Protección Social de fecha 23 de julio de 2015, informe final y</w:t>
      </w:r>
      <w:r>
        <w:rPr>
          <w:spacing w:val="-4"/>
        </w:rPr>
        <w:t> </w:t>
      </w:r>
      <w:r>
        <w:rPr/>
        <w:t>certificación.</w:t>
      </w:r>
    </w:p>
    <w:p>
      <w:pPr>
        <w:pStyle w:val="BodyText"/>
        <w:spacing w:before="10"/>
      </w:pPr>
    </w:p>
    <w:p>
      <w:pPr>
        <w:pStyle w:val="BodyText"/>
        <w:ind w:left="152" w:right="215"/>
        <w:jc w:val="both"/>
      </w:pPr>
      <w:r>
        <w:rPr/>
        <w:t>Al contratar la información analizada, se pudo evidenciar diferencias frente a los criterios a certificar contenidos en el acta de noviembre de 2015 en relación con el informe final; en tanto que en el segundo documento se  excluyen   los</w:t>
      </w:r>
    </w:p>
    <w:p>
      <w:pPr>
        <w:spacing w:after="0"/>
        <w:jc w:val="both"/>
        <w:sectPr>
          <w:pgSz w:w="12240" w:h="15840"/>
          <w:pgMar w:top="840" w:bottom="280" w:left="700" w:right="680"/>
        </w:sectPr>
      </w:pPr>
    </w:p>
    <w:tbl>
      <w:tblPr>
        <w:tblW w:w="0" w:type="auto"/>
        <w:jc w:val="left"/>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53" name="image1.png" descr=""/>
                  <wp:cNvGraphicFramePr>
                    <a:graphicFrameLocks noChangeAspect="1"/>
                  </wp:cNvGraphicFramePr>
                  <a:graphic>
                    <a:graphicData uri="http://schemas.openxmlformats.org/drawingml/2006/picture">
                      <pic:pic>
                        <pic:nvPicPr>
                          <pic:cNvPr id="5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17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472" w:right="218"/>
        <w:jc w:val="both"/>
      </w:pPr>
      <w:r>
        <w:rPr/>
        <w:t>temas de presupuesto, participación en Centros Regionales y sentencias de justicia y paz ejecutoriadas. Tampoco se encontró documento mediante el cual se indique la razón por la cual se excluyeron estos temas mencionados.</w:t>
      </w:r>
    </w:p>
    <w:p>
      <w:pPr>
        <w:pStyle w:val="BodyText"/>
        <w:rPr>
          <w:sz w:val="23"/>
        </w:rPr>
      </w:pPr>
    </w:p>
    <w:p>
      <w:pPr>
        <w:pStyle w:val="BodyText"/>
        <w:ind w:left="472" w:right="212"/>
        <w:jc w:val="both"/>
      </w:pPr>
      <w:r>
        <w:rPr/>
        <w:t>Adicionalmente llama la atención de la OCI, la fecha de aprobación de la metodología (13 de noviembre de 2015) de conformidad</w:t>
      </w:r>
      <w:r>
        <w:rPr>
          <w:spacing w:val="-14"/>
        </w:rPr>
        <w:t> </w:t>
      </w:r>
      <w:r>
        <w:rPr/>
        <w:t>con</w:t>
      </w:r>
      <w:r>
        <w:rPr>
          <w:spacing w:val="-14"/>
        </w:rPr>
        <w:t> </w:t>
      </w:r>
      <w:r>
        <w:rPr/>
        <w:t>el</w:t>
      </w:r>
      <w:r>
        <w:rPr>
          <w:spacing w:val="-13"/>
        </w:rPr>
        <w:t> </w:t>
      </w:r>
      <w:r>
        <w:rPr/>
        <w:t>acta</w:t>
      </w:r>
      <w:r>
        <w:rPr>
          <w:spacing w:val="-12"/>
        </w:rPr>
        <w:t> </w:t>
      </w:r>
      <w:r>
        <w:rPr/>
        <w:t>arriba</w:t>
      </w:r>
      <w:r>
        <w:rPr>
          <w:spacing w:val="-11"/>
        </w:rPr>
        <w:t> </w:t>
      </w:r>
      <w:r>
        <w:rPr/>
        <w:t>señalada,</w:t>
      </w:r>
      <w:r>
        <w:rPr>
          <w:spacing w:val="-13"/>
        </w:rPr>
        <w:t> </w:t>
      </w:r>
      <w:r>
        <w:rPr/>
        <w:t>como</w:t>
      </w:r>
      <w:r>
        <w:rPr>
          <w:spacing w:val="-9"/>
        </w:rPr>
        <w:t> </w:t>
      </w:r>
      <w:r>
        <w:rPr/>
        <w:t>quiera</w:t>
      </w:r>
      <w:r>
        <w:rPr>
          <w:spacing w:val="-16"/>
        </w:rPr>
        <w:t> </w:t>
      </w:r>
      <w:r>
        <w:rPr/>
        <w:t>que</w:t>
      </w:r>
      <w:r>
        <w:rPr>
          <w:spacing w:val="-10"/>
        </w:rPr>
        <w:t> </w:t>
      </w:r>
      <w:r>
        <w:rPr/>
        <w:t>en</w:t>
      </w:r>
      <w:r>
        <w:rPr>
          <w:spacing w:val="-13"/>
        </w:rPr>
        <w:t> </w:t>
      </w:r>
      <w:r>
        <w:rPr/>
        <w:t>comparación</w:t>
      </w:r>
      <w:r>
        <w:rPr>
          <w:spacing w:val="-11"/>
        </w:rPr>
        <w:t> </w:t>
      </w:r>
      <w:r>
        <w:rPr/>
        <w:t>con</w:t>
      </w:r>
      <w:r>
        <w:rPr>
          <w:spacing w:val="-9"/>
        </w:rPr>
        <w:t> </w:t>
      </w:r>
      <w:r>
        <w:rPr/>
        <w:t>las</w:t>
      </w:r>
      <w:r>
        <w:rPr>
          <w:spacing w:val="-13"/>
        </w:rPr>
        <w:t> </w:t>
      </w:r>
      <w:r>
        <w:rPr/>
        <w:t>demás</w:t>
      </w:r>
      <w:r>
        <w:rPr>
          <w:spacing w:val="-11"/>
        </w:rPr>
        <w:t> </w:t>
      </w:r>
      <w:r>
        <w:rPr/>
        <w:t>certificaciones</w:t>
      </w:r>
      <w:r>
        <w:rPr>
          <w:spacing w:val="-10"/>
        </w:rPr>
        <w:t> </w:t>
      </w:r>
      <w:r>
        <w:rPr/>
        <w:t>de</w:t>
      </w:r>
      <w:r>
        <w:rPr>
          <w:spacing w:val="-12"/>
        </w:rPr>
        <w:t> </w:t>
      </w:r>
      <w:r>
        <w:rPr/>
        <w:t>la</w:t>
      </w:r>
      <w:r>
        <w:rPr>
          <w:spacing w:val="-13"/>
        </w:rPr>
        <w:t> </w:t>
      </w:r>
      <w:r>
        <w:rPr/>
        <w:t>muestra, las reuniones de aprobación son de los meses de junio y julio de 2015, lo cual genera preocupación respecto a la verificación y cumplimiento de requisitos previo a la emisión de la Certificación en el mismo mes de</w:t>
      </w:r>
      <w:r>
        <w:rPr>
          <w:spacing w:val="-30"/>
        </w:rPr>
        <w:t> </w:t>
      </w:r>
      <w:r>
        <w:rPr/>
        <w:t>noviembre.</w:t>
      </w:r>
    </w:p>
    <w:p>
      <w:pPr>
        <w:pStyle w:val="BodyText"/>
        <w:rPr>
          <w:sz w:val="23"/>
        </w:rPr>
      </w:pPr>
    </w:p>
    <w:p>
      <w:pPr>
        <w:pStyle w:val="BodyText"/>
        <w:spacing w:before="1"/>
        <w:ind w:left="472" w:right="215"/>
        <w:jc w:val="both"/>
      </w:pPr>
      <w:r>
        <w:rPr/>
        <w:t>De igual manera, llama la atención listado de asistencia de reunión realizada con el Ministerio de la Protección Social de</w:t>
      </w:r>
      <w:r>
        <w:rPr>
          <w:spacing w:val="-1"/>
        </w:rPr>
        <w:t> </w:t>
      </w:r>
      <w:r>
        <w:rPr/>
        <w:t>fecha</w:t>
      </w:r>
      <w:r>
        <w:rPr>
          <w:spacing w:val="-4"/>
        </w:rPr>
        <w:t> </w:t>
      </w:r>
      <w:r>
        <w:rPr/>
        <w:t>23</w:t>
      </w:r>
      <w:r>
        <w:rPr>
          <w:spacing w:val="-1"/>
        </w:rPr>
        <w:t> </w:t>
      </w:r>
      <w:r>
        <w:rPr/>
        <w:t>de</w:t>
      </w:r>
      <w:r>
        <w:rPr>
          <w:spacing w:val="-1"/>
        </w:rPr>
        <w:t> </w:t>
      </w:r>
      <w:r>
        <w:rPr/>
        <w:t>julio del</w:t>
      </w:r>
      <w:r>
        <w:rPr>
          <w:spacing w:val="-6"/>
        </w:rPr>
        <w:t> </w:t>
      </w:r>
      <w:r>
        <w:rPr/>
        <w:t>mismo</w:t>
      </w:r>
      <w:r>
        <w:rPr>
          <w:spacing w:val="-2"/>
        </w:rPr>
        <w:t> </w:t>
      </w:r>
      <w:r>
        <w:rPr/>
        <w:t>año,</w:t>
      </w:r>
      <w:r>
        <w:rPr>
          <w:spacing w:val="-1"/>
        </w:rPr>
        <w:t> </w:t>
      </w:r>
      <w:r>
        <w:rPr/>
        <w:t>de</w:t>
      </w:r>
      <w:r>
        <w:rPr>
          <w:spacing w:val="-3"/>
        </w:rPr>
        <w:t> </w:t>
      </w:r>
      <w:r>
        <w:rPr/>
        <w:t>la</w:t>
      </w:r>
      <w:r>
        <w:rPr>
          <w:spacing w:val="-3"/>
        </w:rPr>
        <w:t> </w:t>
      </w:r>
      <w:r>
        <w:rPr/>
        <w:t>cual</w:t>
      </w:r>
      <w:r>
        <w:rPr>
          <w:spacing w:val="-1"/>
        </w:rPr>
        <w:t> </w:t>
      </w:r>
      <w:r>
        <w:rPr/>
        <w:t>no se</w:t>
      </w:r>
      <w:r>
        <w:rPr>
          <w:spacing w:val="-1"/>
        </w:rPr>
        <w:t> </w:t>
      </w:r>
      <w:r>
        <w:rPr/>
        <w:t>encontró acta</w:t>
      </w:r>
      <w:r>
        <w:rPr>
          <w:spacing w:val="-3"/>
        </w:rPr>
        <w:t> </w:t>
      </w:r>
      <w:r>
        <w:rPr/>
        <w:t>o</w:t>
      </w:r>
      <w:r>
        <w:rPr>
          <w:spacing w:val="-2"/>
        </w:rPr>
        <w:t> </w:t>
      </w:r>
      <w:r>
        <w:rPr/>
        <w:t>ayuda</w:t>
      </w:r>
      <w:r>
        <w:rPr>
          <w:spacing w:val="-1"/>
        </w:rPr>
        <w:t> </w:t>
      </w:r>
      <w:r>
        <w:rPr/>
        <w:t>de</w:t>
      </w:r>
      <w:r>
        <w:rPr>
          <w:spacing w:val="-3"/>
        </w:rPr>
        <w:t> </w:t>
      </w:r>
      <w:r>
        <w:rPr/>
        <w:t>memoria</w:t>
      </w:r>
      <w:r>
        <w:rPr>
          <w:spacing w:val="-1"/>
        </w:rPr>
        <w:t> </w:t>
      </w:r>
      <w:r>
        <w:rPr/>
        <w:t>en</w:t>
      </w:r>
      <w:r>
        <w:rPr>
          <w:spacing w:val="-4"/>
        </w:rPr>
        <w:t> </w:t>
      </w:r>
      <w:r>
        <w:rPr/>
        <w:t>donde</w:t>
      </w:r>
      <w:r>
        <w:rPr>
          <w:spacing w:val="-3"/>
        </w:rPr>
        <w:t> </w:t>
      </w:r>
      <w:r>
        <w:rPr/>
        <w:t>se</w:t>
      </w:r>
      <w:r>
        <w:rPr>
          <w:spacing w:val="-3"/>
        </w:rPr>
        <w:t> </w:t>
      </w:r>
      <w:r>
        <w:rPr/>
        <w:t>pueda</w:t>
      </w:r>
      <w:r>
        <w:rPr>
          <w:spacing w:val="-4"/>
        </w:rPr>
        <w:t> </w:t>
      </w:r>
      <w:r>
        <w:rPr/>
        <w:t>evidenciar el objeto y trazabilidad de la</w:t>
      </w:r>
      <w:r>
        <w:rPr>
          <w:spacing w:val="-8"/>
        </w:rPr>
        <w:t> </w:t>
      </w:r>
      <w:r>
        <w:rPr/>
        <w:t>misma.</w:t>
      </w:r>
    </w:p>
    <w:p>
      <w:pPr>
        <w:pStyle w:val="BodyText"/>
        <w:spacing w:before="10"/>
      </w:pPr>
    </w:p>
    <w:p>
      <w:pPr>
        <w:pStyle w:val="BodyText"/>
        <w:ind w:left="472" w:right="215"/>
        <w:jc w:val="both"/>
      </w:pPr>
      <w:r>
        <w:rPr/>
        <w:t>Finalmente se verificó el documento final de certificación, resultando para esta entidad en nivel de CUMPLIMIENTO, situación que no es clara para esta Oficina teniendo en cuenta las observaciones encontradas.</w:t>
      </w:r>
    </w:p>
    <w:p>
      <w:pPr>
        <w:pStyle w:val="BodyText"/>
        <w:spacing w:before="12"/>
        <w:rPr>
          <w:sz w:val="19"/>
        </w:rPr>
      </w:pPr>
      <w:r>
        <w:rPr/>
        <w:drawing>
          <wp:anchor distT="0" distB="0" distL="0" distR="0" allowOverlap="1" layoutInCell="1" locked="0" behindDoc="0" simplePos="0" relativeHeight="1336">
            <wp:simplePos x="0" y="0"/>
            <wp:positionH relativeFrom="page">
              <wp:posOffset>1975104</wp:posOffset>
            </wp:positionH>
            <wp:positionV relativeFrom="paragraph">
              <wp:posOffset>179779</wp:posOffset>
            </wp:positionV>
            <wp:extent cx="3813776" cy="2929890"/>
            <wp:effectExtent l="0" t="0" r="0" b="0"/>
            <wp:wrapTopAndBottom/>
            <wp:docPr id="55" name="image13.jpeg" descr=""/>
            <wp:cNvGraphicFramePr>
              <a:graphicFrameLocks noChangeAspect="1"/>
            </wp:cNvGraphicFramePr>
            <a:graphic>
              <a:graphicData uri="http://schemas.openxmlformats.org/drawingml/2006/picture">
                <pic:pic>
                  <pic:nvPicPr>
                    <pic:cNvPr id="56" name="image13.jpeg"/>
                    <pic:cNvPicPr/>
                  </pic:nvPicPr>
                  <pic:blipFill>
                    <a:blip r:embed="rId28" cstate="print"/>
                    <a:stretch>
                      <a:fillRect/>
                    </a:stretch>
                  </pic:blipFill>
                  <pic:spPr>
                    <a:xfrm>
                      <a:off x="0" y="0"/>
                      <a:ext cx="3813776" cy="2929890"/>
                    </a:xfrm>
                    <a:prstGeom prst="rect">
                      <a:avLst/>
                    </a:prstGeom>
                  </pic:spPr>
                </pic:pic>
              </a:graphicData>
            </a:graphic>
          </wp:anchor>
        </w:drawing>
      </w:r>
    </w:p>
    <w:p>
      <w:pPr>
        <w:pStyle w:val="BodyText"/>
      </w:pPr>
    </w:p>
    <w:p>
      <w:pPr>
        <w:pStyle w:val="BodyText"/>
      </w:pPr>
    </w:p>
    <w:p>
      <w:pPr>
        <w:pStyle w:val="BodyText"/>
        <w:spacing w:before="6"/>
        <w:rPr>
          <w:sz w:val="19"/>
        </w:rPr>
      </w:pPr>
    </w:p>
    <w:p>
      <w:pPr>
        <w:pStyle w:val="ListParagraph"/>
        <w:numPr>
          <w:ilvl w:val="0"/>
          <w:numId w:val="10"/>
        </w:numPr>
        <w:tabs>
          <w:tab w:pos="472" w:val="left" w:leader="none"/>
        </w:tabs>
        <w:spacing w:line="240" w:lineRule="auto" w:before="0" w:after="0"/>
        <w:ind w:left="472" w:right="211" w:hanging="360"/>
        <w:jc w:val="both"/>
        <w:rPr>
          <w:sz w:val="22"/>
        </w:rPr>
      </w:pPr>
      <w:r>
        <w:rPr>
          <w:b/>
          <w:sz w:val="22"/>
        </w:rPr>
        <w:t>Observación. </w:t>
      </w:r>
      <w:r>
        <w:rPr>
          <w:sz w:val="22"/>
        </w:rPr>
        <w:t>Para la certificación del Ministerio de Salud y Protección Social, en tanto que se evidenció debilidad frente a la coincidencia frente de los criterios de certificación entre el acta de aprobación de los mismos y el informe final</w:t>
      </w:r>
      <w:r>
        <w:rPr>
          <w:spacing w:val="-6"/>
          <w:sz w:val="22"/>
        </w:rPr>
        <w:t> </w:t>
      </w:r>
      <w:r>
        <w:rPr>
          <w:sz w:val="22"/>
        </w:rPr>
        <w:t>respectivamente.</w:t>
      </w:r>
      <w:r>
        <w:rPr>
          <w:spacing w:val="-6"/>
          <w:sz w:val="22"/>
        </w:rPr>
        <w:t> </w:t>
      </w:r>
      <w:r>
        <w:rPr>
          <w:sz w:val="22"/>
        </w:rPr>
        <w:t>De</w:t>
      </w:r>
      <w:r>
        <w:rPr>
          <w:spacing w:val="-5"/>
          <w:sz w:val="22"/>
        </w:rPr>
        <w:t> </w:t>
      </w:r>
      <w:r>
        <w:rPr>
          <w:sz w:val="22"/>
        </w:rPr>
        <w:t>igual</w:t>
      </w:r>
      <w:r>
        <w:rPr>
          <w:spacing w:val="-6"/>
          <w:sz w:val="22"/>
        </w:rPr>
        <w:t> </w:t>
      </w:r>
      <w:r>
        <w:rPr>
          <w:sz w:val="22"/>
        </w:rPr>
        <w:t>manera,</w:t>
      </w:r>
      <w:r>
        <w:rPr>
          <w:spacing w:val="-8"/>
          <w:sz w:val="22"/>
        </w:rPr>
        <w:t> </w:t>
      </w:r>
      <w:r>
        <w:rPr>
          <w:sz w:val="22"/>
        </w:rPr>
        <w:t>llama</w:t>
      </w:r>
      <w:r>
        <w:rPr>
          <w:spacing w:val="-8"/>
          <w:sz w:val="22"/>
        </w:rPr>
        <w:t> </w:t>
      </w:r>
      <w:r>
        <w:rPr>
          <w:sz w:val="22"/>
        </w:rPr>
        <w:t>la</w:t>
      </w:r>
      <w:r>
        <w:rPr>
          <w:spacing w:val="-6"/>
          <w:sz w:val="22"/>
        </w:rPr>
        <w:t> </w:t>
      </w:r>
      <w:r>
        <w:rPr>
          <w:sz w:val="22"/>
        </w:rPr>
        <w:t>atención</w:t>
      </w:r>
      <w:r>
        <w:rPr>
          <w:spacing w:val="-6"/>
          <w:sz w:val="22"/>
        </w:rPr>
        <w:t> </w:t>
      </w:r>
      <w:r>
        <w:rPr>
          <w:sz w:val="22"/>
        </w:rPr>
        <w:t>de</w:t>
      </w:r>
      <w:r>
        <w:rPr>
          <w:spacing w:val="-5"/>
          <w:sz w:val="22"/>
        </w:rPr>
        <w:t> </w:t>
      </w:r>
      <w:r>
        <w:rPr>
          <w:sz w:val="22"/>
        </w:rPr>
        <w:t>la</w:t>
      </w:r>
      <w:r>
        <w:rPr>
          <w:spacing w:val="-9"/>
          <w:sz w:val="22"/>
        </w:rPr>
        <w:t> </w:t>
      </w:r>
      <w:r>
        <w:rPr>
          <w:sz w:val="22"/>
        </w:rPr>
        <w:t>OCI</w:t>
      </w:r>
      <w:r>
        <w:rPr>
          <w:spacing w:val="-6"/>
          <w:sz w:val="22"/>
        </w:rPr>
        <w:t> </w:t>
      </w:r>
      <w:r>
        <w:rPr>
          <w:sz w:val="22"/>
        </w:rPr>
        <w:t>la</w:t>
      </w:r>
      <w:r>
        <w:rPr>
          <w:spacing w:val="-6"/>
          <w:sz w:val="22"/>
        </w:rPr>
        <w:t> </w:t>
      </w:r>
      <w:r>
        <w:rPr>
          <w:sz w:val="22"/>
        </w:rPr>
        <w:t>fecha</w:t>
      </w:r>
      <w:r>
        <w:rPr>
          <w:spacing w:val="-6"/>
          <w:sz w:val="22"/>
        </w:rPr>
        <w:t> </w:t>
      </w:r>
      <w:r>
        <w:rPr>
          <w:sz w:val="22"/>
        </w:rPr>
        <w:t>de</w:t>
      </w:r>
      <w:r>
        <w:rPr>
          <w:spacing w:val="-7"/>
          <w:sz w:val="22"/>
        </w:rPr>
        <w:t> </w:t>
      </w:r>
      <w:r>
        <w:rPr>
          <w:sz w:val="22"/>
        </w:rPr>
        <w:t>aprobación</w:t>
      </w:r>
      <w:r>
        <w:rPr>
          <w:spacing w:val="-9"/>
          <w:sz w:val="22"/>
        </w:rPr>
        <w:t> </w:t>
      </w:r>
      <w:r>
        <w:rPr>
          <w:sz w:val="22"/>
        </w:rPr>
        <w:t>de</w:t>
      </w:r>
      <w:r>
        <w:rPr>
          <w:spacing w:val="-5"/>
          <w:sz w:val="22"/>
        </w:rPr>
        <w:t> </w:t>
      </w:r>
      <w:r>
        <w:rPr>
          <w:sz w:val="22"/>
        </w:rPr>
        <w:t>los</w:t>
      </w:r>
      <w:r>
        <w:rPr>
          <w:spacing w:val="-6"/>
          <w:sz w:val="22"/>
        </w:rPr>
        <w:t> </w:t>
      </w:r>
      <w:r>
        <w:rPr>
          <w:sz w:val="22"/>
        </w:rPr>
        <w:t>criterios</w:t>
      </w:r>
      <w:r>
        <w:rPr>
          <w:spacing w:val="-6"/>
          <w:sz w:val="22"/>
        </w:rPr>
        <w:t> </w:t>
      </w:r>
      <w:r>
        <w:rPr>
          <w:sz w:val="22"/>
        </w:rPr>
        <w:t>por</w:t>
      </w:r>
      <w:r>
        <w:rPr>
          <w:spacing w:val="-6"/>
          <w:sz w:val="22"/>
        </w:rPr>
        <w:t> </w:t>
      </w:r>
      <w:r>
        <w:rPr>
          <w:sz w:val="22"/>
        </w:rPr>
        <w:t>parte</w:t>
      </w:r>
      <w:r>
        <w:rPr>
          <w:spacing w:val="-5"/>
          <w:sz w:val="22"/>
        </w:rPr>
        <w:t> </w:t>
      </w:r>
      <w:r>
        <w:rPr>
          <w:sz w:val="22"/>
        </w:rPr>
        <w:t>de la entidad a certificar y la Unidad, es decir, 13 de noviembre de 2015, teniendo en cuenta que la certificación fue expedida en el mismo mes de noviembre de</w:t>
      </w:r>
      <w:r>
        <w:rPr>
          <w:spacing w:val="-13"/>
          <w:sz w:val="22"/>
        </w:rPr>
        <w:t> </w:t>
      </w:r>
      <w:r>
        <w:rPr>
          <w:sz w:val="22"/>
        </w:rPr>
        <w:t>2015.</w:t>
      </w:r>
    </w:p>
    <w:p>
      <w:pPr>
        <w:spacing w:after="0" w:line="240" w:lineRule="auto"/>
        <w:jc w:val="both"/>
        <w:rPr>
          <w:sz w:val="22"/>
        </w:rPr>
        <w:sectPr>
          <w:pgSz w:w="12240" w:h="15840"/>
          <w:pgMar w:top="840" w:bottom="280" w:left="38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57" name="image1.png" descr=""/>
                  <wp:cNvGraphicFramePr>
                    <a:graphicFrameLocks noChangeAspect="1"/>
                  </wp:cNvGraphicFramePr>
                  <a:graphic>
                    <a:graphicData uri="http://schemas.openxmlformats.org/drawingml/2006/picture">
                      <pic:pic>
                        <pic:nvPicPr>
                          <pic:cNvPr id="5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18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1"/>
        <w:spacing w:before="57"/>
        <w:jc w:val="both"/>
      </w:pPr>
      <w:r>
        <w:rPr/>
        <w:t>Respuesta Dirección de Gestión Interinstitucional.</w:t>
      </w:r>
    </w:p>
    <w:p>
      <w:pPr>
        <w:pStyle w:val="BodyText"/>
        <w:rPr>
          <w:b/>
          <w:sz w:val="20"/>
        </w:rPr>
      </w:pPr>
      <w:r>
        <w:rPr/>
        <w:drawing>
          <wp:anchor distT="0" distB="0" distL="0" distR="0" allowOverlap="1" layoutInCell="1" locked="0" behindDoc="0" simplePos="0" relativeHeight="1360">
            <wp:simplePos x="0" y="0"/>
            <wp:positionH relativeFrom="page">
              <wp:posOffset>1075944</wp:posOffset>
            </wp:positionH>
            <wp:positionV relativeFrom="paragraph">
              <wp:posOffset>180161</wp:posOffset>
            </wp:positionV>
            <wp:extent cx="5594586" cy="2807970"/>
            <wp:effectExtent l="0" t="0" r="0" b="0"/>
            <wp:wrapTopAndBottom/>
            <wp:docPr id="59" name="image14.jpeg" descr=""/>
            <wp:cNvGraphicFramePr>
              <a:graphicFrameLocks noChangeAspect="1"/>
            </wp:cNvGraphicFramePr>
            <a:graphic>
              <a:graphicData uri="http://schemas.openxmlformats.org/drawingml/2006/picture">
                <pic:pic>
                  <pic:nvPicPr>
                    <pic:cNvPr id="60" name="image14.jpeg"/>
                    <pic:cNvPicPr/>
                  </pic:nvPicPr>
                  <pic:blipFill>
                    <a:blip r:embed="rId29" cstate="print"/>
                    <a:stretch>
                      <a:fillRect/>
                    </a:stretch>
                  </pic:blipFill>
                  <pic:spPr>
                    <a:xfrm>
                      <a:off x="0" y="0"/>
                      <a:ext cx="5594586" cy="2807970"/>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923544</wp:posOffset>
            </wp:positionH>
            <wp:positionV relativeFrom="paragraph">
              <wp:posOffset>3162629</wp:posOffset>
            </wp:positionV>
            <wp:extent cx="5898968" cy="2173224"/>
            <wp:effectExtent l="0" t="0" r="0" b="0"/>
            <wp:wrapTopAndBottom/>
            <wp:docPr id="61" name="image15.jpeg" descr=""/>
            <wp:cNvGraphicFramePr>
              <a:graphicFrameLocks noChangeAspect="1"/>
            </wp:cNvGraphicFramePr>
            <a:graphic>
              <a:graphicData uri="http://schemas.openxmlformats.org/drawingml/2006/picture">
                <pic:pic>
                  <pic:nvPicPr>
                    <pic:cNvPr id="62" name="image15.jpeg"/>
                    <pic:cNvPicPr/>
                  </pic:nvPicPr>
                  <pic:blipFill>
                    <a:blip r:embed="rId30" cstate="print"/>
                    <a:stretch>
                      <a:fillRect/>
                    </a:stretch>
                  </pic:blipFill>
                  <pic:spPr>
                    <a:xfrm>
                      <a:off x="0" y="0"/>
                      <a:ext cx="5898968" cy="2173224"/>
                    </a:xfrm>
                    <a:prstGeom prst="rect">
                      <a:avLst/>
                    </a:prstGeom>
                  </pic:spPr>
                </pic:pic>
              </a:graphicData>
            </a:graphic>
          </wp:anchor>
        </w:drawing>
      </w:r>
    </w:p>
    <w:p>
      <w:pPr>
        <w:pStyle w:val="BodyText"/>
        <w:spacing w:before="11"/>
        <w:rPr>
          <w:b/>
          <w:sz w:val="16"/>
        </w:rPr>
      </w:pPr>
    </w:p>
    <w:p>
      <w:pPr>
        <w:pStyle w:val="BodyText"/>
        <w:spacing w:before="4"/>
        <w:rPr>
          <w:b/>
          <w:sz w:val="20"/>
        </w:rPr>
      </w:pPr>
    </w:p>
    <w:p>
      <w:pPr>
        <w:pStyle w:val="BodyText"/>
        <w:ind w:left="152" w:right="212"/>
        <w:jc w:val="both"/>
      </w:pPr>
      <w:r>
        <w:rPr>
          <w:b/>
        </w:rPr>
        <w:t>Pronunciamiento final OCI. </w:t>
      </w:r>
      <w:r>
        <w:rPr/>
        <w:t>De conformidad con lo expuesto por la DGI y de acuerdo a la verificación de la evidencia aportada, se levanta la observación dado que se constató el cumplimiento de los requisitos establecidos para la presente</w:t>
      </w:r>
      <w:r>
        <w:rPr>
          <w:spacing w:val="-3"/>
        </w:rPr>
        <w:t> </w:t>
      </w:r>
      <w:r>
        <w:rPr/>
        <w:t>certificación,</w:t>
      </w:r>
      <w:r>
        <w:rPr>
          <w:spacing w:val="-3"/>
        </w:rPr>
        <w:t> </w:t>
      </w:r>
      <w:r>
        <w:rPr/>
        <w:t>así</w:t>
      </w:r>
      <w:r>
        <w:rPr>
          <w:spacing w:val="-4"/>
        </w:rPr>
        <w:t> </w:t>
      </w:r>
      <w:r>
        <w:rPr/>
        <w:t>como</w:t>
      </w:r>
      <w:r>
        <w:rPr>
          <w:spacing w:val="-2"/>
        </w:rPr>
        <w:t> </w:t>
      </w:r>
      <w:r>
        <w:rPr/>
        <w:t>la</w:t>
      </w:r>
      <w:r>
        <w:rPr>
          <w:spacing w:val="-4"/>
        </w:rPr>
        <w:t> </w:t>
      </w:r>
      <w:r>
        <w:rPr/>
        <w:t>existencia</w:t>
      </w:r>
      <w:r>
        <w:rPr>
          <w:spacing w:val="-4"/>
        </w:rPr>
        <w:t> </w:t>
      </w:r>
      <w:r>
        <w:rPr/>
        <w:t>de</w:t>
      </w:r>
      <w:r>
        <w:rPr>
          <w:spacing w:val="-3"/>
        </w:rPr>
        <w:t> </w:t>
      </w:r>
      <w:r>
        <w:rPr/>
        <w:t>acta</w:t>
      </w:r>
      <w:r>
        <w:rPr>
          <w:spacing w:val="-3"/>
        </w:rPr>
        <w:t> </w:t>
      </w:r>
      <w:r>
        <w:rPr/>
        <w:t>del</w:t>
      </w:r>
      <w:r>
        <w:rPr>
          <w:spacing w:val="-3"/>
        </w:rPr>
        <w:t> </w:t>
      </w:r>
      <w:r>
        <w:rPr/>
        <w:t>mes</w:t>
      </w:r>
      <w:r>
        <w:rPr>
          <w:spacing w:val="-3"/>
        </w:rPr>
        <w:t> </w:t>
      </w:r>
      <w:r>
        <w:rPr/>
        <w:t>de</w:t>
      </w:r>
      <w:r>
        <w:rPr>
          <w:spacing w:val="-3"/>
        </w:rPr>
        <w:t> </w:t>
      </w:r>
      <w:r>
        <w:rPr/>
        <w:t>agosto</w:t>
      </w:r>
      <w:r>
        <w:rPr>
          <w:spacing w:val="-2"/>
        </w:rPr>
        <w:t> </w:t>
      </w:r>
      <w:r>
        <w:rPr/>
        <w:t>en</w:t>
      </w:r>
      <w:r>
        <w:rPr>
          <w:spacing w:val="-4"/>
        </w:rPr>
        <w:t> </w:t>
      </w:r>
      <w:r>
        <w:rPr/>
        <w:t>la</w:t>
      </w:r>
      <w:r>
        <w:rPr>
          <w:spacing w:val="-4"/>
        </w:rPr>
        <w:t> </w:t>
      </w:r>
      <w:r>
        <w:rPr/>
        <w:t>cual</w:t>
      </w:r>
      <w:r>
        <w:rPr>
          <w:spacing w:val="-6"/>
        </w:rPr>
        <w:t> </w:t>
      </w:r>
      <w:r>
        <w:rPr/>
        <w:t>se</w:t>
      </w:r>
      <w:r>
        <w:rPr>
          <w:spacing w:val="-3"/>
        </w:rPr>
        <w:t> </w:t>
      </w:r>
      <w:r>
        <w:rPr/>
        <w:t>valida</w:t>
      </w:r>
      <w:r>
        <w:rPr>
          <w:spacing w:val="-3"/>
        </w:rPr>
        <w:t> </w:t>
      </w:r>
      <w:r>
        <w:rPr/>
        <w:t>el</w:t>
      </w:r>
      <w:r>
        <w:rPr>
          <w:spacing w:val="-3"/>
        </w:rPr>
        <w:t> </w:t>
      </w:r>
      <w:r>
        <w:rPr/>
        <w:t>proceso</w:t>
      </w:r>
      <w:r>
        <w:rPr>
          <w:spacing w:val="-2"/>
        </w:rPr>
        <w:t> </w:t>
      </w:r>
      <w:r>
        <w:rPr/>
        <w:t>de</w:t>
      </w:r>
      <w:r>
        <w:rPr>
          <w:spacing w:val="-3"/>
        </w:rPr>
        <w:t> </w:t>
      </w:r>
      <w:r>
        <w:rPr/>
        <w:t>certificación.</w:t>
      </w:r>
    </w:p>
    <w:p>
      <w:pPr>
        <w:pStyle w:val="BodyText"/>
        <w:spacing w:before="10"/>
      </w:pPr>
    </w:p>
    <w:p>
      <w:pPr>
        <w:pStyle w:val="Heading1"/>
        <w:numPr>
          <w:ilvl w:val="2"/>
          <w:numId w:val="11"/>
        </w:numPr>
        <w:tabs>
          <w:tab w:pos="715" w:val="left" w:leader="none"/>
        </w:tabs>
        <w:spacing w:line="240" w:lineRule="auto" w:before="0" w:after="0"/>
        <w:ind w:left="714" w:right="0" w:hanging="562"/>
        <w:jc w:val="both"/>
      </w:pPr>
      <w:r>
        <w:rPr/>
        <w:t>PROCURADURÍA GENERAL DE LA</w:t>
      </w:r>
      <w:r>
        <w:rPr>
          <w:spacing w:val="-16"/>
        </w:rPr>
        <w:t> </w:t>
      </w:r>
      <w:r>
        <w:rPr/>
        <w:t>NACIÓN.</w:t>
      </w:r>
    </w:p>
    <w:p>
      <w:pPr>
        <w:pStyle w:val="BodyText"/>
        <w:rPr>
          <w:b/>
          <w:sz w:val="23"/>
        </w:rPr>
      </w:pPr>
    </w:p>
    <w:p>
      <w:pPr>
        <w:pStyle w:val="BodyText"/>
        <w:ind w:left="152" w:right="214"/>
        <w:jc w:val="both"/>
      </w:pPr>
      <w:r>
        <w:rPr/>
        <w:t>De conformidad con lo establecido en el artículo 160 de la Ley 1448 de 2011, se establecen las entidades del orden Nacional</w:t>
      </w:r>
      <w:r>
        <w:rPr>
          <w:spacing w:val="-9"/>
        </w:rPr>
        <w:t> </w:t>
      </w:r>
      <w:r>
        <w:rPr/>
        <w:t>que</w:t>
      </w:r>
      <w:r>
        <w:rPr>
          <w:spacing w:val="-11"/>
        </w:rPr>
        <w:t> </w:t>
      </w:r>
      <w:r>
        <w:rPr/>
        <w:t>conforman</w:t>
      </w:r>
      <w:r>
        <w:rPr>
          <w:spacing w:val="-12"/>
        </w:rPr>
        <w:t> </w:t>
      </w:r>
      <w:r>
        <w:rPr/>
        <w:t>el</w:t>
      </w:r>
      <w:r>
        <w:rPr>
          <w:spacing w:val="-11"/>
        </w:rPr>
        <w:t> </w:t>
      </w:r>
      <w:r>
        <w:rPr/>
        <w:t>Sistema</w:t>
      </w:r>
      <w:r>
        <w:rPr>
          <w:spacing w:val="-9"/>
        </w:rPr>
        <w:t> </w:t>
      </w:r>
      <w:r>
        <w:rPr/>
        <w:t>Nacional</w:t>
      </w:r>
      <w:r>
        <w:rPr>
          <w:spacing w:val="-12"/>
        </w:rPr>
        <w:t> </w:t>
      </w:r>
      <w:r>
        <w:rPr/>
        <w:t>de</w:t>
      </w:r>
      <w:r>
        <w:rPr>
          <w:spacing w:val="-11"/>
        </w:rPr>
        <w:t> </w:t>
      </w:r>
      <w:r>
        <w:rPr/>
        <w:t>Atención</w:t>
      </w:r>
      <w:r>
        <w:rPr>
          <w:spacing w:val="-12"/>
        </w:rPr>
        <w:t> </w:t>
      </w:r>
      <w:r>
        <w:rPr/>
        <w:t>y</w:t>
      </w:r>
      <w:r>
        <w:rPr>
          <w:spacing w:val="-10"/>
        </w:rPr>
        <w:t> </w:t>
      </w:r>
      <w:r>
        <w:rPr/>
        <w:t>Reparación</w:t>
      </w:r>
      <w:r>
        <w:rPr>
          <w:spacing w:val="-12"/>
        </w:rPr>
        <w:t> </w:t>
      </w:r>
      <w:r>
        <w:rPr/>
        <w:t>Integral</w:t>
      </w:r>
      <w:r>
        <w:rPr>
          <w:spacing w:val="-12"/>
        </w:rPr>
        <w:t> </w:t>
      </w:r>
      <w:r>
        <w:rPr/>
        <w:t>a</w:t>
      </w:r>
      <w:r>
        <w:rPr>
          <w:spacing w:val="-12"/>
        </w:rPr>
        <w:t> </w:t>
      </w:r>
      <w:r>
        <w:rPr/>
        <w:t>las</w:t>
      </w:r>
      <w:r>
        <w:rPr>
          <w:spacing w:val="-9"/>
        </w:rPr>
        <w:t> </w:t>
      </w:r>
      <w:r>
        <w:rPr/>
        <w:t>Víctimas,</w:t>
      </w:r>
      <w:r>
        <w:rPr>
          <w:spacing w:val="-9"/>
        </w:rPr>
        <w:t> </w:t>
      </w:r>
      <w:r>
        <w:rPr/>
        <w:t>listado</w:t>
      </w:r>
      <w:r>
        <w:rPr>
          <w:spacing w:val="-11"/>
        </w:rPr>
        <w:t> </w:t>
      </w:r>
      <w:r>
        <w:rPr/>
        <w:t>en</w:t>
      </w:r>
      <w:r>
        <w:rPr>
          <w:spacing w:val="-12"/>
        </w:rPr>
        <w:t> </w:t>
      </w:r>
      <w:r>
        <w:rPr/>
        <w:t>el</w:t>
      </w:r>
      <w:r>
        <w:rPr>
          <w:spacing w:val="-11"/>
        </w:rPr>
        <w:t> </w:t>
      </w:r>
      <w:r>
        <w:rPr/>
        <w:t>que</w:t>
      </w:r>
      <w:r>
        <w:rPr>
          <w:spacing w:val="-8"/>
        </w:rPr>
        <w:t> </w:t>
      </w:r>
      <w:r>
        <w:rPr/>
        <w:t>no</w:t>
      </w:r>
      <w:r>
        <w:rPr>
          <w:spacing w:val="-8"/>
        </w:rPr>
        <w:t> </w:t>
      </w:r>
      <w:r>
        <w:rPr/>
        <w:t>hace parte</w:t>
      </w:r>
      <w:r>
        <w:rPr>
          <w:spacing w:val="-11"/>
        </w:rPr>
        <w:t> </w:t>
      </w:r>
      <w:r>
        <w:rPr/>
        <w:t>la</w:t>
      </w:r>
      <w:r>
        <w:rPr>
          <w:spacing w:val="-16"/>
        </w:rPr>
        <w:t> </w:t>
      </w:r>
      <w:r>
        <w:rPr/>
        <w:t>Procuraduría</w:t>
      </w:r>
      <w:r>
        <w:rPr>
          <w:spacing w:val="-12"/>
        </w:rPr>
        <w:t> </w:t>
      </w:r>
      <w:r>
        <w:rPr/>
        <w:t>General</w:t>
      </w:r>
      <w:r>
        <w:rPr>
          <w:spacing w:val="-12"/>
        </w:rPr>
        <w:t> </w:t>
      </w:r>
      <w:r>
        <w:rPr/>
        <w:t>de</w:t>
      </w:r>
      <w:r>
        <w:rPr>
          <w:spacing w:val="-13"/>
        </w:rPr>
        <w:t> </w:t>
      </w:r>
      <w:r>
        <w:rPr/>
        <w:t>la</w:t>
      </w:r>
      <w:r>
        <w:rPr>
          <w:spacing w:val="-12"/>
        </w:rPr>
        <w:t> </w:t>
      </w:r>
      <w:r>
        <w:rPr/>
        <w:t>Nación;</w:t>
      </w:r>
      <w:r>
        <w:rPr>
          <w:spacing w:val="-12"/>
        </w:rPr>
        <w:t> </w:t>
      </w:r>
      <w:r>
        <w:rPr/>
        <w:t>no</w:t>
      </w:r>
      <w:r>
        <w:rPr>
          <w:spacing w:val="-14"/>
        </w:rPr>
        <w:t> </w:t>
      </w:r>
      <w:r>
        <w:rPr/>
        <w:t>obstante,</w:t>
      </w:r>
      <w:r>
        <w:rPr>
          <w:spacing w:val="-11"/>
        </w:rPr>
        <w:t> </w:t>
      </w:r>
      <w:r>
        <w:rPr/>
        <w:t>al</w:t>
      </w:r>
      <w:r>
        <w:rPr>
          <w:spacing w:val="-14"/>
        </w:rPr>
        <w:t> </w:t>
      </w:r>
      <w:r>
        <w:rPr/>
        <w:t>revisar</w:t>
      </w:r>
      <w:r>
        <w:rPr>
          <w:spacing w:val="-14"/>
        </w:rPr>
        <w:t> </w:t>
      </w:r>
      <w:r>
        <w:rPr/>
        <w:t>el</w:t>
      </w:r>
      <w:r>
        <w:rPr>
          <w:spacing w:val="-14"/>
        </w:rPr>
        <w:t> </w:t>
      </w:r>
      <w:r>
        <w:rPr/>
        <w:t>documento</w:t>
      </w:r>
      <w:r>
        <w:rPr>
          <w:spacing w:val="-12"/>
        </w:rPr>
        <w:t> </w:t>
      </w:r>
      <w:r>
        <w:rPr/>
        <w:t>de</w:t>
      </w:r>
      <w:r>
        <w:rPr>
          <w:spacing w:val="-11"/>
        </w:rPr>
        <w:t> </w:t>
      </w:r>
      <w:r>
        <w:rPr/>
        <w:t>la</w:t>
      </w:r>
      <w:r>
        <w:rPr>
          <w:spacing w:val="-14"/>
        </w:rPr>
        <w:t> </w:t>
      </w:r>
      <w:r>
        <w:rPr/>
        <w:t>metodología</w:t>
      </w:r>
      <w:r>
        <w:rPr>
          <w:spacing w:val="-12"/>
        </w:rPr>
        <w:t> </w:t>
      </w:r>
      <w:r>
        <w:rPr/>
        <w:t>de</w:t>
      </w:r>
      <w:r>
        <w:rPr>
          <w:spacing w:val="-11"/>
        </w:rPr>
        <w:t> </w:t>
      </w:r>
      <w:r>
        <w:rPr/>
        <w:t>la</w:t>
      </w:r>
      <w:r>
        <w:rPr>
          <w:spacing w:val="-14"/>
        </w:rPr>
        <w:t> </w:t>
      </w:r>
      <w:r>
        <w:rPr/>
        <w:t>certificaciones para   el   2014,   se   observó   incluida   esta   entidad,   sin   embrago   en   los   expedientes   digitales   ubicado    </w:t>
      </w:r>
      <w:r>
        <w:rPr>
          <w:spacing w:val="30"/>
        </w:rPr>
        <w:t> </w:t>
      </w:r>
      <w:r>
        <w:rPr/>
        <w:t>en</w:t>
      </w:r>
    </w:p>
    <w:p>
      <w:pPr>
        <w:pStyle w:val="BodyText"/>
        <w:ind w:left="152"/>
        <w:jc w:val="both"/>
      </w:pPr>
      <w:r>
        <w:rPr>
          <w:color w:val="001F5F"/>
        </w:rPr>
        <w:t>\\totoro\Unidad_Victimas\Dir  Gestion  Interinstitucional\Coordinación  SNARIV\210.29   CERTIFICACIONES\210.29.1</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63" name="image1.png" descr=""/>
                  <wp:cNvGraphicFramePr>
                    <a:graphicFrameLocks noChangeAspect="1"/>
                  </wp:cNvGraphicFramePr>
                  <a:graphic>
                    <a:graphicData uri="http://schemas.openxmlformats.org/drawingml/2006/picture">
                      <pic:pic>
                        <pic:nvPicPr>
                          <pic:cNvPr id="6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19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line="242" w:lineRule="auto" w:before="57"/>
        <w:ind w:left="152" w:right="393"/>
        <w:jc w:val="both"/>
      </w:pPr>
      <w:r>
        <w:rPr>
          <w:color w:val="001F5F"/>
        </w:rPr>
        <w:t>Certificación Nacional del SNARIV\2015 Certificación 2014\Informes por entidad, </w:t>
      </w:r>
      <w:r>
        <w:rPr/>
        <w:t>no se evidenciaron los soportes documentales y trazabilidad de la información relacionada a la certificación de esta Entidad, como se evidencia a continuación.</w:t>
      </w:r>
    </w:p>
    <w:p>
      <w:pPr>
        <w:pStyle w:val="BodyText"/>
        <w:spacing w:before="11"/>
        <w:rPr>
          <w:sz w:val="12"/>
        </w:rPr>
      </w:pPr>
      <w:r>
        <w:rPr/>
        <w:pict>
          <v:group style="position:absolute;margin-left:124.080002pt;margin-top:9.851645pt;width:361.1pt;height:368.8pt;mso-position-horizontal-relative:page;mso-position-vertical-relative:paragraph;z-index:1408;mso-wrap-distance-left:0;mso-wrap-distance-right:0" coordorigin="2482,197" coordsize="7222,7376">
            <v:shape style="position:absolute;left:2928;top:197;width:6336;height:6084" type="#_x0000_t75" stroked="false">
              <v:imagedata r:id="rId31" o:title=""/>
            </v:shape>
            <v:shape style="position:absolute;left:2482;top:6288;width:7222;height:1284" type="#_x0000_t75" stroked="false">
              <v:imagedata r:id="rId32" o:title=""/>
            </v:shape>
            <w10:wrap type="topAndBottom"/>
          </v:group>
        </w:pict>
      </w:r>
    </w:p>
    <w:p>
      <w:pPr>
        <w:pStyle w:val="BodyText"/>
        <w:rPr>
          <w:sz w:val="21"/>
        </w:rPr>
      </w:pPr>
    </w:p>
    <w:p>
      <w:pPr>
        <w:pStyle w:val="BodyText"/>
        <w:spacing w:before="1"/>
        <w:ind w:left="152" w:right="112"/>
        <w:jc w:val="both"/>
      </w:pPr>
      <w:r>
        <w:rPr>
          <w:b/>
        </w:rPr>
        <w:t>Observación: </w:t>
      </w:r>
      <w:r>
        <w:rPr/>
        <w:t>Se evidenció inclusión de la Procuraduría General de la Nación como entidad a certificar en el documento de metodología de certificación para el año 2014, aun cuando no se encuentra incluida en el artículo 160 de la ley 1448 de 2011.</w:t>
      </w:r>
    </w:p>
    <w:p>
      <w:pPr>
        <w:pStyle w:val="BodyText"/>
        <w:spacing w:before="10"/>
      </w:pPr>
    </w:p>
    <w:p>
      <w:pPr>
        <w:pStyle w:val="Heading1"/>
        <w:jc w:val="both"/>
      </w:pPr>
      <w:r>
        <w:rPr/>
        <w:t>Repuesta Dirección de Gestión Interinstitucional.</w:t>
      </w:r>
    </w:p>
    <w:p>
      <w:pPr>
        <w:pStyle w:val="BodyText"/>
        <w:spacing w:before="11"/>
        <w:rPr>
          <w:b/>
          <w:sz w:val="19"/>
        </w:rPr>
      </w:pPr>
      <w:r>
        <w:rPr/>
        <w:drawing>
          <wp:anchor distT="0" distB="0" distL="0" distR="0" allowOverlap="1" layoutInCell="1" locked="0" behindDoc="0" simplePos="0" relativeHeight="1432">
            <wp:simplePos x="0" y="0"/>
            <wp:positionH relativeFrom="page">
              <wp:posOffset>541019</wp:posOffset>
            </wp:positionH>
            <wp:positionV relativeFrom="paragraph">
              <wp:posOffset>179144</wp:posOffset>
            </wp:positionV>
            <wp:extent cx="6823652" cy="1008316"/>
            <wp:effectExtent l="0" t="0" r="0" b="0"/>
            <wp:wrapTopAndBottom/>
            <wp:docPr id="65" name="image18.png" descr=""/>
            <wp:cNvGraphicFramePr>
              <a:graphicFrameLocks noChangeAspect="1"/>
            </wp:cNvGraphicFramePr>
            <a:graphic>
              <a:graphicData uri="http://schemas.openxmlformats.org/drawingml/2006/picture">
                <pic:pic>
                  <pic:nvPicPr>
                    <pic:cNvPr id="66" name="image18.png"/>
                    <pic:cNvPicPr/>
                  </pic:nvPicPr>
                  <pic:blipFill>
                    <a:blip r:embed="rId33" cstate="print"/>
                    <a:stretch>
                      <a:fillRect/>
                    </a:stretch>
                  </pic:blipFill>
                  <pic:spPr>
                    <a:xfrm>
                      <a:off x="0" y="0"/>
                      <a:ext cx="6823652" cy="1008316"/>
                    </a:xfrm>
                    <a:prstGeom prst="rect">
                      <a:avLst/>
                    </a:prstGeom>
                  </pic:spPr>
                </pic:pic>
              </a:graphicData>
            </a:graphic>
          </wp:anchor>
        </w:drawing>
      </w:r>
    </w:p>
    <w:p>
      <w:pPr>
        <w:spacing w:after="0"/>
        <w:rPr>
          <w:sz w:val="19"/>
        </w:rPr>
        <w:sectPr>
          <w:pgSz w:w="12240" w:h="15840"/>
          <w:pgMar w:top="840" w:bottom="280" w:left="700" w:right="50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67" name="image1.png" descr=""/>
                  <wp:cNvGraphicFramePr>
                    <a:graphicFrameLocks noChangeAspect="1"/>
                  </wp:cNvGraphicFramePr>
                  <a:graphic>
                    <a:graphicData uri="http://schemas.openxmlformats.org/drawingml/2006/picture">
                      <pic:pic>
                        <pic:nvPicPr>
                          <pic:cNvPr id="6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20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pStyle w:val="BodyText"/>
        <w:spacing w:before="57"/>
        <w:ind w:left="152" w:right="245"/>
      </w:pPr>
      <w:r>
        <w:rPr>
          <w:b/>
        </w:rPr>
        <w:t>Pronunciamiento final OCI. </w:t>
      </w:r>
      <w:r>
        <w:rPr/>
        <w:t>Teniendo en cuenta que la Subdirección de Coordinación Nación SNARIV Territorio, remitió soporte de la corrección del error, se levanta la observación.</w:t>
      </w:r>
    </w:p>
    <w:p>
      <w:pPr>
        <w:pStyle w:val="BodyText"/>
        <w:rPr>
          <w:sz w:val="23"/>
        </w:rPr>
      </w:pPr>
    </w:p>
    <w:p>
      <w:pPr>
        <w:pStyle w:val="Heading1"/>
        <w:ind w:left="3364" w:right="245" w:hanging="2785"/>
        <w:jc w:val="left"/>
      </w:pPr>
      <w:r>
        <w:rPr/>
        <w:t>3.3. CERTIFICACIÓN A LAS ENTIDADES QUE CONFORMAN EL SISTEMA NACIONAL DE ATENCIÓN Y REPARACIÓN INTEGRAL A LAS VÍCTIMAS A NIVEL TERRITORIAL.</w:t>
      </w:r>
    </w:p>
    <w:p>
      <w:pPr>
        <w:pStyle w:val="BodyText"/>
        <w:spacing w:before="10"/>
        <w:rPr>
          <w:b/>
        </w:rPr>
      </w:pPr>
    </w:p>
    <w:p>
      <w:pPr>
        <w:pStyle w:val="BodyText"/>
        <w:ind w:left="152" w:right="109"/>
        <w:jc w:val="both"/>
      </w:pPr>
      <w:r>
        <w:rPr/>
        <w:t>Con</w:t>
      </w:r>
      <w:r>
        <w:rPr>
          <w:spacing w:val="-7"/>
        </w:rPr>
        <w:t> </w:t>
      </w:r>
      <w:r>
        <w:rPr/>
        <w:t>el</w:t>
      </w:r>
      <w:r>
        <w:rPr>
          <w:spacing w:val="-6"/>
        </w:rPr>
        <w:t> </w:t>
      </w:r>
      <w:r>
        <w:rPr/>
        <w:t>fin</w:t>
      </w:r>
      <w:r>
        <w:rPr>
          <w:spacing w:val="-8"/>
        </w:rPr>
        <w:t> </w:t>
      </w:r>
      <w:r>
        <w:rPr/>
        <w:t>de</w:t>
      </w:r>
      <w:r>
        <w:rPr>
          <w:spacing w:val="-6"/>
        </w:rPr>
        <w:t> </w:t>
      </w:r>
      <w:r>
        <w:rPr/>
        <w:t>verificar</w:t>
      </w:r>
      <w:r>
        <w:rPr>
          <w:spacing w:val="-9"/>
        </w:rPr>
        <w:t> </w:t>
      </w:r>
      <w:r>
        <w:rPr/>
        <w:t>el</w:t>
      </w:r>
      <w:r>
        <w:rPr>
          <w:spacing w:val="-6"/>
        </w:rPr>
        <w:t> </w:t>
      </w:r>
      <w:r>
        <w:rPr/>
        <w:t>cumplimiento</w:t>
      </w:r>
      <w:r>
        <w:rPr>
          <w:spacing w:val="-8"/>
        </w:rPr>
        <w:t> </w:t>
      </w:r>
      <w:r>
        <w:rPr/>
        <w:t>del</w:t>
      </w:r>
      <w:r>
        <w:rPr>
          <w:spacing w:val="-6"/>
        </w:rPr>
        <w:t> </w:t>
      </w:r>
      <w:r>
        <w:rPr/>
        <w:t>procedimiento</w:t>
      </w:r>
      <w:r>
        <w:rPr>
          <w:spacing w:val="-7"/>
        </w:rPr>
        <w:t> </w:t>
      </w:r>
      <w:r>
        <w:rPr/>
        <w:t>objeto</w:t>
      </w:r>
      <w:r>
        <w:rPr>
          <w:spacing w:val="-5"/>
        </w:rPr>
        <w:t> </w:t>
      </w:r>
      <w:r>
        <w:rPr/>
        <w:t>de</w:t>
      </w:r>
      <w:r>
        <w:rPr>
          <w:spacing w:val="-8"/>
        </w:rPr>
        <w:t> </w:t>
      </w:r>
      <w:r>
        <w:rPr/>
        <w:t>auditoría,</w:t>
      </w:r>
      <w:r>
        <w:rPr>
          <w:spacing w:val="-9"/>
        </w:rPr>
        <w:t> </w:t>
      </w:r>
      <w:r>
        <w:rPr/>
        <w:t>la</w:t>
      </w:r>
      <w:r>
        <w:rPr>
          <w:spacing w:val="35"/>
        </w:rPr>
        <w:t> </w:t>
      </w:r>
      <w:r>
        <w:rPr/>
        <w:t>Oficina</w:t>
      </w:r>
      <w:r>
        <w:rPr>
          <w:spacing w:val="-7"/>
        </w:rPr>
        <w:t> </w:t>
      </w:r>
      <w:r>
        <w:rPr/>
        <w:t>de</w:t>
      </w:r>
      <w:r>
        <w:rPr>
          <w:spacing w:val="-6"/>
        </w:rPr>
        <w:t> </w:t>
      </w:r>
      <w:r>
        <w:rPr/>
        <w:t>Control</w:t>
      </w:r>
      <w:r>
        <w:rPr>
          <w:spacing w:val="-7"/>
        </w:rPr>
        <w:t> </w:t>
      </w:r>
      <w:r>
        <w:rPr/>
        <w:t>Interno,</w:t>
      </w:r>
      <w:r>
        <w:rPr>
          <w:spacing w:val="-9"/>
        </w:rPr>
        <w:t> </w:t>
      </w:r>
      <w:r>
        <w:rPr/>
        <w:t>consultó</w:t>
      </w:r>
      <w:r>
        <w:rPr>
          <w:spacing w:val="-5"/>
        </w:rPr>
        <w:t> </w:t>
      </w:r>
      <w:r>
        <w:rPr/>
        <w:t>los expedientes digitales que reposan en </w:t>
      </w:r>
      <w:r>
        <w:rPr>
          <w:color w:val="001F5F"/>
        </w:rPr>
        <w:t>\\totoro\Unidad_Victimas\Dir Gestion Interinstitucional\Coordinación Nación Territorio\220.29 Certificaciones\220.29.3\Vigencia 2014, </w:t>
      </w:r>
      <w:r>
        <w:rPr/>
        <w:t>encontrando entre otros, documento de metodología de certificación</w:t>
      </w:r>
      <w:r>
        <w:rPr>
          <w:spacing w:val="-9"/>
        </w:rPr>
        <w:t> </w:t>
      </w:r>
      <w:r>
        <w:rPr/>
        <w:t>de</w:t>
      </w:r>
      <w:r>
        <w:rPr>
          <w:spacing w:val="-7"/>
        </w:rPr>
        <w:t> </w:t>
      </w:r>
      <w:r>
        <w:rPr/>
        <w:t>la</w:t>
      </w:r>
      <w:r>
        <w:rPr>
          <w:spacing w:val="-9"/>
        </w:rPr>
        <w:t> </w:t>
      </w:r>
      <w:r>
        <w:rPr/>
        <w:t>contribución</w:t>
      </w:r>
      <w:r>
        <w:rPr>
          <w:spacing w:val="-9"/>
        </w:rPr>
        <w:t> </w:t>
      </w:r>
      <w:r>
        <w:rPr/>
        <w:t>de</w:t>
      </w:r>
      <w:r>
        <w:rPr>
          <w:spacing w:val="-7"/>
        </w:rPr>
        <w:t> </w:t>
      </w:r>
      <w:r>
        <w:rPr/>
        <w:t>las</w:t>
      </w:r>
      <w:r>
        <w:rPr>
          <w:spacing w:val="-9"/>
        </w:rPr>
        <w:t> </w:t>
      </w:r>
      <w:r>
        <w:rPr/>
        <w:t>entidades</w:t>
      </w:r>
      <w:r>
        <w:rPr>
          <w:spacing w:val="-10"/>
        </w:rPr>
        <w:t> </w:t>
      </w:r>
      <w:r>
        <w:rPr/>
        <w:t>territoriales</w:t>
      </w:r>
      <w:r>
        <w:rPr>
          <w:spacing w:val="-8"/>
        </w:rPr>
        <w:t> </w:t>
      </w:r>
      <w:r>
        <w:rPr/>
        <w:t>al</w:t>
      </w:r>
      <w:r>
        <w:rPr>
          <w:spacing w:val="-8"/>
        </w:rPr>
        <w:t> </w:t>
      </w:r>
      <w:r>
        <w:rPr/>
        <w:t>goce</w:t>
      </w:r>
      <w:r>
        <w:rPr>
          <w:spacing w:val="-7"/>
        </w:rPr>
        <w:t> </w:t>
      </w:r>
      <w:r>
        <w:rPr/>
        <w:t>efectivo</w:t>
      </w:r>
      <w:r>
        <w:rPr>
          <w:spacing w:val="-7"/>
        </w:rPr>
        <w:t> </w:t>
      </w:r>
      <w:r>
        <w:rPr/>
        <w:t>de</w:t>
      </w:r>
      <w:r>
        <w:rPr>
          <w:spacing w:val="-7"/>
        </w:rPr>
        <w:t> </w:t>
      </w:r>
      <w:r>
        <w:rPr/>
        <w:t>los</w:t>
      </w:r>
      <w:r>
        <w:rPr>
          <w:spacing w:val="-8"/>
        </w:rPr>
        <w:t> </w:t>
      </w:r>
      <w:r>
        <w:rPr/>
        <w:t>derechos</w:t>
      </w:r>
      <w:r>
        <w:rPr>
          <w:spacing w:val="-8"/>
        </w:rPr>
        <w:t> </w:t>
      </w:r>
      <w:r>
        <w:rPr/>
        <w:t>de</w:t>
      </w:r>
      <w:r>
        <w:rPr>
          <w:spacing w:val="-7"/>
        </w:rPr>
        <w:t> </w:t>
      </w:r>
      <w:r>
        <w:rPr/>
        <w:t>las</w:t>
      </w:r>
      <w:r>
        <w:rPr>
          <w:spacing w:val="-9"/>
        </w:rPr>
        <w:t> </w:t>
      </w:r>
      <w:r>
        <w:rPr/>
        <w:t>víctimas,</w:t>
      </w:r>
      <w:r>
        <w:rPr>
          <w:spacing w:val="-11"/>
        </w:rPr>
        <w:t> </w:t>
      </w:r>
      <w:r>
        <w:rPr/>
        <w:t>documento que fue verificado por ésta Oficina; por lo tanto y para constatar el cumplimiento del procedimiento, así como de la metodología establecida, se tomó una muestra aleatoria de tres (3) municipios</w:t>
      </w:r>
      <w:r>
        <w:rPr>
          <w:b/>
        </w:rPr>
        <w:t>; Rio Quito (Chocó), Paz de Ariporo (Casanare) y Montería (Córdoba) y tres (3) departamentos; Tolima, Caquetá y Arauca</w:t>
      </w:r>
      <w:r>
        <w:rPr/>
        <w:t>, en donde se verificó el proceso en ellos realizado y los resultados</w:t>
      </w:r>
      <w:r>
        <w:rPr>
          <w:spacing w:val="-12"/>
        </w:rPr>
        <w:t> </w:t>
      </w:r>
      <w:r>
        <w:rPr/>
        <w:t>obtenidos.</w:t>
      </w:r>
    </w:p>
    <w:p>
      <w:pPr>
        <w:pStyle w:val="BodyText"/>
        <w:rPr>
          <w:sz w:val="23"/>
        </w:rPr>
      </w:pPr>
    </w:p>
    <w:p>
      <w:pPr>
        <w:pStyle w:val="BodyText"/>
        <w:ind w:left="152" w:right="108"/>
        <w:jc w:val="both"/>
      </w:pPr>
      <w:r>
        <w:rPr/>
        <w:t>Como es indicado por el documento de metodología elaborado por la Subdirección de Coordinación Nación Territorio, se</w:t>
      </w:r>
      <w:r>
        <w:rPr>
          <w:spacing w:val="-5"/>
        </w:rPr>
        <w:t> </w:t>
      </w:r>
      <w:r>
        <w:rPr/>
        <w:t>establecen</w:t>
      </w:r>
      <w:r>
        <w:rPr>
          <w:spacing w:val="-6"/>
        </w:rPr>
        <w:t> </w:t>
      </w:r>
      <w:r>
        <w:rPr/>
        <w:t>los</w:t>
      </w:r>
      <w:r>
        <w:rPr>
          <w:spacing w:val="-6"/>
        </w:rPr>
        <w:t> </w:t>
      </w:r>
      <w:r>
        <w:rPr/>
        <w:t>criterios</w:t>
      </w:r>
      <w:r>
        <w:rPr>
          <w:spacing w:val="-8"/>
        </w:rPr>
        <w:t> </w:t>
      </w:r>
      <w:r>
        <w:rPr/>
        <w:t>objeto</w:t>
      </w:r>
      <w:r>
        <w:rPr>
          <w:spacing w:val="-4"/>
        </w:rPr>
        <w:t> </w:t>
      </w:r>
      <w:r>
        <w:rPr/>
        <w:t>de</w:t>
      </w:r>
      <w:r>
        <w:rPr>
          <w:spacing w:val="-7"/>
        </w:rPr>
        <w:t> </w:t>
      </w:r>
      <w:r>
        <w:rPr/>
        <w:t>certificación,</w:t>
      </w:r>
      <w:r>
        <w:rPr>
          <w:spacing w:val="-5"/>
        </w:rPr>
        <w:t> </w:t>
      </w:r>
      <w:r>
        <w:rPr/>
        <w:t>insumos</w:t>
      </w:r>
      <w:r>
        <w:rPr>
          <w:spacing w:val="-6"/>
        </w:rPr>
        <w:t> </w:t>
      </w:r>
      <w:r>
        <w:rPr/>
        <w:t>a</w:t>
      </w:r>
      <w:r>
        <w:rPr>
          <w:spacing w:val="-6"/>
        </w:rPr>
        <w:t> </w:t>
      </w:r>
      <w:r>
        <w:rPr/>
        <w:t>utilizar</w:t>
      </w:r>
      <w:r>
        <w:rPr>
          <w:spacing w:val="-6"/>
        </w:rPr>
        <w:t> </w:t>
      </w:r>
      <w:r>
        <w:rPr/>
        <w:t>por</w:t>
      </w:r>
      <w:r>
        <w:rPr>
          <w:spacing w:val="-6"/>
        </w:rPr>
        <w:t> </w:t>
      </w:r>
      <w:r>
        <w:rPr/>
        <w:t>la</w:t>
      </w:r>
      <w:r>
        <w:rPr>
          <w:spacing w:val="-6"/>
        </w:rPr>
        <w:t> </w:t>
      </w:r>
      <w:r>
        <w:rPr/>
        <w:t>Unidad</w:t>
      </w:r>
      <w:r>
        <w:rPr>
          <w:spacing w:val="-6"/>
        </w:rPr>
        <w:t> </w:t>
      </w:r>
      <w:r>
        <w:rPr/>
        <w:t>para</w:t>
      </w:r>
      <w:r>
        <w:rPr>
          <w:spacing w:val="-6"/>
        </w:rPr>
        <w:t> </w:t>
      </w:r>
      <w:r>
        <w:rPr/>
        <w:t>realizar</w:t>
      </w:r>
      <w:r>
        <w:rPr>
          <w:spacing w:val="-6"/>
        </w:rPr>
        <w:t> </w:t>
      </w:r>
      <w:r>
        <w:rPr/>
        <w:t>la</w:t>
      </w:r>
      <w:r>
        <w:rPr>
          <w:spacing w:val="-6"/>
        </w:rPr>
        <w:t> </w:t>
      </w:r>
      <w:r>
        <w:rPr/>
        <w:t>medición,</w:t>
      </w:r>
      <w:r>
        <w:rPr>
          <w:spacing w:val="-5"/>
        </w:rPr>
        <w:t> </w:t>
      </w:r>
      <w:r>
        <w:rPr/>
        <w:t>así</w:t>
      </w:r>
      <w:r>
        <w:rPr>
          <w:spacing w:val="-6"/>
        </w:rPr>
        <w:t> </w:t>
      </w:r>
      <w:r>
        <w:rPr/>
        <w:t>como</w:t>
      </w:r>
      <w:r>
        <w:rPr>
          <w:spacing w:val="-4"/>
        </w:rPr>
        <w:t> </w:t>
      </w:r>
      <w:r>
        <w:rPr/>
        <w:t>las directrices</w:t>
      </w:r>
      <w:r>
        <w:rPr>
          <w:spacing w:val="-13"/>
        </w:rPr>
        <w:t> </w:t>
      </w:r>
      <w:r>
        <w:rPr/>
        <w:t>y</w:t>
      </w:r>
      <w:r>
        <w:rPr>
          <w:spacing w:val="-12"/>
        </w:rPr>
        <w:t> </w:t>
      </w:r>
      <w:r>
        <w:rPr/>
        <w:t>metodología</w:t>
      </w:r>
      <w:r>
        <w:rPr>
          <w:spacing w:val="-13"/>
        </w:rPr>
        <w:t> </w:t>
      </w:r>
      <w:r>
        <w:rPr/>
        <w:t>establecida</w:t>
      </w:r>
      <w:r>
        <w:rPr>
          <w:spacing w:val="-12"/>
        </w:rPr>
        <w:t> </w:t>
      </w:r>
      <w:r>
        <w:rPr/>
        <w:t>para</w:t>
      </w:r>
      <w:r>
        <w:rPr>
          <w:spacing w:val="-13"/>
        </w:rPr>
        <w:t> </w:t>
      </w:r>
      <w:r>
        <w:rPr/>
        <w:t>las</w:t>
      </w:r>
      <w:r>
        <w:rPr>
          <w:spacing w:val="-13"/>
        </w:rPr>
        <w:t> </w:t>
      </w:r>
      <w:r>
        <w:rPr/>
        <w:t>certificaciones</w:t>
      </w:r>
      <w:r>
        <w:rPr>
          <w:spacing w:val="-12"/>
        </w:rPr>
        <w:t> </w:t>
      </w:r>
      <w:r>
        <w:rPr/>
        <w:t>del</w:t>
      </w:r>
      <w:r>
        <w:rPr>
          <w:spacing w:val="-13"/>
        </w:rPr>
        <w:t> </w:t>
      </w:r>
      <w:r>
        <w:rPr/>
        <w:t>año</w:t>
      </w:r>
      <w:r>
        <w:rPr>
          <w:spacing w:val="-12"/>
        </w:rPr>
        <w:t> </w:t>
      </w:r>
      <w:r>
        <w:rPr/>
        <w:t>2014.</w:t>
      </w:r>
      <w:r>
        <w:rPr>
          <w:spacing w:val="-11"/>
        </w:rPr>
        <w:t> </w:t>
      </w:r>
      <w:r>
        <w:rPr/>
        <w:t>A</w:t>
      </w:r>
      <w:r>
        <w:rPr>
          <w:spacing w:val="-13"/>
        </w:rPr>
        <w:t> </w:t>
      </w:r>
      <w:r>
        <w:rPr/>
        <w:t>continuación</w:t>
      </w:r>
      <w:r>
        <w:rPr>
          <w:spacing w:val="-11"/>
        </w:rPr>
        <w:t> </w:t>
      </w:r>
      <w:r>
        <w:rPr/>
        <w:t>se</w:t>
      </w:r>
      <w:r>
        <w:rPr>
          <w:spacing w:val="-12"/>
        </w:rPr>
        <w:t> </w:t>
      </w:r>
      <w:r>
        <w:rPr/>
        <w:t>indican</w:t>
      </w:r>
      <w:r>
        <w:rPr>
          <w:spacing w:val="-12"/>
        </w:rPr>
        <w:t> </w:t>
      </w:r>
      <w:r>
        <w:rPr/>
        <w:t>de</w:t>
      </w:r>
      <w:r>
        <w:rPr>
          <w:spacing w:val="-15"/>
        </w:rPr>
        <w:t> </w:t>
      </w:r>
      <w:r>
        <w:rPr/>
        <w:t>manera</w:t>
      </w:r>
      <w:r>
        <w:rPr>
          <w:spacing w:val="-11"/>
        </w:rPr>
        <w:t> </w:t>
      </w:r>
      <w:r>
        <w:rPr/>
        <w:t>general, los criterios y grupo temático correspondiente, de igual forma los insumos establecidos para que los entes territoriales diligencien</w:t>
      </w:r>
      <w:r>
        <w:rPr>
          <w:spacing w:val="-8"/>
        </w:rPr>
        <w:t> </w:t>
      </w:r>
      <w:r>
        <w:rPr/>
        <w:t>respectivamente.</w:t>
      </w:r>
    </w:p>
    <w:p>
      <w:pPr>
        <w:pStyle w:val="BodyText"/>
        <w:spacing w:before="10"/>
      </w:pPr>
    </w:p>
    <w:p>
      <w:pPr>
        <w:pStyle w:val="Heading1"/>
        <w:ind w:left="4975" w:right="4934"/>
      </w:pPr>
      <w:r>
        <w:rPr/>
        <w:t>CRITERIOS</w:t>
      </w:r>
    </w:p>
    <w:p>
      <w:pPr>
        <w:pStyle w:val="BodyText"/>
        <w:spacing w:before="11"/>
        <w:rPr>
          <w:b/>
          <w:sz w:val="19"/>
        </w:rPr>
      </w:pPr>
      <w:r>
        <w:rPr/>
        <w:drawing>
          <wp:anchor distT="0" distB="0" distL="0" distR="0" allowOverlap="1" layoutInCell="1" locked="0" behindDoc="0" simplePos="0" relativeHeight="1456">
            <wp:simplePos x="0" y="0"/>
            <wp:positionH relativeFrom="page">
              <wp:posOffset>2654807</wp:posOffset>
            </wp:positionH>
            <wp:positionV relativeFrom="paragraph">
              <wp:posOffset>179526</wp:posOffset>
            </wp:positionV>
            <wp:extent cx="2513450" cy="2779776"/>
            <wp:effectExtent l="0" t="0" r="0" b="0"/>
            <wp:wrapTopAndBottom/>
            <wp:docPr id="69" name="image19.png" descr=""/>
            <wp:cNvGraphicFramePr>
              <a:graphicFrameLocks noChangeAspect="1"/>
            </wp:cNvGraphicFramePr>
            <a:graphic>
              <a:graphicData uri="http://schemas.openxmlformats.org/drawingml/2006/picture">
                <pic:pic>
                  <pic:nvPicPr>
                    <pic:cNvPr id="70" name="image19.png"/>
                    <pic:cNvPicPr/>
                  </pic:nvPicPr>
                  <pic:blipFill>
                    <a:blip r:embed="rId34" cstate="print"/>
                    <a:stretch>
                      <a:fillRect/>
                    </a:stretch>
                  </pic:blipFill>
                  <pic:spPr>
                    <a:xfrm>
                      <a:off x="0" y="0"/>
                      <a:ext cx="2513450" cy="2779776"/>
                    </a:xfrm>
                    <a:prstGeom prst="rect">
                      <a:avLst/>
                    </a:prstGeom>
                  </pic:spPr>
                </pic:pic>
              </a:graphicData>
            </a:graphic>
          </wp:anchor>
        </w:drawing>
      </w:r>
    </w:p>
    <w:p>
      <w:pPr>
        <w:spacing w:after="0"/>
        <w:rPr>
          <w:sz w:val="19"/>
        </w:rPr>
        <w:sectPr>
          <w:pgSz w:w="12240" w:h="15840"/>
          <w:pgMar w:top="840" w:bottom="280" w:left="700" w:right="6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71" name="image1.png" descr=""/>
                  <wp:cNvGraphicFramePr>
                    <a:graphicFrameLocks noChangeAspect="1"/>
                  </wp:cNvGraphicFramePr>
                  <a:graphic>
                    <a:graphicData uri="http://schemas.openxmlformats.org/drawingml/2006/picture">
                      <pic:pic>
                        <pic:nvPicPr>
                          <pic:cNvPr id="7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21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drawing>
          <wp:anchor distT="0" distB="0" distL="0" distR="0" allowOverlap="1" layoutInCell="1" locked="0" behindDoc="0" simplePos="0" relativeHeight="1480">
            <wp:simplePos x="0" y="0"/>
            <wp:positionH relativeFrom="page">
              <wp:posOffset>1816607</wp:posOffset>
            </wp:positionH>
            <wp:positionV relativeFrom="paragraph">
              <wp:posOffset>114045</wp:posOffset>
            </wp:positionV>
            <wp:extent cx="4221165" cy="3030854"/>
            <wp:effectExtent l="0" t="0" r="0" b="0"/>
            <wp:wrapTopAndBottom/>
            <wp:docPr id="73" name="image20.png" descr=""/>
            <wp:cNvGraphicFramePr>
              <a:graphicFrameLocks noChangeAspect="1"/>
            </wp:cNvGraphicFramePr>
            <a:graphic>
              <a:graphicData uri="http://schemas.openxmlformats.org/drawingml/2006/picture">
                <pic:pic>
                  <pic:nvPicPr>
                    <pic:cNvPr id="74" name="image20.png"/>
                    <pic:cNvPicPr/>
                  </pic:nvPicPr>
                  <pic:blipFill>
                    <a:blip r:embed="rId35" cstate="print"/>
                    <a:stretch>
                      <a:fillRect/>
                    </a:stretch>
                  </pic:blipFill>
                  <pic:spPr>
                    <a:xfrm>
                      <a:off x="0" y="0"/>
                      <a:ext cx="4221165" cy="3030854"/>
                    </a:xfrm>
                    <a:prstGeom prst="rect">
                      <a:avLst/>
                    </a:prstGeom>
                  </pic:spPr>
                </pic:pic>
              </a:graphicData>
            </a:graphic>
          </wp:anchor>
        </w:drawing>
      </w:r>
    </w:p>
    <w:p>
      <w:pPr>
        <w:pStyle w:val="BodyText"/>
        <w:spacing w:before="4"/>
        <w:rPr>
          <w:b/>
          <w:sz w:val="14"/>
        </w:rPr>
      </w:pPr>
    </w:p>
    <w:p>
      <w:pPr>
        <w:spacing w:before="56"/>
        <w:ind w:left="4064" w:right="3966" w:firstLine="0"/>
        <w:jc w:val="center"/>
        <w:rPr>
          <w:b/>
          <w:sz w:val="22"/>
        </w:rPr>
      </w:pPr>
      <w:r>
        <w:rPr>
          <w:b/>
          <w:sz w:val="22"/>
        </w:rPr>
        <w:t>INSUMOS</w:t>
      </w:r>
    </w:p>
    <w:p>
      <w:pPr>
        <w:pStyle w:val="BodyText"/>
        <w:spacing w:before="2"/>
        <w:rPr>
          <w:b/>
          <w:sz w:val="18"/>
        </w:rPr>
      </w:pPr>
    </w:p>
    <w:p>
      <w:pPr>
        <w:pStyle w:val="ListParagraph"/>
        <w:numPr>
          <w:ilvl w:val="3"/>
          <w:numId w:val="11"/>
        </w:numPr>
        <w:tabs>
          <w:tab w:pos="872" w:val="left" w:leader="none"/>
          <w:tab w:pos="873" w:val="left" w:leader="none"/>
        </w:tabs>
        <w:spacing w:line="240" w:lineRule="auto" w:before="60" w:after="0"/>
        <w:ind w:left="872" w:right="0" w:hanging="360"/>
        <w:jc w:val="left"/>
        <w:rPr>
          <w:sz w:val="22"/>
        </w:rPr>
      </w:pPr>
      <w:r>
        <w:rPr>
          <w:sz w:val="22"/>
        </w:rPr>
        <w:t>Reporte Unificado del Sistema de Información, Coordinación y Seguimiento Territorial </w:t>
      </w:r>
      <w:r>
        <w:rPr>
          <w:b/>
          <w:sz w:val="22"/>
        </w:rPr>
        <w:t>–</w:t>
      </w:r>
      <w:r>
        <w:rPr>
          <w:b/>
          <w:spacing w:val="-28"/>
          <w:sz w:val="22"/>
        </w:rPr>
        <w:t> </w:t>
      </w:r>
      <w:r>
        <w:rPr>
          <w:sz w:val="22"/>
        </w:rPr>
        <w:t>RUSICST</w:t>
      </w:r>
    </w:p>
    <w:p>
      <w:pPr>
        <w:pStyle w:val="ListParagraph"/>
        <w:numPr>
          <w:ilvl w:val="3"/>
          <w:numId w:val="11"/>
        </w:numPr>
        <w:tabs>
          <w:tab w:pos="872" w:val="left" w:leader="none"/>
          <w:tab w:pos="873" w:val="left" w:leader="none"/>
        </w:tabs>
        <w:spacing w:line="279" w:lineRule="exact" w:before="0" w:after="0"/>
        <w:ind w:left="872" w:right="0" w:hanging="360"/>
        <w:jc w:val="left"/>
        <w:rPr>
          <w:sz w:val="22"/>
        </w:rPr>
      </w:pPr>
      <w:r>
        <w:rPr>
          <w:sz w:val="22"/>
        </w:rPr>
        <w:t>Formulario Único Territorial –</w:t>
      </w:r>
      <w:r>
        <w:rPr>
          <w:spacing w:val="-6"/>
          <w:sz w:val="22"/>
        </w:rPr>
        <w:t> </w:t>
      </w:r>
      <w:r>
        <w:rPr>
          <w:sz w:val="22"/>
        </w:rPr>
        <w:t>FUT</w:t>
      </w:r>
    </w:p>
    <w:p>
      <w:pPr>
        <w:pStyle w:val="ListParagraph"/>
        <w:numPr>
          <w:ilvl w:val="3"/>
          <w:numId w:val="11"/>
        </w:numPr>
        <w:tabs>
          <w:tab w:pos="872" w:val="left" w:leader="none"/>
          <w:tab w:pos="873" w:val="left" w:leader="none"/>
        </w:tabs>
        <w:spacing w:line="279" w:lineRule="exact" w:before="0" w:after="0"/>
        <w:ind w:left="872" w:right="0" w:hanging="360"/>
        <w:jc w:val="left"/>
        <w:rPr>
          <w:sz w:val="22"/>
        </w:rPr>
      </w:pPr>
      <w:r>
        <w:rPr>
          <w:sz w:val="22"/>
        </w:rPr>
        <w:t>Actas de Comité Territorial de Justicia Transicional –</w:t>
      </w:r>
      <w:r>
        <w:rPr>
          <w:spacing w:val="-23"/>
          <w:sz w:val="22"/>
        </w:rPr>
        <w:t> </w:t>
      </w:r>
      <w:r>
        <w:rPr>
          <w:sz w:val="22"/>
        </w:rPr>
        <w:t>CTJT</w:t>
      </w:r>
    </w:p>
    <w:p>
      <w:pPr>
        <w:pStyle w:val="ListParagraph"/>
        <w:numPr>
          <w:ilvl w:val="3"/>
          <w:numId w:val="11"/>
        </w:numPr>
        <w:tabs>
          <w:tab w:pos="872" w:val="left" w:leader="none"/>
          <w:tab w:pos="873" w:val="left" w:leader="none"/>
        </w:tabs>
        <w:spacing w:line="240" w:lineRule="auto" w:before="0" w:after="0"/>
        <w:ind w:left="872" w:right="0" w:hanging="360"/>
        <w:jc w:val="left"/>
        <w:rPr>
          <w:sz w:val="22"/>
        </w:rPr>
      </w:pPr>
      <w:r>
        <w:rPr>
          <w:sz w:val="22"/>
        </w:rPr>
        <w:t>Actas de subcomités técnicos o espacios formales de</w:t>
      </w:r>
      <w:r>
        <w:rPr>
          <w:spacing w:val="-20"/>
          <w:sz w:val="22"/>
        </w:rPr>
        <w:t> </w:t>
      </w:r>
      <w:r>
        <w:rPr>
          <w:sz w:val="22"/>
        </w:rPr>
        <w:t>trabajo</w:t>
      </w:r>
    </w:p>
    <w:p>
      <w:pPr>
        <w:pStyle w:val="ListParagraph"/>
        <w:numPr>
          <w:ilvl w:val="3"/>
          <w:numId w:val="11"/>
        </w:numPr>
        <w:tabs>
          <w:tab w:pos="872" w:val="left" w:leader="none"/>
          <w:tab w:pos="873" w:val="left" w:leader="none"/>
        </w:tabs>
        <w:spacing w:line="240" w:lineRule="auto" w:before="0" w:after="0"/>
        <w:ind w:left="872" w:right="0" w:hanging="360"/>
        <w:jc w:val="left"/>
        <w:rPr>
          <w:sz w:val="22"/>
        </w:rPr>
      </w:pPr>
      <w:r>
        <w:rPr>
          <w:sz w:val="22"/>
        </w:rPr>
        <w:t>Plan de</w:t>
      </w:r>
      <w:r>
        <w:rPr>
          <w:spacing w:val="-8"/>
          <w:sz w:val="22"/>
        </w:rPr>
        <w:t> </w:t>
      </w:r>
      <w:r>
        <w:rPr>
          <w:sz w:val="22"/>
        </w:rPr>
        <w:t>mejoramiento</w:t>
      </w:r>
    </w:p>
    <w:p>
      <w:pPr>
        <w:pStyle w:val="ListParagraph"/>
        <w:numPr>
          <w:ilvl w:val="3"/>
          <w:numId w:val="11"/>
        </w:numPr>
        <w:tabs>
          <w:tab w:pos="872" w:val="left" w:leader="none"/>
          <w:tab w:pos="873" w:val="left" w:leader="none"/>
        </w:tabs>
        <w:spacing w:line="279" w:lineRule="exact" w:before="0" w:after="0"/>
        <w:ind w:left="872" w:right="0" w:hanging="360"/>
        <w:jc w:val="left"/>
        <w:rPr>
          <w:sz w:val="22"/>
        </w:rPr>
      </w:pPr>
      <w:r>
        <w:rPr>
          <w:sz w:val="22"/>
        </w:rPr>
        <w:t>Fuentes de información propias de la Unidad para las</w:t>
      </w:r>
      <w:r>
        <w:rPr>
          <w:spacing w:val="-16"/>
          <w:sz w:val="22"/>
        </w:rPr>
        <w:t> </w:t>
      </w:r>
      <w:r>
        <w:rPr>
          <w:sz w:val="22"/>
        </w:rPr>
        <w:t>Víctimas</w:t>
      </w:r>
    </w:p>
    <w:p>
      <w:pPr>
        <w:pStyle w:val="ListParagraph"/>
        <w:numPr>
          <w:ilvl w:val="3"/>
          <w:numId w:val="11"/>
        </w:numPr>
        <w:tabs>
          <w:tab w:pos="872" w:val="left" w:leader="none"/>
          <w:tab w:pos="873" w:val="left" w:leader="none"/>
        </w:tabs>
        <w:spacing w:line="279" w:lineRule="exact" w:before="0" w:after="0"/>
        <w:ind w:left="872" w:right="0" w:hanging="360"/>
        <w:jc w:val="left"/>
        <w:rPr>
          <w:sz w:val="22"/>
        </w:rPr>
      </w:pPr>
      <w:r>
        <w:rPr>
          <w:sz w:val="22"/>
        </w:rPr>
        <w:t>Citaciones y listados de asistencia a comités departamentales</w:t>
      </w:r>
      <w:r>
        <w:rPr>
          <w:spacing w:val="-19"/>
          <w:sz w:val="22"/>
        </w:rPr>
        <w:t> </w:t>
      </w:r>
      <w:r>
        <w:rPr>
          <w:sz w:val="22"/>
        </w:rPr>
        <w:t>ampliados</w:t>
      </w:r>
    </w:p>
    <w:p>
      <w:pPr>
        <w:pStyle w:val="ListParagraph"/>
        <w:numPr>
          <w:ilvl w:val="3"/>
          <w:numId w:val="11"/>
        </w:numPr>
        <w:tabs>
          <w:tab w:pos="872" w:val="left" w:leader="none"/>
          <w:tab w:pos="873" w:val="left" w:leader="none"/>
        </w:tabs>
        <w:spacing w:line="240" w:lineRule="auto" w:before="0" w:after="0"/>
        <w:ind w:left="872" w:right="0" w:hanging="360"/>
        <w:jc w:val="left"/>
        <w:rPr>
          <w:sz w:val="22"/>
        </w:rPr>
      </w:pPr>
      <w:r>
        <w:rPr>
          <w:sz w:val="22"/>
        </w:rPr>
        <w:t>Planes de Acción Territorial –</w:t>
      </w:r>
      <w:r>
        <w:rPr>
          <w:spacing w:val="-8"/>
          <w:sz w:val="22"/>
        </w:rPr>
        <w:t> </w:t>
      </w:r>
      <w:r>
        <w:rPr>
          <w:sz w:val="22"/>
        </w:rPr>
        <w:t>PAT</w:t>
      </w:r>
    </w:p>
    <w:p>
      <w:pPr>
        <w:pStyle w:val="ListParagraph"/>
        <w:numPr>
          <w:ilvl w:val="3"/>
          <w:numId w:val="11"/>
        </w:numPr>
        <w:tabs>
          <w:tab w:pos="872" w:val="left" w:leader="none"/>
          <w:tab w:pos="873" w:val="left" w:leader="none"/>
        </w:tabs>
        <w:spacing w:line="240" w:lineRule="auto" w:before="0" w:after="0"/>
        <w:ind w:left="872" w:right="0" w:hanging="360"/>
        <w:jc w:val="left"/>
        <w:rPr>
          <w:sz w:val="22"/>
        </w:rPr>
      </w:pPr>
      <w:r>
        <w:rPr>
          <w:sz w:val="22"/>
        </w:rPr>
        <w:t>Soportes documentales</w:t>
      </w:r>
      <w:r>
        <w:rPr>
          <w:spacing w:val="-6"/>
          <w:sz w:val="22"/>
        </w:rPr>
        <w:t> </w:t>
      </w:r>
      <w:r>
        <w:rPr>
          <w:sz w:val="22"/>
        </w:rPr>
        <w:t>específicos.</w:t>
      </w:r>
    </w:p>
    <w:p>
      <w:pPr>
        <w:pStyle w:val="BodyText"/>
        <w:spacing w:before="10"/>
      </w:pPr>
    </w:p>
    <w:p>
      <w:pPr>
        <w:pStyle w:val="BodyText"/>
        <w:ind w:left="291" w:right="212"/>
        <w:jc w:val="both"/>
      </w:pPr>
      <w:r>
        <w:rPr/>
        <w:t>De acuerdo con lo establecido en la actividad Nº 5 el procedimiento objeto de auditoría, se debe socializar los insumos y criterios de la certificación a las entidades del nivel nacional y territorial; sin embargo en el registro del mismo se indica que se hará a través de la </w:t>
      </w:r>
      <w:r>
        <w:rPr>
          <w:u w:val="single"/>
        </w:rPr>
        <w:t>plataforma sistema de seguimiento de política pública, </w:t>
      </w:r>
      <w:r>
        <w:rPr/>
        <w:t>tal y como se observa a continuación.</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75" name="image1.png" descr=""/>
                  <wp:cNvGraphicFramePr>
                    <a:graphicFrameLocks noChangeAspect="1"/>
                  </wp:cNvGraphicFramePr>
                  <a:graphic>
                    <a:graphicData uri="http://schemas.openxmlformats.org/drawingml/2006/picture">
                      <pic:pic>
                        <pic:nvPicPr>
                          <pic:cNvPr id="7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22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1"/>
        <w:rPr>
          <w:sz w:val="11"/>
        </w:rPr>
      </w:pPr>
      <w:r>
        <w:rPr/>
        <w:pict>
          <v:group style="position:absolute;margin-left:178.559998pt;margin-top:9.220pt;width:270.05pt;height:267.25pt;mso-position-horizontal-relative:page;mso-position-vertical-relative:paragraph;z-index:1504;mso-wrap-distance-left:0;mso-wrap-distance-right:0" coordorigin="3571,184" coordsize="5401,5345">
            <v:shape style="position:absolute;left:3571;top:184;width:5383;height:5345" type="#_x0000_t75" stroked="false">
              <v:imagedata r:id="rId36" o:title=""/>
            </v:shape>
            <v:shape style="position:absolute;left:3647;top:2974;width:5309;height:797" coordorigin="3647,2974" coordsize="5309,797" path="m3647,3107l3657,3055,3686,3013,3728,2985,3780,2974,8823,2974,8875,2985,8917,3013,8945,3055,8956,3107,8956,3638,8945,3690,8917,3732,8875,3761,8823,3771,3780,3771,3728,3761,3686,3732,3657,3690,3647,3638,3647,3107xe" filled="false" stroked="true" strokeweight="1.56pt" strokecolor="#c00000">
              <v:path arrowok="t"/>
            </v:shape>
            <w10:wrap type="topAndBottom"/>
          </v:group>
        </w:pict>
      </w:r>
    </w:p>
    <w:p>
      <w:pPr>
        <w:pStyle w:val="BodyText"/>
        <w:rPr>
          <w:sz w:val="20"/>
        </w:rPr>
      </w:pPr>
    </w:p>
    <w:p>
      <w:pPr>
        <w:pStyle w:val="BodyText"/>
        <w:rPr>
          <w:sz w:val="20"/>
        </w:rPr>
      </w:pPr>
    </w:p>
    <w:p>
      <w:pPr>
        <w:pStyle w:val="BodyText"/>
        <w:spacing w:before="11"/>
        <w:rPr>
          <w:sz w:val="18"/>
        </w:rPr>
      </w:pPr>
    </w:p>
    <w:p>
      <w:pPr>
        <w:pStyle w:val="BodyText"/>
        <w:spacing w:before="56"/>
        <w:ind w:left="291" w:right="215"/>
        <w:jc w:val="both"/>
      </w:pPr>
      <w:r>
        <w:rPr/>
        <w:t>No</w:t>
      </w:r>
      <w:r>
        <w:rPr>
          <w:spacing w:val="-5"/>
        </w:rPr>
        <w:t> </w:t>
      </w:r>
      <w:r>
        <w:rPr/>
        <w:t>obstante</w:t>
      </w:r>
      <w:r>
        <w:rPr>
          <w:spacing w:val="-5"/>
        </w:rPr>
        <w:t> </w:t>
      </w:r>
      <w:r>
        <w:rPr/>
        <w:t>lo</w:t>
      </w:r>
      <w:r>
        <w:rPr>
          <w:spacing w:val="-5"/>
        </w:rPr>
        <w:t> </w:t>
      </w:r>
      <w:r>
        <w:rPr/>
        <w:t>anterior,</w:t>
      </w:r>
      <w:r>
        <w:rPr>
          <w:spacing w:val="-5"/>
        </w:rPr>
        <w:t> </w:t>
      </w:r>
      <w:r>
        <w:rPr/>
        <w:t>al</w:t>
      </w:r>
      <w:r>
        <w:rPr>
          <w:spacing w:val="-6"/>
        </w:rPr>
        <w:t> </w:t>
      </w:r>
      <w:r>
        <w:rPr/>
        <w:t>cotejar</w:t>
      </w:r>
      <w:r>
        <w:rPr>
          <w:spacing w:val="-5"/>
        </w:rPr>
        <w:t> </w:t>
      </w:r>
      <w:r>
        <w:rPr/>
        <w:t>con</w:t>
      </w:r>
      <w:r>
        <w:rPr>
          <w:spacing w:val="-6"/>
        </w:rPr>
        <w:t> </w:t>
      </w:r>
      <w:r>
        <w:rPr/>
        <w:t>el</w:t>
      </w:r>
      <w:r>
        <w:rPr>
          <w:spacing w:val="-4"/>
        </w:rPr>
        <w:t> </w:t>
      </w:r>
      <w:r>
        <w:rPr/>
        <w:t>funcionario</w:t>
      </w:r>
      <w:r>
        <w:rPr>
          <w:spacing w:val="-5"/>
        </w:rPr>
        <w:t> </w:t>
      </w:r>
      <w:r>
        <w:rPr/>
        <w:t>encargado</w:t>
      </w:r>
      <w:r>
        <w:rPr>
          <w:spacing w:val="-3"/>
        </w:rPr>
        <w:t> </w:t>
      </w:r>
      <w:r>
        <w:rPr/>
        <w:t>por</w:t>
      </w:r>
      <w:r>
        <w:rPr>
          <w:spacing w:val="-4"/>
        </w:rPr>
        <w:t> </w:t>
      </w:r>
      <w:r>
        <w:rPr/>
        <w:t>parte</w:t>
      </w:r>
      <w:r>
        <w:rPr>
          <w:spacing w:val="-4"/>
        </w:rPr>
        <w:t> </w:t>
      </w:r>
      <w:r>
        <w:rPr/>
        <w:t>de</w:t>
      </w:r>
      <w:r>
        <w:rPr>
          <w:spacing w:val="-5"/>
        </w:rPr>
        <w:t> </w:t>
      </w:r>
      <w:r>
        <w:rPr/>
        <w:t>la</w:t>
      </w:r>
      <w:r>
        <w:rPr>
          <w:spacing w:val="-5"/>
        </w:rPr>
        <w:t> </w:t>
      </w:r>
      <w:r>
        <w:rPr/>
        <w:t>Subdirección</w:t>
      </w:r>
      <w:r>
        <w:rPr>
          <w:spacing w:val="-5"/>
        </w:rPr>
        <w:t> </w:t>
      </w:r>
      <w:r>
        <w:rPr/>
        <w:t>de</w:t>
      </w:r>
      <w:r>
        <w:rPr>
          <w:spacing w:val="-4"/>
        </w:rPr>
        <w:t> </w:t>
      </w:r>
      <w:r>
        <w:rPr/>
        <w:t>Nación</w:t>
      </w:r>
      <w:r>
        <w:rPr>
          <w:spacing w:val="-5"/>
        </w:rPr>
        <w:t> </w:t>
      </w:r>
      <w:r>
        <w:rPr/>
        <w:t>Territorio,</w:t>
      </w:r>
      <w:r>
        <w:rPr>
          <w:spacing w:val="-5"/>
        </w:rPr>
        <w:t> </w:t>
      </w:r>
      <w:r>
        <w:rPr/>
        <w:t>se evidenció que no se cuenta con una herramienta o plataforma tecnológica para el proceso de certificaciones, la información se maneja y alimenta mediante cuadros de Excel y para éste punto, se puso establecer que se realiza a través de las Asistencias Técnicas a los diferentes Comités que se realizan con los Entes Territorial: sin embargo esta práctica no se encuentra documentada en el procedimiento</w:t>
      </w:r>
      <w:r>
        <w:rPr>
          <w:spacing w:val="-13"/>
        </w:rPr>
        <w:t> </w:t>
      </w:r>
      <w:r>
        <w:rPr/>
        <w:t>auditado.</w:t>
      </w:r>
    </w:p>
    <w:p>
      <w:pPr>
        <w:pStyle w:val="BodyText"/>
      </w:pPr>
    </w:p>
    <w:p>
      <w:pPr>
        <w:pStyle w:val="Heading1"/>
        <w:ind w:left="291"/>
        <w:jc w:val="both"/>
      </w:pPr>
      <w:r>
        <w:rPr/>
        <w:t>Observación.</w:t>
      </w:r>
    </w:p>
    <w:p>
      <w:pPr>
        <w:pStyle w:val="BodyText"/>
        <w:spacing w:before="10"/>
        <w:rPr>
          <w:b/>
          <w:sz w:val="21"/>
        </w:rPr>
      </w:pPr>
    </w:p>
    <w:p>
      <w:pPr>
        <w:pStyle w:val="BodyText"/>
        <w:ind w:left="291" w:right="210"/>
        <w:jc w:val="both"/>
      </w:pPr>
      <w:r>
        <w:rPr/>
        <w:t>Así las cosas, se evidencia incumplimiento del procedimiento en lo relativo a la actividad Nº5 para todas las certificaciones del nivel territorial, quedando establecido que en la práctica el proceso de certificación se realiza de manera diferente a lo establecido en el procedimiento. Por ende, la OCI verificó la dinámica real, para lo cual se revisaron</w:t>
      </w:r>
      <w:r>
        <w:rPr>
          <w:spacing w:val="-15"/>
        </w:rPr>
        <w:t> </w:t>
      </w:r>
      <w:r>
        <w:rPr/>
        <w:t>los</w:t>
      </w:r>
      <w:r>
        <w:rPr>
          <w:spacing w:val="-16"/>
        </w:rPr>
        <w:t> </w:t>
      </w:r>
      <w:r>
        <w:rPr/>
        <w:t>expediente</w:t>
      </w:r>
      <w:r>
        <w:rPr>
          <w:spacing w:val="-13"/>
        </w:rPr>
        <w:t> </w:t>
      </w:r>
      <w:r>
        <w:rPr/>
        <w:t>digitales</w:t>
      </w:r>
      <w:r>
        <w:rPr>
          <w:spacing w:val="-15"/>
        </w:rPr>
        <w:t> </w:t>
      </w:r>
      <w:r>
        <w:rPr/>
        <w:t>ubicados</w:t>
      </w:r>
      <w:r>
        <w:rPr>
          <w:spacing w:val="-14"/>
        </w:rPr>
        <w:t> </w:t>
      </w:r>
      <w:r>
        <w:rPr/>
        <w:t>en</w:t>
      </w:r>
      <w:r>
        <w:rPr>
          <w:spacing w:val="-15"/>
        </w:rPr>
        <w:t> </w:t>
      </w:r>
      <w:r>
        <w:rPr>
          <w:color w:val="0000FF"/>
          <w:u w:val="single" w:color="0000FF"/>
        </w:rPr>
        <w:t>\\totoro\Unidad_Victimas\Dir</w:t>
      </w:r>
      <w:r>
        <w:rPr>
          <w:color w:val="0000FF"/>
          <w:spacing w:val="-14"/>
          <w:u w:val="single" w:color="0000FF"/>
        </w:rPr>
        <w:t> </w:t>
      </w:r>
      <w:r>
        <w:rPr>
          <w:color w:val="0000FF"/>
          <w:u w:val="single" w:color="0000FF"/>
        </w:rPr>
        <w:t>Gestion</w:t>
      </w:r>
      <w:r>
        <w:rPr>
          <w:color w:val="0000FF"/>
          <w:spacing w:val="-15"/>
          <w:u w:val="single" w:color="0000FF"/>
        </w:rPr>
        <w:t> </w:t>
      </w:r>
      <w:r>
        <w:rPr>
          <w:color w:val="0000FF"/>
          <w:u w:val="single" w:color="0000FF"/>
        </w:rPr>
        <w:t>Interinstitucional\Coordinación Nación</w:t>
      </w:r>
      <w:r>
        <w:rPr>
          <w:color w:val="0000FF"/>
          <w:spacing w:val="-7"/>
          <w:u w:val="single" w:color="0000FF"/>
        </w:rPr>
        <w:t> </w:t>
      </w:r>
      <w:r>
        <w:rPr>
          <w:color w:val="0000FF"/>
          <w:u w:val="single" w:color="0000FF"/>
        </w:rPr>
        <w:t>Territorio\220.6</w:t>
      </w:r>
      <w:r>
        <w:rPr>
          <w:color w:val="0000FF"/>
          <w:spacing w:val="-6"/>
          <w:u w:val="single" w:color="0000FF"/>
        </w:rPr>
        <w:t> </w:t>
      </w:r>
      <w:r>
        <w:rPr>
          <w:color w:val="0000FF"/>
          <w:u w:val="single" w:color="0000FF"/>
        </w:rPr>
        <w:t>Asistencias</w:t>
      </w:r>
      <w:r>
        <w:rPr>
          <w:color w:val="0000FF"/>
          <w:spacing w:val="-9"/>
          <w:u w:val="single" w:color="0000FF"/>
        </w:rPr>
        <w:t> </w:t>
      </w:r>
      <w:r>
        <w:rPr>
          <w:color w:val="0000FF"/>
          <w:u w:val="single" w:color="0000FF"/>
        </w:rPr>
        <w:t>Técnicas\2015</w:t>
      </w:r>
      <w:r>
        <w:rPr>
          <w:color w:val="001F5F"/>
        </w:rPr>
        <w:t>,</w:t>
      </w:r>
      <w:r>
        <w:rPr>
          <w:color w:val="001F5F"/>
          <w:spacing w:val="-9"/>
        </w:rPr>
        <w:t> </w:t>
      </w:r>
      <w:r>
        <w:rPr/>
        <w:t>con</w:t>
      </w:r>
      <w:r>
        <w:rPr>
          <w:spacing w:val="-7"/>
        </w:rPr>
        <w:t> </w:t>
      </w:r>
      <w:r>
        <w:rPr/>
        <w:t>el</w:t>
      </w:r>
      <w:r>
        <w:rPr>
          <w:spacing w:val="-6"/>
        </w:rPr>
        <w:t> </w:t>
      </w:r>
      <w:r>
        <w:rPr/>
        <w:t>fin</w:t>
      </w:r>
      <w:r>
        <w:rPr>
          <w:spacing w:val="-8"/>
        </w:rPr>
        <w:t> </w:t>
      </w:r>
      <w:r>
        <w:rPr/>
        <w:t>de</w:t>
      </w:r>
      <w:r>
        <w:rPr>
          <w:spacing w:val="-6"/>
        </w:rPr>
        <w:t> </w:t>
      </w:r>
      <w:r>
        <w:rPr/>
        <w:t>evaluar</w:t>
      </w:r>
      <w:r>
        <w:rPr>
          <w:spacing w:val="-7"/>
        </w:rPr>
        <w:t> </w:t>
      </w:r>
      <w:r>
        <w:rPr/>
        <w:t>la</w:t>
      </w:r>
      <w:r>
        <w:rPr>
          <w:spacing w:val="-7"/>
        </w:rPr>
        <w:t> </w:t>
      </w:r>
      <w:r>
        <w:rPr/>
        <w:t>gestión</w:t>
      </w:r>
      <w:r>
        <w:rPr>
          <w:spacing w:val="-7"/>
        </w:rPr>
        <w:t> </w:t>
      </w:r>
      <w:r>
        <w:rPr/>
        <w:t>realizada</w:t>
      </w:r>
      <w:r>
        <w:rPr>
          <w:spacing w:val="-7"/>
        </w:rPr>
        <w:t> </w:t>
      </w:r>
      <w:r>
        <w:rPr/>
        <w:t>frente</w:t>
      </w:r>
      <w:r>
        <w:rPr>
          <w:spacing w:val="-6"/>
        </w:rPr>
        <w:t> </w:t>
      </w:r>
      <w:r>
        <w:rPr/>
        <w:t>a</w:t>
      </w:r>
      <w:r>
        <w:rPr>
          <w:spacing w:val="-9"/>
        </w:rPr>
        <w:t> </w:t>
      </w:r>
      <w:r>
        <w:rPr/>
        <w:t>la</w:t>
      </w:r>
      <w:r>
        <w:rPr>
          <w:spacing w:val="-7"/>
        </w:rPr>
        <w:t> </w:t>
      </w:r>
      <w:r>
        <w:rPr/>
        <w:t>expedición</w:t>
      </w:r>
      <w:r>
        <w:rPr>
          <w:spacing w:val="-7"/>
        </w:rPr>
        <w:t> </w:t>
      </w:r>
      <w:r>
        <w:rPr/>
        <w:t>de la certificación por parte de la</w:t>
      </w:r>
      <w:r>
        <w:rPr>
          <w:spacing w:val="-8"/>
        </w:rPr>
        <w:t> </w:t>
      </w:r>
      <w:r>
        <w:rPr/>
        <w:t>UARIV.</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77" name="image1.png" descr=""/>
                  <wp:cNvGraphicFramePr>
                    <a:graphicFrameLocks noChangeAspect="1"/>
                  </wp:cNvGraphicFramePr>
                  <a:graphic>
                    <a:graphicData uri="http://schemas.openxmlformats.org/drawingml/2006/picture">
                      <pic:pic>
                        <pic:nvPicPr>
                          <pic:cNvPr id="7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23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1"/>
        <w:spacing w:before="57" w:after="3"/>
        <w:ind w:left="291"/>
        <w:jc w:val="both"/>
      </w:pPr>
      <w:r>
        <w:rPr/>
        <w:t>Respuesta Dirección de Gestión Interinstitucional.</w:t>
      </w:r>
    </w:p>
    <w:p>
      <w:pPr>
        <w:pStyle w:val="BodyText"/>
        <w:ind w:left="291"/>
        <w:rPr>
          <w:sz w:val="20"/>
        </w:rPr>
      </w:pPr>
      <w:r>
        <w:rPr>
          <w:sz w:val="20"/>
        </w:rPr>
        <w:drawing>
          <wp:inline distT="0" distB="0" distL="0" distR="0">
            <wp:extent cx="6395371" cy="1882521"/>
            <wp:effectExtent l="0" t="0" r="0" b="0"/>
            <wp:docPr id="79" name="image22.png" descr=""/>
            <wp:cNvGraphicFramePr>
              <a:graphicFrameLocks noChangeAspect="1"/>
            </wp:cNvGraphicFramePr>
            <a:graphic>
              <a:graphicData uri="http://schemas.openxmlformats.org/drawingml/2006/picture">
                <pic:pic>
                  <pic:nvPicPr>
                    <pic:cNvPr id="80" name="image22.png"/>
                    <pic:cNvPicPr/>
                  </pic:nvPicPr>
                  <pic:blipFill>
                    <a:blip r:embed="rId37" cstate="print"/>
                    <a:stretch>
                      <a:fillRect/>
                    </a:stretch>
                  </pic:blipFill>
                  <pic:spPr>
                    <a:xfrm>
                      <a:off x="0" y="0"/>
                      <a:ext cx="6395371" cy="1882521"/>
                    </a:xfrm>
                    <a:prstGeom prst="rect">
                      <a:avLst/>
                    </a:prstGeom>
                  </pic:spPr>
                </pic:pic>
              </a:graphicData>
            </a:graphic>
          </wp:inline>
        </w:drawing>
      </w:r>
      <w:r>
        <w:rPr>
          <w:sz w:val="20"/>
        </w:rPr>
      </w:r>
    </w:p>
    <w:p>
      <w:pPr>
        <w:pStyle w:val="BodyText"/>
        <w:spacing w:before="4"/>
        <w:rPr>
          <w:b/>
        </w:rPr>
      </w:pPr>
    </w:p>
    <w:p>
      <w:pPr>
        <w:spacing w:before="0"/>
        <w:ind w:left="291" w:right="0" w:firstLine="0"/>
        <w:jc w:val="both"/>
        <w:rPr>
          <w:b/>
          <w:sz w:val="22"/>
        </w:rPr>
      </w:pPr>
      <w:r>
        <w:rPr>
          <w:b/>
          <w:sz w:val="22"/>
        </w:rPr>
        <w:t>Pronunciamiento final OCI.</w:t>
      </w:r>
    </w:p>
    <w:p>
      <w:pPr>
        <w:pStyle w:val="BodyText"/>
        <w:spacing w:before="10"/>
        <w:rPr>
          <w:b/>
          <w:sz w:val="21"/>
        </w:rPr>
      </w:pPr>
    </w:p>
    <w:p>
      <w:pPr>
        <w:spacing w:line="240" w:lineRule="auto" w:before="0"/>
        <w:ind w:left="291" w:right="210" w:firstLine="0"/>
        <w:jc w:val="both"/>
        <w:rPr>
          <w:sz w:val="22"/>
        </w:rPr>
      </w:pPr>
      <w:r>
        <w:rPr>
          <w:sz w:val="22"/>
        </w:rPr>
        <w:t>Es preciso reiterar que la Oficina de Control Interno, desde la apertura de la auditoría estableció el objeto y alcance de la misma así; </w:t>
      </w:r>
      <w:r>
        <w:rPr>
          <w:i/>
          <w:sz w:val="22"/>
        </w:rPr>
        <w:t>“</w:t>
      </w:r>
      <w:r>
        <w:rPr>
          <w:b/>
          <w:i/>
          <w:sz w:val="22"/>
        </w:rPr>
        <w:t>Objetivo(s) de la Auditoría: </w:t>
      </w:r>
      <w:r>
        <w:rPr>
          <w:i/>
          <w:sz w:val="22"/>
        </w:rPr>
        <w:t>Evaluar el cumplimiento procedimiento de certificación a las entidades </w:t>
      </w:r>
      <w:r>
        <w:rPr>
          <w:i/>
          <w:sz w:val="22"/>
        </w:rPr>
        <w:t>que</w:t>
      </w:r>
      <w:r>
        <w:rPr>
          <w:i/>
          <w:spacing w:val="-3"/>
          <w:sz w:val="22"/>
        </w:rPr>
        <w:t> </w:t>
      </w:r>
      <w:r>
        <w:rPr>
          <w:i/>
          <w:sz w:val="22"/>
        </w:rPr>
        <w:t>conforman</w:t>
      </w:r>
      <w:r>
        <w:rPr>
          <w:i/>
          <w:spacing w:val="-4"/>
          <w:sz w:val="22"/>
        </w:rPr>
        <w:t> </w:t>
      </w:r>
      <w:r>
        <w:rPr>
          <w:i/>
          <w:sz w:val="22"/>
        </w:rPr>
        <w:t>el</w:t>
      </w:r>
      <w:r>
        <w:rPr>
          <w:i/>
          <w:spacing w:val="-6"/>
          <w:sz w:val="22"/>
        </w:rPr>
        <w:t> </w:t>
      </w:r>
      <w:r>
        <w:rPr>
          <w:i/>
          <w:sz w:val="22"/>
        </w:rPr>
        <w:t>sistema</w:t>
      </w:r>
      <w:r>
        <w:rPr>
          <w:i/>
          <w:spacing w:val="-4"/>
          <w:sz w:val="22"/>
        </w:rPr>
        <w:t> </w:t>
      </w:r>
      <w:r>
        <w:rPr>
          <w:i/>
          <w:sz w:val="22"/>
        </w:rPr>
        <w:t>de</w:t>
      </w:r>
      <w:r>
        <w:rPr>
          <w:i/>
          <w:spacing w:val="-3"/>
          <w:sz w:val="22"/>
        </w:rPr>
        <w:t> </w:t>
      </w:r>
      <w:r>
        <w:rPr>
          <w:i/>
          <w:sz w:val="22"/>
        </w:rPr>
        <w:t>atención</w:t>
      </w:r>
      <w:r>
        <w:rPr>
          <w:i/>
          <w:spacing w:val="-4"/>
          <w:sz w:val="22"/>
        </w:rPr>
        <w:t> </w:t>
      </w:r>
      <w:r>
        <w:rPr>
          <w:i/>
          <w:sz w:val="22"/>
        </w:rPr>
        <w:t>y</w:t>
      </w:r>
      <w:r>
        <w:rPr>
          <w:i/>
          <w:spacing w:val="-6"/>
          <w:sz w:val="22"/>
        </w:rPr>
        <w:t> </w:t>
      </w:r>
      <w:r>
        <w:rPr>
          <w:i/>
          <w:sz w:val="22"/>
        </w:rPr>
        <w:t>reparación</w:t>
      </w:r>
      <w:r>
        <w:rPr>
          <w:i/>
          <w:spacing w:val="-4"/>
          <w:sz w:val="22"/>
        </w:rPr>
        <w:t> </w:t>
      </w:r>
      <w:r>
        <w:rPr>
          <w:i/>
          <w:sz w:val="22"/>
        </w:rPr>
        <w:t>integral</w:t>
      </w:r>
      <w:r>
        <w:rPr>
          <w:i/>
          <w:spacing w:val="-5"/>
          <w:sz w:val="22"/>
        </w:rPr>
        <w:t> </w:t>
      </w:r>
      <w:r>
        <w:rPr>
          <w:i/>
          <w:sz w:val="22"/>
        </w:rPr>
        <w:t>a</w:t>
      </w:r>
      <w:r>
        <w:rPr>
          <w:i/>
          <w:spacing w:val="-4"/>
          <w:sz w:val="22"/>
        </w:rPr>
        <w:t> </w:t>
      </w:r>
      <w:r>
        <w:rPr>
          <w:i/>
          <w:sz w:val="22"/>
        </w:rPr>
        <w:t>las</w:t>
      </w:r>
      <w:r>
        <w:rPr>
          <w:i/>
          <w:spacing w:val="-5"/>
          <w:sz w:val="22"/>
        </w:rPr>
        <w:t> </w:t>
      </w:r>
      <w:r>
        <w:rPr>
          <w:i/>
          <w:sz w:val="22"/>
        </w:rPr>
        <w:t>víctimas</w:t>
      </w:r>
      <w:r>
        <w:rPr>
          <w:i/>
          <w:spacing w:val="-3"/>
          <w:sz w:val="22"/>
        </w:rPr>
        <w:t> </w:t>
      </w:r>
      <w:r>
        <w:rPr>
          <w:i/>
          <w:sz w:val="22"/>
        </w:rPr>
        <w:t>a</w:t>
      </w:r>
      <w:r>
        <w:rPr>
          <w:i/>
          <w:spacing w:val="-4"/>
          <w:sz w:val="22"/>
        </w:rPr>
        <w:t> </w:t>
      </w:r>
      <w:r>
        <w:rPr>
          <w:i/>
          <w:sz w:val="22"/>
        </w:rPr>
        <w:t>nivel</w:t>
      </w:r>
      <w:r>
        <w:rPr>
          <w:i/>
          <w:spacing w:val="-6"/>
          <w:sz w:val="22"/>
        </w:rPr>
        <w:t> </w:t>
      </w:r>
      <w:r>
        <w:rPr>
          <w:i/>
          <w:sz w:val="22"/>
        </w:rPr>
        <w:t>nacional</w:t>
      </w:r>
      <w:r>
        <w:rPr>
          <w:i/>
          <w:spacing w:val="-4"/>
          <w:sz w:val="22"/>
        </w:rPr>
        <w:t> </w:t>
      </w:r>
      <w:r>
        <w:rPr>
          <w:i/>
          <w:sz w:val="22"/>
        </w:rPr>
        <w:t>y</w:t>
      </w:r>
      <w:r>
        <w:rPr>
          <w:i/>
          <w:spacing w:val="-4"/>
          <w:sz w:val="22"/>
        </w:rPr>
        <w:t> </w:t>
      </w:r>
      <w:r>
        <w:rPr>
          <w:i/>
          <w:sz w:val="22"/>
        </w:rPr>
        <w:t>territorial”</w:t>
      </w:r>
      <w:r>
        <w:rPr>
          <w:i/>
          <w:spacing w:val="-2"/>
          <w:sz w:val="22"/>
        </w:rPr>
        <w:t> </w:t>
      </w:r>
      <w:r>
        <w:rPr>
          <w:i/>
          <w:sz w:val="22"/>
        </w:rPr>
        <w:t>y</w:t>
      </w:r>
      <w:r>
        <w:rPr>
          <w:i/>
          <w:spacing w:val="-5"/>
          <w:sz w:val="22"/>
        </w:rPr>
        <w:t> </w:t>
      </w:r>
      <w:r>
        <w:rPr>
          <w:i/>
          <w:sz w:val="22"/>
        </w:rPr>
        <w:t>“</w:t>
      </w:r>
      <w:r>
        <w:rPr>
          <w:b/>
          <w:i/>
          <w:sz w:val="22"/>
        </w:rPr>
        <w:t>Alcance</w:t>
      </w:r>
      <w:r>
        <w:rPr>
          <w:b/>
          <w:i/>
          <w:spacing w:val="-6"/>
          <w:sz w:val="22"/>
        </w:rPr>
        <w:t> </w:t>
      </w:r>
      <w:r>
        <w:rPr>
          <w:b/>
          <w:i/>
          <w:sz w:val="22"/>
        </w:rPr>
        <w:t>de </w:t>
      </w:r>
      <w:r>
        <w:rPr>
          <w:b/>
          <w:i/>
          <w:sz w:val="22"/>
        </w:rPr>
        <w:t>la Auditoría: </w:t>
      </w:r>
      <w:r>
        <w:rPr>
          <w:i/>
          <w:sz w:val="22"/>
        </w:rPr>
        <w:t>La auditoría de la OFICINA DE CONTROL INTERNO a la SUBDIRECCIÓN DE COORDINACIÓN NACIÓN </w:t>
      </w:r>
      <w:r>
        <w:rPr>
          <w:i/>
          <w:sz w:val="22"/>
        </w:rPr>
        <w:t>TERRITORIO y SUBDIRECCIÓN DE COORDINACIÓN SNARIV frente al cumplimiento del procedimiento de certificación a las entidades que conforman el SNARIV, que se verificará las certificaciones expedidas durante el periodo comprendido</w:t>
      </w:r>
      <w:r>
        <w:rPr>
          <w:i/>
          <w:spacing w:val="-5"/>
          <w:sz w:val="22"/>
        </w:rPr>
        <w:t> </w:t>
      </w:r>
      <w:r>
        <w:rPr>
          <w:i/>
          <w:sz w:val="22"/>
        </w:rPr>
        <w:t>en</w:t>
      </w:r>
      <w:r>
        <w:rPr>
          <w:i/>
          <w:spacing w:val="-5"/>
          <w:sz w:val="22"/>
        </w:rPr>
        <w:t> </w:t>
      </w:r>
      <w:r>
        <w:rPr>
          <w:i/>
          <w:sz w:val="22"/>
        </w:rPr>
        <w:t>el</w:t>
      </w:r>
      <w:r>
        <w:rPr>
          <w:i/>
          <w:spacing w:val="-5"/>
          <w:sz w:val="22"/>
        </w:rPr>
        <w:t> </w:t>
      </w:r>
      <w:r>
        <w:rPr>
          <w:i/>
          <w:sz w:val="22"/>
        </w:rPr>
        <w:t>año</w:t>
      </w:r>
      <w:r>
        <w:rPr>
          <w:i/>
          <w:spacing w:val="-5"/>
          <w:sz w:val="22"/>
        </w:rPr>
        <w:t> </w:t>
      </w:r>
      <w:r>
        <w:rPr>
          <w:i/>
          <w:sz w:val="22"/>
        </w:rPr>
        <w:t>2014”.</w:t>
      </w:r>
      <w:r>
        <w:rPr>
          <w:i/>
          <w:spacing w:val="-4"/>
          <w:sz w:val="22"/>
        </w:rPr>
        <w:t> </w:t>
      </w:r>
      <w:r>
        <w:rPr>
          <w:sz w:val="22"/>
        </w:rPr>
        <w:t>En</w:t>
      </w:r>
      <w:r>
        <w:rPr>
          <w:spacing w:val="-5"/>
          <w:sz w:val="22"/>
        </w:rPr>
        <w:t> </w:t>
      </w:r>
      <w:r>
        <w:rPr>
          <w:sz w:val="22"/>
        </w:rPr>
        <w:t>consecuencia</w:t>
      </w:r>
      <w:r>
        <w:rPr>
          <w:spacing w:val="-5"/>
          <w:sz w:val="22"/>
        </w:rPr>
        <w:t> </w:t>
      </w:r>
      <w:r>
        <w:rPr>
          <w:sz w:val="22"/>
        </w:rPr>
        <w:t>y</w:t>
      </w:r>
      <w:r>
        <w:rPr>
          <w:spacing w:val="-4"/>
          <w:sz w:val="22"/>
        </w:rPr>
        <w:t> </w:t>
      </w:r>
      <w:r>
        <w:rPr>
          <w:sz w:val="22"/>
        </w:rPr>
        <w:t>dado</w:t>
      </w:r>
      <w:r>
        <w:rPr>
          <w:spacing w:val="-5"/>
          <w:sz w:val="22"/>
        </w:rPr>
        <w:t> </w:t>
      </w:r>
      <w:r>
        <w:rPr>
          <w:sz w:val="22"/>
        </w:rPr>
        <w:t>que</w:t>
      </w:r>
      <w:r>
        <w:rPr>
          <w:spacing w:val="-4"/>
          <w:sz w:val="22"/>
        </w:rPr>
        <w:t> </w:t>
      </w:r>
      <w:r>
        <w:rPr>
          <w:sz w:val="22"/>
        </w:rPr>
        <w:t>el</w:t>
      </w:r>
      <w:r>
        <w:rPr>
          <w:spacing w:val="-4"/>
          <w:sz w:val="22"/>
        </w:rPr>
        <w:t> </w:t>
      </w:r>
      <w:r>
        <w:rPr>
          <w:sz w:val="22"/>
        </w:rPr>
        <w:t>procedimiento</w:t>
      </w:r>
      <w:r>
        <w:rPr>
          <w:spacing w:val="-5"/>
          <w:sz w:val="22"/>
        </w:rPr>
        <w:t> </w:t>
      </w:r>
      <w:r>
        <w:rPr>
          <w:sz w:val="22"/>
        </w:rPr>
        <w:t>evaluado</w:t>
      </w:r>
      <w:r>
        <w:rPr>
          <w:spacing w:val="-3"/>
          <w:sz w:val="22"/>
        </w:rPr>
        <w:t> </w:t>
      </w:r>
      <w:r>
        <w:rPr>
          <w:sz w:val="22"/>
        </w:rPr>
        <w:t>es</w:t>
      </w:r>
      <w:r>
        <w:rPr>
          <w:spacing w:val="-4"/>
          <w:sz w:val="22"/>
        </w:rPr>
        <w:t> </w:t>
      </w:r>
      <w:r>
        <w:rPr>
          <w:sz w:val="22"/>
        </w:rPr>
        <w:t>el</w:t>
      </w:r>
      <w:r>
        <w:rPr>
          <w:spacing w:val="-5"/>
          <w:sz w:val="22"/>
        </w:rPr>
        <w:t> </w:t>
      </w:r>
      <w:r>
        <w:rPr>
          <w:sz w:val="22"/>
        </w:rPr>
        <w:t>oficialmente</w:t>
      </w:r>
      <w:r>
        <w:rPr>
          <w:spacing w:val="-4"/>
          <w:sz w:val="22"/>
        </w:rPr>
        <w:t> </w:t>
      </w:r>
      <w:r>
        <w:rPr>
          <w:sz w:val="22"/>
        </w:rPr>
        <w:t>aprobado</w:t>
      </w:r>
      <w:r>
        <w:rPr>
          <w:spacing w:val="-5"/>
          <w:sz w:val="22"/>
        </w:rPr>
        <w:t> </w:t>
      </w:r>
      <w:r>
        <w:rPr>
          <w:sz w:val="22"/>
        </w:rPr>
        <w:t>y publicado</w:t>
      </w:r>
      <w:r>
        <w:rPr>
          <w:spacing w:val="-2"/>
          <w:sz w:val="22"/>
        </w:rPr>
        <w:t> </w:t>
      </w:r>
      <w:r>
        <w:rPr>
          <w:sz w:val="22"/>
        </w:rPr>
        <w:t>en</w:t>
      </w:r>
      <w:r>
        <w:rPr>
          <w:spacing w:val="-4"/>
          <w:sz w:val="22"/>
        </w:rPr>
        <w:t> </w:t>
      </w:r>
      <w:r>
        <w:rPr>
          <w:sz w:val="22"/>
        </w:rPr>
        <w:t>la</w:t>
      </w:r>
      <w:r>
        <w:rPr>
          <w:spacing w:val="-4"/>
          <w:sz w:val="22"/>
        </w:rPr>
        <w:t> </w:t>
      </w:r>
      <w:r>
        <w:rPr>
          <w:sz w:val="22"/>
        </w:rPr>
        <w:t>Entidad,</w:t>
      </w:r>
      <w:r>
        <w:rPr>
          <w:spacing w:val="-3"/>
          <w:sz w:val="22"/>
        </w:rPr>
        <w:t> </w:t>
      </w:r>
      <w:r>
        <w:rPr>
          <w:sz w:val="22"/>
        </w:rPr>
        <w:t>se</w:t>
      </w:r>
      <w:r>
        <w:rPr>
          <w:spacing w:val="-5"/>
          <w:sz w:val="22"/>
        </w:rPr>
        <w:t> </w:t>
      </w:r>
      <w:r>
        <w:rPr>
          <w:sz w:val="22"/>
        </w:rPr>
        <w:t>entiende</w:t>
      </w:r>
      <w:r>
        <w:rPr>
          <w:spacing w:val="-3"/>
          <w:sz w:val="22"/>
        </w:rPr>
        <w:t> </w:t>
      </w:r>
      <w:r>
        <w:rPr>
          <w:sz w:val="22"/>
        </w:rPr>
        <w:t>que</w:t>
      </w:r>
      <w:r>
        <w:rPr>
          <w:spacing w:val="-3"/>
          <w:sz w:val="22"/>
        </w:rPr>
        <w:t> </w:t>
      </w:r>
      <w:r>
        <w:rPr>
          <w:sz w:val="22"/>
        </w:rPr>
        <w:t>el</w:t>
      </w:r>
      <w:r>
        <w:rPr>
          <w:spacing w:val="-5"/>
          <w:sz w:val="22"/>
        </w:rPr>
        <w:t> </w:t>
      </w:r>
      <w:r>
        <w:rPr>
          <w:sz w:val="22"/>
        </w:rPr>
        <w:t>mismo</w:t>
      </w:r>
      <w:r>
        <w:rPr>
          <w:spacing w:val="-2"/>
          <w:sz w:val="22"/>
        </w:rPr>
        <w:t> </w:t>
      </w:r>
      <w:r>
        <w:rPr>
          <w:sz w:val="22"/>
        </w:rPr>
        <w:t>obedece</w:t>
      </w:r>
      <w:r>
        <w:rPr>
          <w:spacing w:val="-2"/>
          <w:sz w:val="22"/>
        </w:rPr>
        <w:t> </w:t>
      </w:r>
      <w:r>
        <w:rPr>
          <w:sz w:val="22"/>
        </w:rPr>
        <w:t>a</w:t>
      </w:r>
      <w:r>
        <w:rPr>
          <w:spacing w:val="-3"/>
          <w:sz w:val="22"/>
        </w:rPr>
        <w:t> </w:t>
      </w:r>
      <w:r>
        <w:rPr>
          <w:sz w:val="22"/>
        </w:rPr>
        <w:t>la</w:t>
      </w:r>
      <w:r>
        <w:rPr>
          <w:spacing w:val="-4"/>
          <w:sz w:val="22"/>
        </w:rPr>
        <w:t> </w:t>
      </w:r>
      <w:r>
        <w:rPr>
          <w:sz w:val="22"/>
        </w:rPr>
        <w:t>dinámica</w:t>
      </w:r>
      <w:r>
        <w:rPr>
          <w:spacing w:val="-4"/>
          <w:sz w:val="22"/>
        </w:rPr>
        <w:t> </w:t>
      </w:r>
      <w:r>
        <w:rPr>
          <w:sz w:val="22"/>
        </w:rPr>
        <w:t>real</w:t>
      </w:r>
      <w:r>
        <w:rPr>
          <w:spacing w:val="-4"/>
          <w:sz w:val="22"/>
        </w:rPr>
        <w:t> </w:t>
      </w:r>
      <w:r>
        <w:rPr>
          <w:sz w:val="22"/>
        </w:rPr>
        <w:t>del</w:t>
      </w:r>
      <w:r>
        <w:rPr>
          <w:spacing w:val="-5"/>
          <w:sz w:val="22"/>
        </w:rPr>
        <w:t> </w:t>
      </w:r>
      <w:r>
        <w:rPr>
          <w:sz w:val="22"/>
        </w:rPr>
        <w:t>proceso</w:t>
      </w:r>
      <w:r>
        <w:rPr>
          <w:spacing w:val="-2"/>
          <w:sz w:val="22"/>
        </w:rPr>
        <w:t> </w:t>
      </w:r>
      <w:r>
        <w:rPr>
          <w:sz w:val="22"/>
        </w:rPr>
        <w:t>y</w:t>
      </w:r>
      <w:r>
        <w:rPr>
          <w:spacing w:val="-5"/>
          <w:sz w:val="22"/>
        </w:rPr>
        <w:t> </w:t>
      </w:r>
      <w:r>
        <w:rPr>
          <w:sz w:val="22"/>
        </w:rPr>
        <w:t>con</w:t>
      </w:r>
      <w:r>
        <w:rPr>
          <w:spacing w:val="-4"/>
          <w:sz w:val="22"/>
        </w:rPr>
        <w:t> </w:t>
      </w:r>
      <w:r>
        <w:rPr>
          <w:sz w:val="22"/>
        </w:rPr>
        <w:t>base</w:t>
      </w:r>
      <w:r>
        <w:rPr>
          <w:spacing w:val="-3"/>
          <w:sz w:val="22"/>
        </w:rPr>
        <w:t> </w:t>
      </w:r>
      <w:r>
        <w:rPr>
          <w:sz w:val="22"/>
        </w:rPr>
        <w:t>en</w:t>
      </w:r>
      <w:r>
        <w:rPr>
          <w:spacing w:val="-4"/>
          <w:sz w:val="22"/>
        </w:rPr>
        <w:t> </w:t>
      </w:r>
      <w:r>
        <w:rPr>
          <w:sz w:val="22"/>
        </w:rPr>
        <w:t>el</w:t>
      </w:r>
      <w:r>
        <w:rPr>
          <w:spacing w:val="-5"/>
          <w:sz w:val="22"/>
        </w:rPr>
        <w:t> </w:t>
      </w:r>
      <w:r>
        <w:rPr>
          <w:sz w:val="22"/>
        </w:rPr>
        <w:t>mismo</w:t>
      </w:r>
      <w:r>
        <w:rPr>
          <w:spacing w:val="-2"/>
          <w:sz w:val="22"/>
        </w:rPr>
        <w:t> </w:t>
      </w:r>
      <w:r>
        <w:rPr>
          <w:sz w:val="22"/>
        </w:rPr>
        <w:t>se fundamenta la presente evaluación; por lo tanto la observación se mantiene y deberá trabajarse en el plan de mejoramiento</w:t>
      </w:r>
      <w:r>
        <w:rPr>
          <w:spacing w:val="-6"/>
          <w:sz w:val="22"/>
        </w:rPr>
        <w:t> </w:t>
      </w:r>
      <w:r>
        <w:rPr>
          <w:sz w:val="22"/>
        </w:rPr>
        <w:t>respectivo.</w:t>
      </w:r>
    </w:p>
    <w:p>
      <w:pPr>
        <w:pStyle w:val="BodyText"/>
      </w:pPr>
    </w:p>
    <w:p>
      <w:pPr>
        <w:pStyle w:val="BodyText"/>
        <w:ind w:left="291" w:right="210"/>
        <w:jc w:val="both"/>
      </w:pPr>
      <w:r>
        <w:rPr>
          <w:b/>
        </w:rPr>
        <w:t>Observación</w:t>
      </w:r>
      <w:r>
        <w:rPr>
          <w:b/>
          <w:spacing w:val="-12"/>
        </w:rPr>
        <w:t> </w:t>
      </w:r>
      <w:r>
        <w:rPr>
          <w:b/>
        </w:rPr>
        <w:t>final</w:t>
      </w:r>
      <w:r>
        <w:rPr>
          <w:b/>
          <w:spacing w:val="-11"/>
        </w:rPr>
        <w:t> </w:t>
      </w:r>
      <w:r>
        <w:rPr>
          <w:b/>
        </w:rPr>
        <w:t>OCI</w:t>
      </w:r>
      <w:r>
        <w:rPr>
          <w:b/>
          <w:spacing w:val="-13"/>
        </w:rPr>
        <w:t> </w:t>
      </w:r>
      <w:r>
        <w:rPr>
          <w:b/>
        </w:rPr>
        <w:t>3.3.</w:t>
      </w:r>
      <w:r>
        <w:rPr>
          <w:b/>
          <w:spacing w:val="-11"/>
        </w:rPr>
        <w:t> </w:t>
      </w:r>
      <w:r>
        <w:rPr/>
        <w:t>Se</w:t>
      </w:r>
      <w:r>
        <w:rPr>
          <w:spacing w:val="-11"/>
        </w:rPr>
        <w:t> </w:t>
      </w:r>
      <w:r>
        <w:rPr/>
        <w:t>evidencia</w:t>
      </w:r>
      <w:r>
        <w:rPr>
          <w:spacing w:val="-12"/>
        </w:rPr>
        <w:t> </w:t>
      </w:r>
      <w:r>
        <w:rPr/>
        <w:t>incumplimiento</w:t>
      </w:r>
      <w:r>
        <w:rPr>
          <w:spacing w:val="-10"/>
        </w:rPr>
        <w:t> </w:t>
      </w:r>
      <w:r>
        <w:rPr/>
        <w:t>del</w:t>
      </w:r>
      <w:r>
        <w:rPr>
          <w:spacing w:val="-11"/>
        </w:rPr>
        <w:t> </w:t>
      </w:r>
      <w:r>
        <w:rPr/>
        <w:t>procedimiento</w:t>
      </w:r>
      <w:r>
        <w:rPr>
          <w:spacing w:val="-10"/>
        </w:rPr>
        <w:t> </w:t>
      </w:r>
      <w:r>
        <w:rPr/>
        <w:t>en</w:t>
      </w:r>
      <w:r>
        <w:rPr>
          <w:spacing w:val="-12"/>
        </w:rPr>
        <w:t> </w:t>
      </w:r>
      <w:r>
        <w:rPr/>
        <w:t>lo</w:t>
      </w:r>
      <w:r>
        <w:rPr>
          <w:spacing w:val="-10"/>
        </w:rPr>
        <w:t> </w:t>
      </w:r>
      <w:r>
        <w:rPr/>
        <w:t>relativo</w:t>
      </w:r>
      <w:r>
        <w:rPr>
          <w:spacing w:val="-10"/>
        </w:rPr>
        <w:t> </w:t>
      </w:r>
      <w:r>
        <w:rPr/>
        <w:t>a</w:t>
      </w:r>
      <w:r>
        <w:rPr>
          <w:spacing w:val="-12"/>
        </w:rPr>
        <w:t> </w:t>
      </w:r>
      <w:r>
        <w:rPr/>
        <w:t>la</w:t>
      </w:r>
      <w:r>
        <w:rPr>
          <w:spacing w:val="-12"/>
        </w:rPr>
        <w:t> </w:t>
      </w:r>
      <w:r>
        <w:rPr/>
        <w:t>actividad</w:t>
      </w:r>
      <w:r>
        <w:rPr>
          <w:spacing w:val="-12"/>
        </w:rPr>
        <w:t> </w:t>
      </w:r>
      <w:r>
        <w:rPr/>
        <w:t>Nº5</w:t>
      </w:r>
      <w:r>
        <w:rPr>
          <w:spacing w:val="-11"/>
        </w:rPr>
        <w:t> </w:t>
      </w:r>
      <w:r>
        <w:rPr/>
        <w:t>para</w:t>
      </w:r>
      <w:r>
        <w:rPr>
          <w:spacing w:val="-12"/>
        </w:rPr>
        <w:t> </w:t>
      </w:r>
      <w:r>
        <w:rPr/>
        <w:t>todas las certificaciones del nivel territorial, quedando establecido que en la práctica el proceso de certificación se realiza de manera diferente a lo establecido en el procedimiento. Por ende, la OCI verificó la dinámica real, para lo cual se revisaron</w:t>
      </w:r>
      <w:r>
        <w:rPr>
          <w:spacing w:val="-15"/>
        </w:rPr>
        <w:t> </w:t>
      </w:r>
      <w:r>
        <w:rPr/>
        <w:t>los</w:t>
      </w:r>
      <w:r>
        <w:rPr>
          <w:spacing w:val="-16"/>
        </w:rPr>
        <w:t> </w:t>
      </w:r>
      <w:r>
        <w:rPr/>
        <w:t>expediente</w:t>
      </w:r>
      <w:r>
        <w:rPr>
          <w:spacing w:val="-13"/>
        </w:rPr>
        <w:t> </w:t>
      </w:r>
      <w:r>
        <w:rPr/>
        <w:t>digitales</w:t>
      </w:r>
      <w:r>
        <w:rPr>
          <w:spacing w:val="-15"/>
        </w:rPr>
        <w:t> </w:t>
      </w:r>
      <w:r>
        <w:rPr/>
        <w:t>ubicados</w:t>
      </w:r>
      <w:r>
        <w:rPr>
          <w:spacing w:val="-14"/>
        </w:rPr>
        <w:t> </w:t>
      </w:r>
      <w:r>
        <w:rPr/>
        <w:t>en</w:t>
      </w:r>
      <w:r>
        <w:rPr>
          <w:spacing w:val="-15"/>
        </w:rPr>
        <w:t> </w:t>
      </w:r>
      <w:r>
        <w:rPr>
          <w:color w:val="0000FF"/>
          <w:u w:val="single" w:color="0000FF"/>
        </w:rPr>
        <w:t>\\totoro\Unidad_Victimas\Dir</w:t>
      </w:r>
      <w:r>
        <w:rPr>
          <w:color w:val="0000FF"/>
          <w:spacing w:val="-14"/>
          <w:u w:val="single" w:color="0000FF"/>
        </w:rPr>
        <w:t> </w:t>
      </w:r>
      <w:r>
        <w:rPr>
          <w:color w:val="0000FF"/>
          <w:u w:val="single" w:color="0000FF"/>
        </w:rPr>
        <w:t>Gestion</w:t>
      </w:r>
      <w:r>
        <w:rPr>
          <w:color w:val="0000FF"/>
          <w:spacing w:val="-15"/>
          <w:u w:val="single" w:color="0000FF"/>
        </w:rPr>
        <w:t> </w:t>
      </w:r>
      <w:r>
        <w:rPr>
          <w:color w:val="0000FF"/>
          <w:u w:val="single" w:color="0000FF"/>
        </w:rPr>
        <w:t>Interinstitucional\Coordinación Nación</w:t>
      </w:r>
      <w:r>
        <w:rPr>
          <w:color w:val="0000FF"/>
          <w:spacing w:val="-7"/>
          <w:u w:val="single" w:color="0000FF"/>
        </w:rPr>
        <w:t> </w:t>
      </w:r>
      <w:r>
        <w:rPr>
          <w:color w:val="0000FF"/>
          <w:u w:val="single" w:color="0000FF"/>
        </w:rPr>
        <w:t>Territorio\220.6</w:t>
      </w:r>
      <w:r>
        <w:rPr>
          <w:color w:val="0000FF"/>
          <w:spacing w:val="-5"/>
          <w:u w:val="single" w:color="0000FF"/>
        </w:rPr>
        <w:t> </w:t>
      </w:r>
      <w:r>
        <w:rPr>
          <w:color w:val="0000FF"/>
          <w:u w:val="single" w:color="0000FF"/>
        </w:rPr>
        <w:t>Asistencias</w:t>
      </w:r>
      <w:r>
        <w:rPr>
          <w:color w:val="0000FF"/>
          <w:spacing w:val="-9"/>
          <w:u w:val="single" w:color="0000FF"/>
        </w:rPr>
        <w:t> </w:t>
      </w:r>
      <w:r>
        <w:rPr>
          <w:color w:val="0000FF"/>
          <w:u w:val="single" w:color="0000FF"/>
        </w:rPr>
        <w:t>Técnicas\2015</w:t>
      </w:r>
      <w:r>
        <w:rPr>
          <w:color w:val="001F5F"/>
        </w:rPr>
        <w:t>,</w:t>
      </w:r>
      <w:r>
        <w:rPr>
          <w:color w:val="001F5F"/>
          <w:spacing w:val="-9"/>
        </w:rPr>
        <w:t> </w:t>
      </w:r>
      <w:r>
        <w:rPr/>
        <w:t>con</w:t>
      </w:r>
      <w:r>
        <w:rPr>
          <w:spacing w:val="-7"/>
        </w:rPr>
        <w:t> </w:t>
      </w:r>
      <w:r>
        <w:rPr/>
        <w:t>el</w:t>
      </w:r>
      <w:r>
        <w:rPr>
          <w:spacing w:val="-6"/>
        </w:rPr>
        <w:t> </w:t>
      </w:r>
      <w:r>
        <w:rPr/>
        <w:t>fin</w:t>
      </w:r>
      <w:r>
        <w:rPr>
          <w:spacing w:val="-8"/>
        </w:rPr>
        <w:t> </w:t>
      </w:r>
      <w:r>
        <w:rPr/>
        <w:t>de</w:t>
      </w:r>
      <w:r>
        <w:rPr>
          <w:spacing w:val="-6"/>
        </w:rPr>
        <w:t> </w:t>
      </w:r>
      <w:r>
        <w:rPr/>
        <w:t>evaluar</w:t>
      </w:r>
      <w:r>
        <w:rPr>
          <w:spacing w:val="-7"/>
        </w:rPr>
        <w:t> </w:t>
      </w:r>
      <w:r>
        <w:rPr/>
        <w:t>la</w:t>
      </w:r>
      <w:r>
        <w:rPr>
          <w:spacing w:val="-7"/>
        </w:rPr>
        <w:t> </w:t>
      </w:r>
      <w:r>
        <w:rPr/>
        <w:t>gestión</w:t>
      </w:r>
      <w:r>
        <w:rPr>
          <w:spacing w:val="-7"/>
        </w:rPr>
        <w:t> </w:t>
      </w:r>
      <w:r>
        <w:rPr/>
        <w:t>realizada</w:t>
      </w:r>
      <w:r>
        <w:rPr>
          <w:spacing w:val="-7"/>
        </w:rPr>
        <w:t> </w:t>
      </w:r>
      <w:r>
        <w:rPr/>
        <w:t>frente</w:t>
      </w:r>
      <w:r>
        <w:rPr>
          <w:spacing w:val="-6"/>
        </w:rPr>
        <w:t> </w:t>
      </w:r>
      <w:r>
        <w:rPr/>
        <w:t>a</w:t>
      </w:r>
      <w:r>
        <w:rPr>
          <w:spacing w:val="-9"/>
        </w:rPr>
        <w:t> </w:t>
      </w:r>
      <w:r>
        <w:rPr/>
        <w:t>la</w:t>
      </w:r>
      <w:r>
        <w:rPr>
          <w:spacing w:val="-7"/>
        </w:rPr>
        <w:t> </w:t>
      </w:r>
      <w:r>
        <w:rPr/>
        <w:t>expedición</w:t>
      </w:r>
      <w:r>
        <w:rPr>
          <w:spacing w:val="-7"/>
        </w:rPr>
        <w:t> </w:t>
      </w:r>
      <w:r>
        <w:rPr/>
        <w:t>de la certificación por parte de la</w:t>
      </w:r>
      <w:r>
        <w:rPr>
          <w:spacing w:val="-8"/>
        </w:rPr>
        <w:t> </w:t>
      </w:r>
      <w:r>
        <w:rPr/>
        <w:t>UARIV.</w:t>
      </w:r>
    </w:p>
    <w:p>
      <w:pPr>
        <w:pStyle w:val="BodyText"/>
        <w:rPr>
          <w:sz w:val="23"/>
        </w:rPr>
      </w:pPr>
    </w:p>
    <w:p>
      <w:pPr>
        <w:pStyle w:val="Heading1"/>
        <w:numPr>
          <w:ilvl w:val="2"/>
          <w:numId w:val="12"/>
        </w:numPr>
        <w:tabs>
          <w:tab w:pos="656" w:val="left" w:leader="none"/>
        </w:tabs>
        <w:spacing w:line="240" w:lineRule="auto" w:before="1" w:after="0"/>
        <w:ind w:left="655" w:right="0" w:hanging="503"/>
        <w:jc w:val="left"/>
      </w:pPr>
      <w:r>
        <w:rPr/>
        <w:t>MUNICIO DE RIO QUITO-</w:t>
      </w:r>
      <w:r>
        <w:rPr>
          <w:spacing w:val="-11"/>
        </w:rPr>
        <w:t> </w:t>
      </w:r>
      <w:r>
        <w:rPr/>
        <w:t>CHOCÓ.</w:t>
      </w:r>
    </w:p>
    <w:p>
      <w:pPr>
        <w:pStyle w:val="BodyText"/>
        <w:spacing w:before="10"/>
        <w:rPr>
          <w:b/>
        </w:rPr>
      </w:pPr>
    </w:p>
    <w:p>
      <w:pPr>
        <w:pStyle w:val="BodyText"/>
        <w:ind w:left="291" w:right="213"/>
        <w:jc w:val="both"/>
      </w:pPr>
      <w:r>
        <w:rPr/>
        <w:t>Teniendo en cuenta que la Unidad elabora el documento de metodología para la certificación de la contribución de las entidades territoriales al goce efectivo de los derechos de las víctimas, el mismo debe ser socializado y aprobado por los entes territoriales a certificar (Alcaldías y Gobernaciones). Sin perjuicio de la observación anterior frente al incumplimiento del procedimiento en la actividad Nº 5, se verificaron los archivos de asistencias técnicas para constatar la socialización de los criterios y metodología a las Entidades Territoriales.</w:t>
      </w:r>
    </w:p>
    <w:p>
      <w:pPr>
        <w:pStyle w:val="BodyText"/>
      </w:pPr>
    </w:p>
    <w:p>
      <w:pPr>
        <w:spacing w:before="0"/>
        <w:ind w:left="291" w:right="214" w:firstLine="0"/>
        <w:jc w:val="both"/>
        <w:rPr>
          <w:i/>
          <w:sz w:val="22"/>
        </w:rPr>
      </w:pPr>
      <w:r>
        <w:rPr>
          <w:sz w:val="22"/>
        </w:rPr>
        <w:t>Con base en lo establecido en el documento de metodología mencionado, se indica que “</w:t>
      </w:r>
      <w:r>
        <w:rPr>
          <w:i/>
          <w:sz w:val="22"/>
        </w:rPr>
        <w:t>para el caso de la vigencia </w:t>
      </w:r>
      <w:r>
        <w:rPr>
          <w:i/>
          <w:sz w:val="22"/>
        </w:rPr>
        <w:t>2014, los criterios definitivos fueron socializados en las jornadas de asistencia técnica territorial que la Unidad para las Víctimas realizó en los meses de febrero y marzo de 2015, a las cuales asistieron secretarios de gobierno, enlaces</w:t>
      </w:r>
    </w:p>
    <w:p>
      <w:pPr>
        <w:spacing w:after="0"/>
        <w:jc w:val="both"/>
        <w:rPr>
          <w:sz w:val="22"/>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i/>
                <w:sz w:val="24"/>
              </w:rPr>
            </w:pPr>
          </w:p>
          <w:p>
            <w:pPr>
              <w:pStyle w:val="TableParagraph"/>
              <w:ind w:left="297"/>
              <w:rPr>
                <w:sz w:val="20"/>
              </w:rPr>
            </w:pPr>
            <w:r>
              <w:rPr>
                <w:sz w:val="20"/>
              </w:rPr>
              <w:drawing>
                <wp:inline distT="0" distB="0" distL="0" distR="0">
                  <wp:extent cx="1702466" cy="493775"/>
                  <wp:effectExtent l="0" t="0" r="0" b="0"/>
                  <wp:docPr id="81" name="image1.png" descr=""/>
                  <wp:cNvGraphicFramePr>
                    <a:graphicFrameLocks noChangeAspect="1"/>
                  </wp:cNvGraphicFramePr>
                  <a:graphic>
                    <a:graphicData uri="http://schemas.openxmlformats.org/drawingml/2006/picture">
                      <pic:pic>
                        <pic:nvPicPr>
                          <pic:cNvPr id="8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i/>
                <w:sz w:val="20"/>
              </w:rPr>
            </w:pPr>
          </w:p>
          <w:p>
            <w:pPr>
              <w:pStyle w:val="TableParagraph"/>
              <w:spacing w:before="2"/>
              <w:rPr>
                <w:i/>
                <w:sz w:val="27"/>
              </w:rPr>
            </w:pPr>
          </w:p>
        </w:tc>
        <w:tc>
          <w:tcPr>
            <w:tcW w:w="4964" w:type="dxa"/>
          </w:tcPr>
          <w:p>
            <w:pPr>
              <w:pStyle w:val="TableParagraph"/>
              <w:spacing w:before="10"/>
              <w:rPr>
                <w:i/>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i/>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24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i/>
                <w:sz w:val="14"/>
              </w:rPr>
            </w:pPr>
          </w:p>
          <w:p>
            <w:pPr>
              <w:pStyle w:val="TableParagraph"/>
              <w:spacing w:before="9"/>
              <w:rPr>
                <w:i/>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i/>
          <w:sz w:val="9"/>
        </w:rPr>
      </w:pPr>
    </w:p>
    <w:p>
      <w:pPr>
        <w:spacing w:before="57"/>
        <w:ind w:left="291" w:right="213" w:firstLine="0"/>
        <w:jc w:val="both"/>
        <w:rPr>
          <w:i/>
          <w:sz w:val="22"/>
        </w:rPr>
      </w:pPr>
      <w:r>
        <w:rPr>
          <w:i/>
          <w:sz w:val="22"/>
        </w:rPr>
        <w:t>de víctimas y encargados del diligenciamiento del FUT de las administraciones municipales y departamentales. En </w:t>
      </w:r>
      <w:r>
        <w:rPr>
          <w:i/>
          <w:sz w:val="22"/>
        </w:rPr>
        <w:t>estos espacios se presentó el énfasis de la medición, los grupos temáticos y los criterios con su respectiva fuente de información.</w:t>
      </w:r>
      <w:r>
        <w:rPr>
          <w:i/>
          <w:spacing w:val="-14"/>
          <w:sz w:val="22"/>
        </w:rPr>
        <w:t> </w:t>
      </w:r>
      <w:r>
        <w:rPr>
          <w:i/>
          <w:sz w:val="22"/>
        </w:rPr>
        <w:t>Para</w:t>
      </w:r>
      <w:r>
        <w:rPr>
          <w:i/>
          <w:spacing w:val="-14"/>
          <w:sz w:val="22"/>
        </w:rPr>
        <w:t> </w:t>
      </w:r>
      <w:r>
        <w:rPr>
          <w:i/>
          <w:sz w:val="22"/>
        </w:rPr>
        <w:t>cada</w:t>
      </w:r>
      <w:r>
        <w:rPr>
          <w:i/>
          <w:spacing w:val="-12"/>
          <w:sz w:val="22"/>
        </w:rPr>
        <w:t> </w:t>
      </w:r>
      <w:r>
        <w:rPr>
          <w:i/>
          <w:sz w:val="22"/>
        </w:rPr>
        <w:t>criterio</w:t>
      </w:r>
      <w:r>
        <w:rPr>
          <w:i/>
          <w:spacing w:val="-15"/>
          <w:sz w:val="22"/>
        </w:rPr>
        <w:t> </w:t>
      </w:r>
      <w:r>
        <w:rPr>
          <w:i/>
          <w:sz w:val="22"/>
        </w:rPr>
        <w:t>se</w:t>
      </w:r>
      <w:r>
        <w:rPr>
          <w:i/>
          <w:spacing w:val="-13"/>
          <w:sz w:val="22"/>
        </w:rPr>
        <w:t> </w:t>
      </w:r>
      <w:r>
        <w:rPr>
          <w:i/>
          <w:sz w:val="22"/>
        </w:rPr>
        <w:t>especificó</w:t>
      </w:r>
      <w:r>
        <w:rPr>
          <w:i/>
          <w:spacing w:val="-15"/>
          <w:sz w:val="22"/>
        </w:rPr>
        <w:t> </w:t>
      </w:r>
      <w:r>
        <w:rPr>
          <w:i/>
          <w:sz w:val="22"/>
        </w:rPr>
        <w:t>el</w:t>
      </w:r>
      <w:r>
        <w:rPr>
          <w:i/>
          <w:spacing w:val="-14"/>
          <w:sz w:val="22"/>
        </w:rPr>
        <w:t> </w:t>
      </w:r>
      <w:r>
        <w:rPr>
          <w:i/>
          <w:sz w:val="22"/>
        </w:rPr>
        <w:t>documento</w:t>
      </w:r>
      <w:r>
        <w:rPr>
          <w:i/>
          <w:spacing w:val="-11"/>
          <w:sz w:val="22"/>
        </w:rPr>
        <w:t> </w:t>
      </w:r>
      <w:r>
        <w:rPr>
          <w:i/>
          <w:sz w:val="22"/>
        </w:rPr>
        <w:t>o</w:t>
      </w:r>
      <w:r>
        <w:rPr>
          <w:i/>
          <w:spacing w:val="-12"/>
          <w:sz w:val="22"/>
        </w:rPr>
        <w:t> </w:t>
      </w:r>
      <w:r>
        <w:rPr>
          <w:i/>
          <w:sz w:val="22"/>
        </w:rPr>
        <w:t>base</w:t>
      </w:r>
      <w:r>
        <w:rPr>
          <w:i/>
          <w:spacing w:val="-11"/>
          <w:sz w:val="22"/>
        </w:rPr>
        <w:t> </w:t>
      </w:r>
      <w:r>
        <w:rPr>
          <w:i/>
          <w:sz w:val="22"/>
        </w:rPr>
        <w:t>de</w:t>
      </w:r>
      <w:r>
        <w:rPr>
          <w:i/>
          <w:spacing w:val="-11"/>
          <w:sz w:val="22"/>
        </w:rPr>
        <w:t> </w:t>
      </w:r>
      <w:r>
        <w:rPr>
          <w:i/>
          <w:sz w:val="22"/>
        </w:rPr>
        <w:t>datos</w:t>
      </w:r>
      <w:r>
        <w:rPr>
          <w:i/>
          <w:spacing w:val="-11"/>
          <w:sz w:val="22"/>
        </w:rPr>
        <w:t> </w:t>
      </w:r>
      <w:r>
        <w:rPr>
          <w:i/>
          <w:sz w:val="22"/>
        </w:rPr>
        <w:t>que</w:t>
      </w:r>
      <w:r>
        <w:rPr>
          <w:i/>
          <w:spacing w:val="-14"/>
          <w:sz w:val="22"/>
        </w:rPr>
        <w:t> </w:t>
      </w:r>
      <w:r>
        <w:rPr>
          <w:i/>
          <w:sz w:val="22"/>
        </w:rPr>
        <w:t>servirían</w:t>
      </w:r>
      <w:r>
        <w:rPr>
          <w:i/>
          <w:spacing w:val="-12"/>
          <w:sz w:val="22"/>
        </w:rPr>
        <w:t> </w:t>
      </w:r>
      <w:r>
        <w:rPr>
          <w:i/>
          <w:sz w:val="22"/>
        </w:rPr>
        <w:t>como</w:t>
      </w:r>
      <w:r>
        <w:rPr>
          <w:i/>
          <w:spacing w:val="-14"/>
          <w:sz w:val="22"/>
        </w:rPr>
        <w:t> </w:t>
      </w:r>
      <w:r>
        <w:rPr>
          <w:i/>
          <w:sz w:val="22"/>
        </w:rPr>
        <w:t>soporte</w:t>
      </w:r>
      <w:r>
        <w:rPr>
          <w:i/>
          <w:spacing w:val="-13"/>
          <w:sz w:val="22"/>
        </w:rPr>
        <w:t> </w:t>
      </w:r>
      <w:r>
        <w:rPr>
          <w:i/>
          <w:sz w:val="22"/>
        </w:rPr>
        <w:t>para</w:t>
      </w:r>
      <w:r>
        <w:rPr>
          <w:i/>
          <w:spacing w:val="-14"/>
          <w:sz w:val="22"/>
        </w:rPr>
        <w:t> </w:t>
      </w:r>
      <w:r>
        <w:rPr>
          <w:i/>
          <w:sz w:val="22"/>
        </w:rPr>
        <w:t>evidenciar el cumplimiento de los criterios. Así mismo, se anunciaron las fechas límite de reporte de las fuentes de información RUSICST</w:t>
      </w:r>
      <w:r>
        <w:rPr>
          <w:i/>
          <w:spacing w:val="-4"/>
          <w:sz w:val="22"/>
        </w:rPr>
        <w:t> </w:t>
      </w:r>
      <w:r>
        <w:rPr>
          <w:i/>
          <w:sz w:val="22"/>
        </w:rPr>
        <w:t>y</w:t>
      </w:r>
      <w:r>
        <w:rPr>
          <w:i/>
          <w:spacing w:val="-5"/>
          <w:sz w:val="22"/>
        </w:rPr>
        <w:t> </w:t>
      </w:r>
      <w:r>
        <w:rPr>
          <w:i/>
          <w:sz w:val="22"/>
        </w:rPr>
        <w:t>el</w:t>
      </w:r>
      <w:r>
        <w:rPr>
          <w:i/>
          <w:spacing w:val="-5"/>
          <w:sz w:val="22"/>
        </w:rPr>
        <w:t> </w:t>
      </w:r>
      <w:r>
        <w:rPr>
          <w:i/>
          <w:sz w:val="22"/>
        </w:rPr>
        <w:t>Formulario</w:t>
      </w:r>
      <w:r>
        <w:rPr>
          <w:i/>
          <w:spacing w:val="-5"/>
          <w:sz w:val="22"/>
        </w:rPr>
        <w:t> </w:t>
      </w:r>
      <w:r>
        <w:rPr>
          <w:i/>
          <w:sz w:val="22"/>
        </w:rPr>
        <w:t>Único</w:t>
      </w:r>
      <w:r>
        <w:rPr>
          <w:i/>
          <w:spacing w:val="-5"/>
          <w:sz w:val="22"/>
        </w:rPr>
        <w:t> </w:t>
      </w:r>
      <w:r>
        <w:rPr>
          <w:i/>
          <w:sz w:val="22"/>
        </w:rPr>
        <w:t>Territorial</w:t>
      </w:r>
      <w:r>
        <w:rPr>
          <w:i/>
          <w:spacing w:val="-2"/>
          <w:sz w:val="22"/>
        </w:rPr>
        <w:t> </w:t>
      </w:r>
      <w:r>
        <w:rPr>
          <w:i/>
          <w:sz w:val="22"/>
        </w:rPr>
        <w:t>–FUT,</w:t>
      </w:r>
      <w:r>
        <w:rPr>
          <w:i/>
          <w:spacing w:val="-3"/>
          <w:sz w:val="22"/>
        </w:rPr>
        <w:t> </w:t>
      </w:r>
      <w:r>
        <w:rPr>
          <w:i/>
          <w:sz w:val="22"/>
        </w:rPr>
        <w:t>donde</w:t>
      </w:r>
      <w:r>
        <w:rPr>
          <w:i/>
          <w:spacing w:val="-4"/>
          <w:sz w:val="22"/>
        </w:rPr>
        <w:t> </w:t>
      </w:r>
      <w:r>
        <w:rPr>
          <w:i/>
          <w:sz w:val="22"/>
        </w:rPr>
        <w:t>cada</w:t>
      </w:r>
      <w:r>
        <w:rPr>
          <w:i/>
          <w:spacing w:val="-5"/>
          <w:sz w:val="22"/>
        </w:rPr>
        <w:t> </w:t>
      </w:r>
      <w:r>
        <w:rPr>
          <w:i/>
          <w:sz w:val="22"/>
        </w:rPr>
        <w:t>entidad</w:t>
      </w:r>
      <w:r>
        <w:rPr>
          <w:i/>
          <w:spacing w:val="-5"/>
          <w:sz w:val="22"/>
        </w:rPr>
        <w:t> </w:t>
      </w:r>
      <w:r>
        <w:rPr>
          <w:i/>
          <w:sz w:val="22"/>
        </w:rPr>
        <w:t>territorial</w:t>
      </w:r>
      <w:r>
        <w:rPr>
          <w:i/>
          <w:spacing w:val="-4"/>
          <w:sz w:val="22"/>
        </w:rPr>
        <w:t> </w:t>
      </w:r>
      <w:r>
        <w:rPr>
          <w:i/>
          <w:sz w:val="22"/>
        </w:rPr>
        <w:t>debía</w:t>
      </w:r>
      <w:r>
        <w:rPr>
          <w:i/>
          <w:spacing w:val="-5"/>
          <w:sz w:val="22"/>
        </w:rPr>
        <w:t> </w:t>
      </w:r>
      <w:r>
        <w:rPr>
          <w:i/>
          <w:sz w:val="22"/>
        </w:rPr>
        <w:t>adjuntar</w:t>
      </w:r>
      <w:r>
        <w:rPr>
          <w:i/>
          <w:spacing w:val="-4"/>
          <w:sz w:val="22"/>
        </w:rPr>
        <w:t> </w:t>
      </w:r>
      <w:r>
        <w:rPr>
          <w:i/>
          <w:sz w:val="22"/>
        </w:rPr>
        <w:t>toda</w:t>
      </w:r>
      <w:r>
        <w:rPr>
          <w:i/>
          <w:spacing w:val="-5"/>
          <w:sz w:val="22"/>
        </w:rPr>
        <w:t> </w:t>
      </w:r>
      <w:r>
        <w:rPr>
          <w:i/>
          <w:sz w:val="22"/>
        </w:rPr>
        <w:t>la</w:t>
      </w:r>
      <w:r>
        <w:rPr>
          <w:i/>
          <w:spacing w:val="-5"/>
          <w:sz w:val="22"/>
        </w:rPr>
        <w:t> </w:t>
      </w:r>
      <w:r>
        <w:rPr>
          <w:i/>
          <w:sz w:val="22"/>
        </w:rPr>
        <w:t>documentación necesaria para evidenciar las acciones que se medirían para la certificación</w:t>
      </w:r>
      <w:r>
        <w:rPr>
          <w:i/>
          <w:spacing w:val="-23"/>
          <w:sz w:val="22"/>
        </w:rPr>
        <w:t> </w:t>
      </w:r>
      <w:r>
        <w:rPr>
          <w:i/>
          <w:sz w:val="22"/>
        </w:rPr>
        <w:t>2014…”</w:t>
      </w:r>
    </w:p>
    <w:p>
      <w:pPr>
        <w:pStyle w:val="BodyText"/>
        <w:rPr>
          <w:i/>
        </w:rPr>
      </w:pPr>
    </w:p>
    <w:p>
      <w:pPr>
        <w:pStyle w:val="BodyText"/>
        <w:ind w:left="291" w:right="214"/>
        <w:jc w:val="both"/>
        <w:rPr>
          <w:b/>
        </w:rPr>
      </w:pPr>
      <w:r>
        <w:rPr/>
        <w:t>Se verificó en el expediente digital de asistencias técnicas, departamento de Chocó en el mes de febrero, copia de lista de asistencia a las técnicas RUSICST- certificaciones, realizada el 12 de febrero de 2015, en donde se observó la asistencia del representante del municipio de Rio Quito, sin embargo de dicha socialización no se cuenta con acta o ayuda de memoria que permita evidenciar la gestión realizada, únicamente con el listado de asistencia que prueba quienes estuvieron en el lugar más no el desarrollo, aportes, seguimientos y recomendaciones de la misma </w:t>
      </w:r>
      <w:r>
        <w:rPr>
          <w:b/>
        </w:rPr>
        <w:t>(ver imagen lista de asistencia).</w:t>
      </w:r>
    </w:p>
    <w:p>
      <w:pPr>
        <w:pStyle w:val="BodyText"/>
        <w:rPr>
          <w:b/>
          <w:sz w:val="19"/>
        </w:rPr>
      </w:pPr>
      <w:r>
        <w:rPr/>
        <w:pict>
          <v:group style="position:absolute;margin-left:89.629997pt;margin-top:13.55589pt;width:436.6pt;height:321.5pt;mso-position-horizontal-relative:page;mso-position-vertical-relative:paragraph;z-index:1528;mso-wrap-distance-left:0;mso-wrap-distance-right:0" coordorigin="1793,271" coordsize="8732,6430">
            <v:shape style="position:absolute;left:1810;top:271;width:8714;height:6430" type="#_x0000_t75" stroked="false">
              <v:imagedata r:id="rId38" o:title=""/>
            </v:shape>
            <v:shape style="position:absolute;left:1816;top:5382;width:8640;height:406" coordorigin="1816,5382" coordsize="8640,406" path="m1816,5450l1821,5423,1835,5402,1857,5387,1883,5382,10388,5382,10414,5387,10436,5402,10450,5423,10456,5450,10456,5720,10450,5746,10436,5768,10414,5782,10388,5788,1883,5788,1857,5782,1835,5768,1821,5746,1816,5720,1816,5450xe" filled="false" stroked="true" strokeweight="2.280pt" strokecolor="#c00000">
              <v:path arrowok="t"/>
            </v:shape>
            <w10:wrap type="topAndBottom"/>
          </v:group>
        </w:pict>
      </w:r>
    </w:p>
    <w:p>
      <w:pPr>
        <w:pStyle w:val="BodyText"/>
        <w:ind w:left="291" w:right="211"/>
        <w:jc w:val="both"/>
      </w:pPr>
      <w:r>
        <w:rPr/>
        <w:t>Posteriormente,</w:t>
      </w:r>
      <w:r>
        <w:rPr>
          <w:spacing w:val="-5"/>
        </w:rPr>
        <w:t> </w:t>
      </w:r>
      <w:r>
        <w:rPr/>
        <w:t>se</w:t>
      </w:r>
      <w:r>
        <w:rPr>
          <w:spacing w:val="-5"/>
        </w:rPr>
        <w:t> </w:t>
      </w:r>
      <w:r>
        <w:rPr/>
        <w:t>puedo</w:t>
      </w:r>
      <w:r>
        <w:rPr>
          <w:spacing w:val="-8"/>
        </w:rPr>
        <w:t> </w:t>
      </w:r>
      <w:r>
        <w:rPr/>
        <w:t>verificar</w:t>
      </w:r>
      <w:r>
        <w:rPr>
          <w:spacing w:val="-6"/>
        </w:rPr>
        <w:t> </w:t>
      </w:r>
      <w:r>
        <w:rPr/>
        <w:t>que</w:t>
      </w:r>
      <w:r>
        <w:rPr>
          <w:spacing w:val="-5"/>
        </w:rPr>
        <w:t> </w:t>
      </w:r>
      <w:r>
        <w:rPr/>
        <w:t>a</w:t>
      </w:r>
      <w:r>
        <w:rPr>
          <w:spacing w:val="-6"/>
        </w:rPr>
        <w:t> </w:t>
      </w:r>
      <w:r>
        <w:rPr/>
        <w:t>través</w:t>
      </w:r>
      <w:r>
        <w:rPr>
          <w:spacing w:val="-6"/>
        </w:rPr>
        <w:t> </w:t>
      </w:r>
      <w:r>
        <w:rPr/>
        <w:t>de</w:t>
      </w:r>
      <w:r>
        <w:rPr>
          <w:spacing w:val="-5"/>
        </w:rPr>
        <w:t> </w:t>
      </w:r>
      <w:r>
        <w:rPr/>
        <w:t>archivos</w:t>
      </w:r>
      <w:r>
        <w:rPr>
          <w:spacing w:val="-6"/>
        </w:rPr>
        <w:t> </w:t>
      </w:r>
      <w:r>
        <w:rPr/>
        <w:t>en</w:t>
      </w:r>
      <w:r>
        <w:rPr>
          <w:spacing w:val="-6"/>
        </w:rPr>
        <w:t> </w:t>
      </w:r>
      <w:r>
        <w:rPr/>
        <w:t>Excel</w:t>
      </w:r>
      <w:r>
        <w:rPr>
          <w:spacing w:val="-6"/>
        </w:rPr>
        <w:t> </w:t>
      </w:r>
      <w:r>
        <w:rPr/>
        <w:t>se</w:t>
      </w:r>
      <w:r>
        <w:rPr>
          <w:spacing w:val="-5"/>
        </w:rPr>
        <w:t> </w:t>
      </w:r>
      <w:r>
        <w:rPr/>
        <w:t>realiza</w:t>
      </w:r>
      <w:r>
        <w:rPr>
          <w:spacing w:val="-6"/>
        </w:rPr>
        <w:t> </w:t>
      </w:r>
      <w:r>
        <w:rPr/>
        <w:t>el</w:t>
      </w:r>
      <w:r>
        <w:rPr>
          <w:spacing w:val="-5"/>
        </w:rPr>
        <w:t> </w:t>
      </w:r>
      <w:r>
        <w:rPr/>
        <w:t>seguimiento</w:t>
      </w:r>
      <w:r>
        <w:rPr>
          <w:spacing w:val="-4"/>
        </w:rPr>
        <w:t> </w:t>
      </w:r>
      <w:r>
        <w:rPr/>
        <w:t>al</w:t>
      </w:r>
      <w:r>
        <w:rPr>
          <w:spacing w:val="-6"/>
        </w:rPr>
        <w:t> </w:t>
      </w:r>
      <w:r>
        <w:rPr/>
        <w:t>cumplimiento</w:t>
      </w:r>
      <w:r>
        <w:rPr>
          <w:spacing w:val="-4"/>
        </w:rPr>
        <w:t> </w:t>
      </w:r>
      <w:r>
        <w:rPr/>
        <w:t>de</w:t>
      </w:r>
      <w:r>
        <w:rPr>
          <w:spacing w:val="-5"/>
        </w:rPr>
        <w:t> </w:t>
      </w:r>
      <w:r>
        <w:rPr/>
        <w:t>los insumos y estudio de la información, para que finalmente mediante una comunicación se informe al Ente Territorial el resultado final, con la calificación correspondiente en cada criterio evaluado y las recomendaciones</w:t>
      </w:r>
      <w:r>
        <w:rPr>
          <w:spacing w:val="-24"/>
        </w:rPr>
        <w:t> </w:t>
      </w:r>
      <w:r>
        <w:rPr/>
        <w:t>respectivas.</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83" name="image1.png" descr=""/>
                  <wp:cNvGraphicFramePr>
                    <a:graphicFrameLocks noChangeAspect="1"/>
                  </wp:cNvGraphicFramePr>
                  <a:graphic>
                    <a:graphicData uri="http://schemas.openxmlformats.org/drawingml/2006/picture">
                      <pic:pic>
                        <pic:nvPicPr>
                          <pic:cNvPr id="8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25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291" w:right="213"/>
        <w:jc w:val="both"/>
      </w:pPr>
      <w:r>
        <w:rPr/>
        <w:t>Para el municipio de Rio Quito se evidenció documento en formato pdf, remitido vía correo electrónico por la profesional encargada de la Subdirección Nación Territorio , que da cuenta que el nivel de contribución fue bajo, lo que implica un incumplimiento en los criterios establecidos en la metodología, como se observa a continuación.</w:t>
      </w:r>
    </w:p>
    <w:p>
      <w:pPr>
        <w:pStyle w:val="BodyText"/>
        <w:rPr>
          <w:sz w:val="19"/>
        </w:rPr>
      </w:pPr>
      <w:r>
        <w:rPr/>
        <w:drawing>
          <wp:anchor distT="0" distB="0" distL="0" distR="0" allowOverlap="1" layoutInCell="1" locked="0" behindDoc="0" simplePos="0" relativeHeight="1552">
            <wp:simplePos x="0" y="0"/>
            <wp:positionH relativeFrom="page">
              <wp:posOffset>1752600</wp:posOffset>
            </wp:positionH>
            <wp:positionV relativeFrom="paragraph">
              <wp:posOffset>172541</wp:posOffset>
            </wp:positionV>
            <wp:extent cx="4318085" cy="1539239"/>
            <wp:effectExtent l="0" t="0" r="0" b="0"/>
            <wp:wrapTopAndBottom/>
            <wp:docPr id="85" name="image24.png" descr=""/>
            <wp:cNvGraphicFramePr>
              <a:graphicFrameLocks noChangeAspect="1"/>
            </wp:cNvGraphicFramePr>
            <a:graphic>
              <a:graphicData uri="http://schemas.openxmlformats.org/drawingml/2006/picture">
                <pic:pic>
                  <pic:nvPicPr>
                    <pic:cNvPr id="86" name="image24.png"/>
                    <pic:cNvPicPr/>
                  </pic:nvPicPr>
                  <pic:blipFill>
                    <a:blip r:embed="rId39" cstate="print"/>
                    <a:stretch>
                      <a:fillRect/>
                    </a:stretch>
                  </pic:blipFill>
                  <pic:spPr>
                    <a:xfrm>
                      <a:off x="0" y="0"/>
                      <a:ext cx="4318085" cy="1539239"/>
                    </a:xfrm>
                    <a:prstGeom prst="rect">
                      <a:avLst/>
                    </a:prstGeom>
                  </pic:spPr>
                </pic:pic>
              </a:graphicData>
            </a:graphic>
          </wp:anchor>
        </w:drawing>
      </w:r>
    </w:p>
    <w:p>
      <w:pPr>
        <w:pStyle w:val="BodyText"/>
        <w:spacing w:before="10"/>
        <w:rPr>
          <w:sz w:val="19"/>
        </w:rPr>
      </w:pPr>
    </w:p>
    <w:p>
      <w:pPr>
        <w:pStyle w:val="BodyText"/>
        <w:ind w:left="291" w:right="214"/>
        <w:jc w:val="both"/>
      </w:pPr>
      <w:r>
        <w:rPr/>
        <w:t>De</w:t>
      </w:r>
      <w:r>
        <w:rPr>
          <w:spacing w:val="-8"/>
        </w:rPr>
        <w:t> </w:t>
      </w:r>
      <w:r>
        <w:rPr/>
        <w:t>acuerdo</w:t>
      </w:r>
      <w:r>
        <w:rPr>
          <w:spacing w:val="-5"/>
        </w:rPr>
        <w:t> </w:t>
      </w:r>
      <w:r>
        <w:rPr/>
        <w:t>con</w:t>
      </w:r>
      <w:r>
        <w:rPr>
          <w:spacing w:val="-7"/>
        </w:rPr>
        <w:t> </w:t>
      </w:r>
      <w:r>
        <w:rPr/>
        <w:t>la</w:t>
      </w:r>
      <w:r>
        <w:rPr>
          <w:spacing w:val="-7"/>
        </w:rPr>
        <w:t> </w:t>
      </w:r>
      <w:r>
        <w:rPr/>
        <w:t>actividad</w:t>
      </w:r>
      <w:r>
        <w:rPr>
          <w:spacing w:val="-10"/>
        </w:rPr>
        <w:t> </w:t>
      </w:r>
      <w:r>
        <w:rPr/>
        <w:t>11</w:t>
      </w:r>
      <w:r>
        <w:rPr>
          <w:spacing w:val="-6"/>
        </w:rPr>
        <w:t> </w:t>
      </w:r>
      <w:r>
        <w:rPr/>
        <w:t>del</w:t>
      </w:r>
      <w:r>
        <w:rPr>
          <w:spacing w:val="-9"/>
        </w:rPr>
        <w:t> </w:t>
      </w:r>
      <w:r>
        <w:rPr/>
        <w:t>procedimiento</w:t>
      </w:r>
      <w:r>
        <w:rPr>
          <w:spacing w:val="-8"/>
        </w:rPr>
        <w:t> </w:t>
      </w:r>
      <w:r>
        <w:rPr/>
        <w:t>objeto</w:t>
      </w:r>
      <w:r>
        <w:rPr>
          <w:spacing w:val="-7"/>
        </w:rPr>
        <w:t> </w:t>
      </w:r>
      <w:r>
        <w:rPr/>
        <w:t>de</w:t>
      </w:r>
      <w:r>
        <w:rPr>
          <w:spacing w:val="-8"/>
        </w:rPr>
        <w:t> </w:t>
      </w:r>
      <w:r>
        <w:rPr/>
        <w:t>evaluación,</w:t>
      </w:r>
      <w:r>
        <w:rPr>
          <w:spacing w:val="35"/>
        </w:rPr>
        <w:t> </w:t>
      </w:r>
      <w:r>
        <w:rPr/>
        <w:t>se</w:t>
      </w:r>
      <w:r>
        <w:rPr>
          <w:spacing w:val="-6"/>
        </w:rPr>
        <w:t> </w:t>
      </w:r>
      <w:r>
        <w:rPr/>
        <w:t>debe</w:t>
      </w:r>
      <w:r>
        <w:rPr>
          <w:spacing w:val="-7"/>
        </w:rPr>
        <w:t> </w:t>
      </w:r>
      <w:r>
        <w:rPr/>
        <w:t>socializar</w:t>
      </w:r>
      <w:r>
        <w:rPr>
          <w:spacing w:val="-7"/>
        </w:rPr>
        <w:t> </w:t>
      </w:r>
      <w:r>
        <w:rPr/>
        <w:t>los</w:t>
      </w:r>
      <w:r>
        <w:rPr>
          <w:spacing w:val="-9"/>
        </w:rPr>
        <w:t> </w:t>
      </w:r>
      <w:r>
        <w:rPr/>
        <w:t>resultado</w:t>
      </w:r>
      <w:r>
        <w:rPr>
          <w:spacing w:val="-5"/>
        </w:rPr>
        <w:t> </w:t>
      </w:r>
      <w:r>
        <w:rPr/>
        <w:t>preliminares a los entes territoriales, en la actividad 18 se debe socializar los resultados con las entidades territoriales del nivel territorial,</w:t>
      </w:r>
      <w:r>
        <w:rPr>
          <w:spacing w:val="-13"/>
        </w:rPr>
        <w:t> </w:t>
      </w:r>
      <w:r>
        <w:rPr/>
        <w:t>lo</w:t>
      </w:r>
      <w:r>
        <w:rPr>
          <w:spacing w:val="-12"/>
        </w:rPr>
        <w:t> </w:t>
      </w:r>
      <w:r>
        <w:rPr/>
        <w:t>cual</w:t>
      </w:r>
      <w:r>
        <w:rPr>
          <w:spacing w:val="-13"/>
        </w:rPr>
        <w:t> </w:t>
      </w:r>
      <w:r>
        <w:rPr/>
        <w:t>se</w:t>
      </w:r>
      <w:r>
        <w:rPr>
          <w:spacing w:val="-15"/>
        </w:rPr>
        <w:t> </w:t>
      </w:r>
      <w:r>
        <w:rPr/>
        <w:t>debe</w:t>
      </w:r>
      <w:r>
        <w:rPr>
          <w:spacing w:val="-13"/>
        </w:rPr>
        <w:t> </w:t>
      </w:r>
      <w:r>
        <w:rPr/>
        <w:t>registrar</w:t>
      </w:r>
      <w:r>
        <w:rPr>
          <w:spacing w:val="-13"/>
        </w:rPr>
        <w:t> </w:t>
      </w:r>
      <w:r>
        <w:rPr/>
        <w:t>con</w:t>
      </w:r>
      <w:r>
        <w:rPr>
          <w:spacing w:val="-14"/>
        </w:rPr>
        <w:t> </w:t>
      </w:r>
      <w:r>
        <w:rPr/>
        <w:t>listas</w:t>
      </w:r>
      <w:r>
        <w:rPr>
          <w:spacing w:val="-12"/>
        </w:rPr>
        <w:t> </w:t>
      </w:r>
      <w:r>
        <w:rPr/>
        <w:t>de</w:t>
      </w:r>
      <w:r>
        <w:rPr>
          <w:spacing w:val="-12"/>
        </w:rPr>
        <w:t> </w:t>
      </w:r>
      <w:r>
        <w:rPr/>
        <w:t>asistencia</w:t>
      </w:r>
      <w:r>
        <w:rPr>
          <w:spacing w:val="-13"/>
        </w:rPr>
        <w:t> </w:t>
      </w:r>
      <w:r>
        <w:rPr/>
        <w:t>y</w:t>
      </w:r>
      <w:r>
        <w:rPr>
          <w:spacing w:val="-12"/>
        </w:rPr>
        <w:t> </w:t>
      </w:r>
      <w:r>
        <w:rPr/>
        <w:t>en</w:t>
      </w:r>
      <w:r>
        <w:rPr>
          <w:spacing w:val="-13"/>
        </w:rPr>
        <w:t> </w:t>
      </w:r>
      <w:r>
        <w:rPr/>
        <w:t>la</w:t>
      </w:r>
      <w:r>
        <w:rPr>
          <w:spacing w:val="-14"/>
        </w:rPr>
        <w:t> </w:t>
      </w:r>
      <w:r>
        <w:rPr/>
        <w:t>actividad</w:t>
      </w:r>
      <w:r>
        <w:rPr>
          <w:spacing w:val="-16"/>
        </w:rPr>
        <w:t> </w:t>
      </w:r>
      <w:r>
        <w:rPr/>
        <w:t>19</w:t>
      </w:r>
      <w:r>
        <w:rPr>
          <w:spacing w:val="-15"/>
        </w:rPr>
        <w:t> </w:t>
      </w:r>
      <w:r>
        <w:rPr/>
        <w:t>se</w:t>
      </w:r>
      <w:r>
        <w:rPr>
          <w:spacing w:val="-12"/>
        </w:rPr>
        <w:t> </w:t>
      </w:r>
      <w:r>
        <w:rPr/>
        <w:t>indica</w:t>
      </w:r>
      <w:r>
        <w:rPr>
          <w:spacing w:val="-14"/>
        </w:rPr>
        <w:t> </w:t>
      </w:r>
      <w:r>
        <w:rPr/>
        <w:t>el</w:t>
      </w:r>
      <w:r>
        <w:rPr>
          <w:spacing w:val="-13"/>
        </w:rPr>
        <w:t> </w:t>
      </w:r>
      <w:r>
        <w:rPr/>
        <w:t>deber</w:t>
      </w:r>
      <w:r>
        <w:rPr>
          <w:spacing w:val="-13"/>
        </w:rPr>
        <w:t> </w:t>
      </w:r>
      <w:r>
        <w:rPr/>
        <w:t>de</w:t>
      </w:r>
      <w:r>
        <w:rPr>
          <w:spacing w:val="-15"/>
        </w:rPr>
        <w:t> </w:t>
      </w:r>
      <w:r>
        <w:rPr/>
        <w:t>enviar</w:t>
      </w:r>
      <w:r>
        <w:rPr>
          <w:spacing w:val="-14"/>
        </w:rPr>
        <w:t> </w:t>
      </w:r>
      <w:r>
        <w:rPr/>
        <w:t>la</w:t>
      </w:r>
      <w:r>
        <w:rPr>
          <w:spacing w:val="-16"/>
        </w:rPr>
        <w:t> </w:t>
      </w:r>
      <w:r>
        <w:rPr/>
        <w:t>respectiva comunicación</w:t>
      </w:r>
      <w:r>
        <w:rPr>
          <w:spacing w:val="-6"/>
        </w:rPr>
        <w:t> </w:t>
      </w:r>
      <w:r>
        <w:rPr/>
        <w:t>a</w:t>
      </w:r>
      <w:r>
        <w:rPr>
          <w:spacing w:val="-3"/>
        </w:rPr>
        <w:t> </w:t>
      </w:r>
      <w:r>
        <w:rPr/>
        <w:t>cada</w:t>
      </w:r>
      <w:r>
        <w:rPr>
          <w:spacing w:val="-3"/>
        </w:rPr>
        <w:t> </w:t>
      </w:r>
      <w:r>
        <w:rPr/>
        <w:t>entidad;</w:t>
      </w:r>
      <w:r>
        <w:rPr>
          <w:spacing w:val="-3"/>
        </w:rPr>
        <w:t> </w:t>
      </w:r>
      <w:r>
        <w:rPr/>
        <w:t>actividades</w:t>
      </w:r>
      <w:r>
        <w:rPr>
          <w:spacing w:val="-5"/>
        </w:rPr>
        <w:t> </w:t>
      </w:r>
      <w:r>
        <w:rPr/>
        <w:t>sobres</w:t>
      </w:r>
      <w:r>
        <w:rPr>
          <w:spacing w:val="-3"/>
        </w:rPr>
        <w:t> </w:t>
      </w:r>
      <w:r>
        <w:rPr/>
        <w:t>las</w:t>
      </w:r>
      <w:r>
        <w:rPr>
          <w:spacing w:val="-6"/>
        </w:rPr>
        <w:t> </w:t>
      </w:r>
      <w:r>
        <w:rPr/>
        <w:t>cuales</w:t>
      </w:r>
      <w:r>
        <w:rPr>
          <w:spacing w:val="-3"/>
        </w:rPr>
        <w:t> </w:t>
      </w:r>
      <w:r>
        <w:rPr/>
        <w:t>no</w:t>
      </w:r>
      <w:r>
        <w:rPr>
          <w:spacing w:val="-4"/>
        </w:rPr>
        <w:t> </w:t>
      </w:r>
      <w:r>
        <w:rPr/>
        <w:t>se</w:t>
      </w:r>
      <w:r>
        <w:rPr>
          <w:spacing w:val="-5"/>
        </w:rPr>
        <w:t> </w:t>
      </w:r>
      <w:r>
        <w:rPr/>
        <w:t>observó</w:t>
      </w:r>
      <w:r>
        <w:rPr>
          <w:spacing w:val="-2"/>
        </w:rPr>
        <w:t> </w:t>
      </w:r>
      <w:r>
        <w:rPr/>
        <w:t>soporte</w:t>
      </w:r>
      <w:r>
        <w:rPr>
          <w:spacing w:val="-3"/>
        </w:rPr>
        <w:t> </w:t>
      </w:r>
      <w:r>
        <w:rPr/>
        <w:t>o</w:t>
      </w:r>
      <w:r>
        <w:rPr>
          <w:spacing w:val="-4"/>
        </w:rPr>
        <w:t> </w:t>
      </w:r>
      <w:r>
        <w:rPr/>
        <w:t>evidencia</w:t>
      </w:r>
      <w:r>
        <w:rPr>
          <w:spacing w:val="-7"/>
        </w:rPr>
        <w:t> </w:t>
      </w:r>
      <w:r>
        <w:rPr/>
        <w:t>que</w:t>
      </w:r>
      <w:r>
        <w:rPr>
          <w:spacing w:val="-3"/>
        </w:rPr>
        <w:t> </w:t>
      </w:r>
      <w:r>
        <w:rPr/>
        <w:t>diera</w:t>
      </w:r>
      <w:r>
        <w:rPr>
          <w:spacing w:val="-6"/>
        </w:rPr>
        <w:t> </w:t>
      </w:r>
      <w:r>
        <w:rPr/>
        <w:t>cuenta</w:t>
      </w:r>
      <w:r>
        <w:rPr>
          <w:spacing w:val="-3"/>
        </w:rPr>
        <w:t> </w:t>
      </w:r>
      <w:r>
        <w:rPr/>
        <w:t>de</w:t>
      </w:r>
      <w:r>
        <w:rPr>
          <w:spacing w:val="-3"/>
        </w:rPr>
        <w:t> </w:t>
      </w:r>
      <w:r>
        <w:rPr/>
        <w:t>la gestión</w:t>
      </w:r>
      <w:r>
        <w:rPr>
          <w:spacing w:val="-14"/>
        </w:rPr>
        <w:t> </w:t>
      </w:r>
      <w:r>
        <w:rPr/>
        <w:t>realizada</w:t>
      </w:r>
      <w:r>
        <w:rPr>
          <w:spacing w:val="-13"/>
        </w:rPr>
        <w:t> </w:t>
      </w:r>
      <w:r>
        <w:rPr/>
        <w:t>en</w:t>
      </w:r>
      <w:r>
        <w:rPr>
          <w:spacing w:val="-13"/>
        </w:rPr>
        <w:t> </w:t>
      </w:r>
      <w:r>
        <w:rPr/>
        <w:t>cumplimiento</w:t>
      </w:r>
      <w:r>
        <w:rPr>
          <w:spacing w:val="-12"/>
        </w:rPr>
        <w:t> </w:t>
      </w:r>
      <w:r>
        <w:rPr/>
        <w:t>del</w:t>
      </w:r>
      <w:r>
        <w:rPr>
          <w:spacing w:val="-10"/>
        </w:rPr>
        <w:t> </w:t>
      </w:r>
      <w:r>
        <w:rPr/>
        <w:t>procedimiento.</w:t>
      </w:r>
      <w:r>
        <w:rPr>
          <w:spacing w:val="-16"/>
        </w:rPr>
        <w:t> </w:t>
      </w:r>
      <w:r>
        <w:rPr/>
        <w:t>Adicionalmente,</w:t>
      </w:r>
      <w:r>
        <w:rPr>
          <w:spacing w:val="-12"/>
        </w:rPr>
        <w:t> </w:t>
      </w:r>
      <w:r>
        <w:rPr/>
        <w:t>es</w:t>
      </w:r>
      <w:r>
        <w:rPr>
          <w:spacing w:val="-12"/>
        </w:rPr>
        <w:t> </w:t>
      </w:r>
      <w:r>
        <w:rPr/>
        <w:t>de</w:t>
      </w:r>
      <w:r>
        <w:rPr>
          <w:spacing w:val="-12"/>
        </w:rPr>
        <w:t> </w:t>
      </w:r>
      <w:r>
        <w:rPr/>
        <w:t>resaltar</w:t>
      </w:r>
      <w:r>
        <w:rPr>
          <w:spacing w:val="-10"/>
        </w:rPr>
        <w:t> </w:t>
      </w:r>
      <w:r>
        <w:rPr/>
        <w:t>la</w:t>
      </w:r>
      <w:r>
        <w:rPr>
          <w:spacing w:val="-13"/>
        </w:rPr>
        <w:t> </w:t>
      </w:r>
      <w:r>
        <w:rPr/>
        <w:t>debilidad</w:t>
      </w:r>
      <w:r>
        <w:rPr>
          <w:spacing w:val="-14"/>
        </w:rPr>
        <w:t> </w:t>
      </w:r>
      <w:r>
        <w:rPr/>
        <w:t>observada</w:t>
      </w:r>
      <w:r>
        <w:rPr>
          <w:spacing w:val="-11"/>
        </w:rPr>
        <w:t> </w:t>
      </w:r>
      <w:r>
        <w:rPr/>
        <w:t>respecto a las certificaciones del nivel territorial, dado que no es clara la trazabilidad de los soportes documentales por cada entidad a certificar; como quiera que los mismos se encuentran en diferentes expediente digitales, sin organización e identificación clara que permita ubicarlos fácilmente de conformidad con el</w:t>
      </w:r>
      <w:r>
        <w:rPr>
          <w:spacing w:val="-31"/>
        </w:rPr>
        <w:t> </w:t>
      </w:r>
      <w:r>
        <w:rPr/>
        <w:t>procedimiento.</w:t>
      </w:r>
    </w:p>
    <w:p>
      <w:pPr>
        <w:pStyle w:val="BodyText"/>
        <w:spacing w:before="10"/>
        <w:rPr>
          <w:sz w:val="21"/>
        </w:rPr>
      </w:pPr>
    </w:p>
    <w:p>
      <w:pPr>
        <w:pStyle w:val="ListParagraph"/>
        <w:numPr>
          <w:ilvl w:val="3"/>
          <w:numId w:val="12"/>
        </w:numPr>
        <w:tabs>
          <w:tab w:pos="1012" w:val="left" w:leader="none"/>
        </w:tabs>
        <w:spacing w:line="240" w:lineRule="auto" w:before="0" w:after="0"/>
        <w:ind w:left="1011" w:right="212" w:hanging="360"/>
        <w:jc w:val="both"/>
        <w:rPr>
          <w:sz w:val="22"/>
        </w:rPr>
      </w:pPr>
      <w:r>
        <w:rPr>
          <w:b/>
          <w:sz w:val="22"/>
        </w:rPr>
        <w:t>Observación. </w:t>
      </w:r>
      <w:r>
        <w:rPr>
          <w:sz w:val="22"/>
        </w:rPr>
        <w:t>En relación a la certificación del municipio de Rio Quito (Chocó), se evidenció incumplimiento, respeto de las actividades N° 5, 11, 18 y 19 del procedimiento de certificaciones a las entidades del SNARIV en el nivel territorial, en razón a que no se observó soporte documental o debilidad en la trazabilidad de la información de conformidad en los registros establecidos en el procedimiento</w:t>
      </w:r>
      <w:r>
        <w:rPr>
          <w:spacing w:val="-24"/>
          <w:sz w:val="22"/>
        </w:rPr>
        <w:t> </w:t>
      </w:r>
      <w:r>
        <w:rPr>
          <w:sz w:val="22"/>
        </w:rPr>
        <w:t>evaluado.</w:t>
      </w:r>
    </w:p>
    <w:p>
      <w:pPr>
        <w:pStyle w:val="BodyText"/>
      </w:pPr>
    </w:p>
    <w:p>
      <w:pPr>
        <w:pStyle w:val="Heading1"/>
        <w:ind w:left="291"/>
        <w:jc w:val="both"/>
      </w:pPr>
      <w:r>
        <w:rPr/>
        <w:t>Respuesta Dirección de Gestión Interinstitucional frente a las observaciones de Certificaciones Territoriales.</w:t>
      </w:r>
    </w:p>
    <w:p>
      <w:pPr>
        <w:pStyle w:val="BodyText"/>
        <w:spacing w:before="9"/>
        <w:rPr>
          <w:b/>
          <w:sz w:val="18"/>
        </w:rPr>
      </w:pPr>
      <w:r>
        <w:rPr/>
        <w:drawing>
          <wp:anchor distT="0" distB="0" distL="0" distR="0" allowOverlap="1" layoutInCell="1" locked="0" behindDoc="0" simplePos="0" relativeHeight="1576">
            <wp:simplePos x="0" y="0"/>
            <wp:positionH relativeFrom="page">
              <wp:posOffset>629412</wp:posOffset>
            </wp:positionH>
            <wp:positionV relativeFrom="paragraph">
              <wp:posOffset>170382</wp:posOffset>
            </wp:positionV>
            <wp:extent cx="5890212" cy="2428875"/>
            <wp:effectExtent l="0" t="0" r="0" b="0"/>
            <wp:wrapTopAndBottom/>
            <wp:docPr id="87" name="image25.jpeg" descr=""/>
            <wp:cNvGraphicFramePr>
              <a:graphicFrameLocks noChangeAspect="1"/>
            </wp:cNvGraphicFramePr>
            <a:graphic>
              <a:graphicData uri="http://schemas.openxmlformats.org/drawingml/2006/picture">
                <pic:pic>
                  <pic:nvPicPr>
                    <pic:cNvPr id="88" name="image25.jpeg"/>
                    <pic:cNvPicPr/>
                  </pic:nvPicPr>
                  <pic:blipFill>
                    <a:blip r:embed="rId40" cstate="print"/>
                    <a:stretch>
                      <a:fillRect/>
                    </a:stretch>
                  </pic:blipFill>
                  <pic:spPr>
                    <a:xfrm>
                      <a:off x="0" y="0"/>
                      <a:ext cx="5890212" cy="2428875"/>
                    </a:xfrm>
                    <a:prstGeom prst="rect">
                      <a:avLst/>
                    </a:prstGeom>
                  </pic:spPr>
                </pic:pic>
              </a:graphicData>
            </a:graphic>
          </wp:anchor>
        </w:drawing>
      </w:r>
    </w:p>
    <w:p>
      <w:pPr>
        <w:spacing w:after="0"/>
        <w:rPr>
          <w:sz w:val="18"/>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89" name="image1.png" descr=""/>
                  <wp:cNvGraphicFramePr>
                    <a:graphicFrameLocks noChangeAspect="1"/>
                  </wp:cNvGraphicFramePr>
                  <a:graphic>
                    <a:graphicData uri="http://schemas.openxmlformats.org/drawingml/2006/picture">
                      <pic:pic>
                        <pic:nvPicPr>
                          <pic:cNvPr id="9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26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b/>
          <w:sz w:val="20"/>
        </w:rPr>
      </w:pPr>
    </w:p>
    <w:p>
      <w:pPr>
        <w:pStyle w:val="BodyText"/>
        <w:spacing w:before="6"/>
        <w:rPr>
          <w:b/>
          <w:sz w:val="13"/>
        </w:rPr>
      </w:pPr>
      <w:r>
        <w:rPr/>
        <w:drawing>
          <wp:anchor distT="0" distB="0" distL="0" distR="0" allowOverlap="1" layoutInCell="1" locked="0" behindDoc="0" simplePos="0" relativeHeight="1600">
            <wp:simplePos x="0" y="0"/>
            <wp:positionH relativeFrom="page">
              <wp:posOffset>1415796</wp:posOffset>
            </wp:positionH>
            <wp:positionV relativeFrom="paragraph">
              <wp:posOffset>129704</wp:posOffset>
            </wp:positionV>
            <wp:extent cx="4978870" cy="5103304"/>
            <wp:effectExtent l="0" t="0" r="0" b="0"/>
            <wp:wrapTopAndBottom/>
            <wp:docPr id="91" name="image26.jpeg" descr=""/>
            <wp:cNvGraphicFramePr>
              <a:graphicFrameLocks noChangeAspect="1"/>
            </wp:cNvGraphicFramePr>
            <a:graphic>
              <a:graphicData uri="http://schemas.openxmlformats.org/drawingml/2006/picture">
                <pic:pic>
                  <pic:nvPicPr>
                    <pic:cNvPr id="92" name="image26.jpeg"/>
                    <pic:cNvPicPr/>
                  </pic:nvPicPr>
                  <pic:blipFill>
                    <a:blip r:embed="rId41" cstate="print"/>
                    <a:stretch>
                      <a:fillRect/>
                    </a:stretch>
                  </pic:blipFill>
                  <pic:spPr>
                    <a:xfrm>
                      <a:off x="0" y="0"/>
                      <a:ext cx="4978870" cy="5103304"/>
                    </a:xfrm>
                    <a:prstGeom prst="rect">
                      <a:avLst/>
                    </a:prstGeom>
                  </pic:spPr>
                </pic:pic>
              </a:graphicData>
            </a:graphic>
          </wp:anchor>
        </w:drawing>
      </w:r>
    </w:p>
    <w:p>
      <w:pPr>
        <w:pStyle w:val="BodyText"/>
        <w:spacing w:before="9"/>
        <w:rPr>
          <w:b/>
          <w:sz w:val="17"/>
        </w:rPr>
      </w:pPr>
    </w:p>
    <w:p>
      <w:pPr>
        <w:pStyle w:val="ListParagraph"/>
        <w:numPr>
          <w:ilvl w:val="2"/>
          <w:numId w:val="13"/>
        </w:numPr>
        <w:tabs>
          <w:tab w:pos="854" w:val="left" w:leader="none"/>
        </w:tabs>
        <w:spacing w:line="240" w:lineRule="auto" w:before="56" w:after="0"/>
        <w:ind w:left="854" w:right="0" w:hanging="563"/>
        <w:jc w:val="both"/>
        <w:rPr>
          <w:b/>
          <w:sz w:val="22"/>
        </w:rPr>
      </w:pPr>
      <w:r>
        <w:rPr>
          <w:b/>
          <w:sz w:val="22"/>
        </w:rPr>
        <w:t>MUNICIPIO DE PAZ DE ARIPORO-</w:t>
      </w:r>
      <w:r>
        <w:rPr>
          <w:b/>
          <w:spacing w:val="-18"/>
          <w:sz w:val="22"/>
        </w:rPr>
        <w:t> </w:t>
      </w:r>
      <w:r>
        <w:rPr>
          <w:b/>
          <w:sz w:val="22"/>
        </w:rPr>
        <w:t>CASANARE</w:t>
      </w:r>
    </w:p>
    <w:p>
      <w:pPr>
        <w:pStyle w:val="BodyText"/>
        <w:spacing w:before="1"/>
        <w:rPr>
          <w:b/>
        </w:rPr>
      </w:pPr>
    </w:p>
    <w:p>
      <w:pPr>
        <w:pStyle w:val="BodyText"/>
        <w:ind w:left="291" w:right="214"/>
        <w:jc w:val="both"/>
        <w:rPr>
          <w:b/>
        </w:rPr>
      </w:pPr>
      <w:r>
        <w:rPr/>
        <w:t>De</w:t>
      </w:r>
      <w:r>
        <w:rPr>
          <w:spacing w:val="-10"/>
        </w:rPr>
        <w:t> </w:t>
      </w:r>
      <w:r>
        <w:rPr/>
        <w:t>acuerdo</w:t>
      </w:r>
      <w:r>
        <w:rPr>
          <w:spacing w:val="-10"/>
        </w:rPr>
        <w:t> </w:t>
      </w:r>
      <w:r>
        <w:rPr/>
        <w:t>con</w:t>
      </w:r>
      <w:r>
        <w:rPr>
          <w:spacing w:val="-11"/>
        </w:rPr>
        <w:t> </w:t>
      </w:r>
      <w:r>
        <w:rPr/>
        <w:t>lo</w:t>
      </w:r>
      <w:r>
        <w:rPr>
          <w:spacing w:val="-11"/>
        </w:rPr>
        <w:t> </w:t>
      </w:r>
      <w:r>
        <w:rPr/>
        <w:t>establecido</w:t>
      </w:r>
      <w:r>
        <w:rPr>
          <w:spacing w:val="-9"/>
        </w:rPr>
        <w:t> </w:t>
      </w:r>
      <w:r>
        <w:rPr/>
        <w:t>en</w:t>
      </w:r>
      <w:r>
        <w:rPr>
          <w:spacing w:val="-11"/>
        </w:rPr>
        <w:t> </w:t>
      </w:r>
      <w:r>
        <w:rPr/>
        <w:t>la</w:t>
      </w:r>
      <w:r>
        <w:rPr>
          <w:spacing w:val="-11"/>
        </w:rPr>
        <w:t> </w:t>
      </w:r>
      <w:r>
        <w:rPr/>
        <w:t>metodología</w:t>
      </w:r>
      <w:r>
        <w:rPr>
          <w:spacing w:val="-11"/>
        </w:rPr>
        <w:t> </w:t>
      </w:r>
      <w:r>
        <w:rPr/>
        <w:t>en</w:t>
      </w:r>
      <w:r>
        <w:rPr>
          <w:spacing w:val="-11"/>
        </w:rPr>
        <w:t> </w:t>
      </w:r>
      <w:r>
        <w:rPr/>
        <w:t>relación</w:t>
      </w:r>
      <w:r>
        <w:rPr>
          <w:spacing w:val="-11"/>
        </w:rPr>
        <w:t> </w:t>
      </w:r>
      <w:r>
        <w:rPr/>
        <w:t>a</w:t>
      </w:r>
      <w:r>
        <w:rPr>
          <w:spacing w:val="-11"/>
        </w:rPr>
        <w:t> </w:t>
      </w:r>
      <w:r>
        <w:rPr/>
        <w:t>las</w:t>
      </w:r>
      <w:r>
        <w:rPr>
          <w:spacing w:val="-11"/>
        </w:rPr>
        <w:t> </w:t>
      </w:r>
      <w:r>
        <w:rPr/>
        <w:t>socialización</w:t>
      </w:r>
      <w:r>
        <w:rPr>
          <w:spacing w:val="-11"/>
        </w:rPr>
        <w:t> </w:t>
      </w:r>
      <w:r>
        <w:rPr/>
        <w:t>de</w:t>
      </w:r>
      <w:r>
        <w:rPr>
          <w:spacing w:val="-12"/>
        </w:rPr>
        <w:t> </w:t>
      </w:r>
      <w:r>
        <w:rPr/>
        <w:t>criterios</w:t>
      </w:r>
      <w:r>
        <w:rPr>
          <w:spacing w:val="-10"/>
        </w:rPr>
        <w:t> </w:t>
      </w:r>
      <w:r>
        <w:rPr/>
        <w:t>entre</w:t>
      </w:r>
      <w:r>
        <w:rPr>
          <w:spacing w:val="-10"/>
        </w:rPr>
        <w:t> </w:t>
      </w:r>
      <w:r>
        <w:rPr/>
        <w:t>los</w:t>
      </w:r>
      <w:r>
        <w:rPr>
          <w:spacing w:val="-13"/>
        </w:rPr>
        <w:t> </w:t>
      </w:r>
      <w:r>
        <w:rPr/>
        <w:t>meses</w:t>
      </w:r>
      <w:r>
        <w:rPr>
          <w:spacing w:val="-10"/>
        </w:rPr>
        <w:t> </w:t>
      </w:r>
      <w:r>
        <w:rPr/>
        <w:t>de</w:t>
      </w:r>
      <w:r>
        <w:rPr>
          <w:spacing w:val="-12"/>
        </w:rPr>
        <w:t> </w:t>
      </w:r>
      <w:r>
        <w:rPr/>
        <w:t>febrero y marzo de 2015, se verificó en el expediente digital de asistencias técnicas al departamento de Casanare en el mes de</w:t>
      </w:r>
      <w:r>
        <w:rPr>
          <w:spacing w:val="-7"/>
        </w:rPr>
        <w:t> </w:t>
      </w:r>
      <w:r>
        <w:rPr/>
        <w:t>marzo,</w:t>
      </w:r>
      <w:r>
        <w:rPr>
          <w:spacing w:val="-8"/>
        </w:rPr>
        <w:t> </w:t>
      </w:r>
      <w:r>
        <w:rPr/>
        <w:t>se</w:t>
      </w:r>
      <w:r>
        <w:rPr>
          <w:spacing w:val="-10"/>
        </w:rPr>
        <w:t> </w:t>
      </w:r>
      <w:r>
        <w:rPr/>
        <w:t>observan</w:t>
      </w:r>
      <w:r>
        <w:rPr>
          <w:spacing w:val="-11"/>
        </w:rPr>
        <w:t> </w:t>
      </w:r>
      <w:r>
        <w:rPr/>
        <w:t>varias</w:t>
      </w:r>
      <w:r>
        <w:rPr>
          <w:spacing w:val="-8"/>
        </w:rPr>
        <w:t> </w:t>
      </w:r>
      <w:r>
        <w:rPr/>
        <w:t>listas</w:t>
      </w:r>
      <w:r>
        <w:rPr>
          <w:spacing w:val="-8"/>
        </w:rPr>
        <w:t> </w:t>
      </w:r>
      <w:r>
        <w:rPr/>
        <w:t>de</w:t>
      </w:r>
      <w:r>
        <w:rPr>
          <w:spacing w:val="-6"/>
        </w:rPr>
        <w:t> </w:t>
      </w:r>
      <w:r>
        <w:rPr/>
        <w:t>asistencia</w:t>
      </w:r>
      <w:r>
        <w:rPr>
          <w:spacing w:val="-11"/>
        </w:rPr>
        <w:t> </w:t>
      </w:r>
      <w:r>
        <w:rPr/>
        <w:t>con</w:t>
      </w:r>
      <w:r>
        <w:rPr>
          <w:spacing w:val="-11"/>
        </w:rPr>
        <w:t> </w:t>
      </w:r>
      <w:r>
        <w:rPr/>
        <w:t>fechas</w:t>
      </w:r>
      <w:r>
        <w:rPr>
          <w:spacing w:val="-11"/>
        </w:rPr>
        <w:t> </w:t>
      </w:r>
      <w:r>
        <w:rPr/>
        <w:t>5</w:t>
      </w:r>
      <w:r>
        <w:rPr>
          <w:spacing w:val="-7"/>
        </w:rPr>
        <w:t> </w:t>
      </w:r>
      <w:r>
        <w:rPr/>
        <w:t>y</w:t>
      </w:r>
      <w:r>
        <w:rPr>
          <w:spacing w:val="-9"/>
        </w:rPr>
        <w:t> </w:t>
      </w:r>
      <w:r>
        <w:rPr/>
        <w:t>6</w:t>
      </w:r>
      <w:r>
        <w:rPr>
          <w:spacing w:val="-9"/>
        </w:rPr>
        <w:t> </w:t>
      </w:r>
      <w:r>
        <w:rPr/>
        <w:t>de</w:t>
      </w:r>
      <w:r>
        <w:rPr>
          <w:spacing w:val="-10"/>
        </w:rPr>
        <w:t> </w:t>
      </w:r>
      <w:r>
        <w:rPr/>
        <w:t>marzo</w:t>
      </w:r>
      <w:r>
        <w:rPr>
          <w:spacing w:val="-9"/>
        </w:rPr>
        <w:t> </w:t>
      </w:r>
      <w:r>
        <w:rPr/>
        <w:t>de</w:t>
      </w:r>
      <w:r>
        <w:rPr>
          <w:spacing w:val="-10"/>
        </w:rPr>
        <w:t> </w:t>
      </w:r>
      <w:r>
        <w:rPr/>
        <w:t>2015,</w:t>
      </w:r>
      <w:r>
        <w:rPr>
          <w:spacing w:val="-10"/>
        </w:rPr>
        <w:t> </w:t>
      </w:r>
      <w:r>
        <w:rPr/>
        <w:t>en</w:t>
      </w:r>
      <w:r>
        <w:rPr>
          <w:spacing w:val="-9"/>
        </w:rPr>
        <w:t> </w:t>
      </w:r>
      <w:r>
        <w:rPr/>
        <w:t>donde</w:t>
      </w:r>
      <w:r>
        <w:rPr>
          <w:spacing w:val="-7"/>
        </w:rPr>
        <w:t> </w:t>
      </w:r>
      <w:r>
        <w:rPr/>
        <w:t>se</w:t>
      </w:r>
      <w:r>
        <w:rPr>
          <w:spacing w:val="-10"/>
        </w:rPr>
        <w:t> </w:t>
      </w:r>
      <w:r>
        <w:rPr/>
        <w:t>observó</w:t>
      </w:r>
      <w:r>
        <w:rPr>
          <w:spacing w:val="-7"/>
        </w:rPr>
        <w:t> </w:t>
      </w:r>
      <w:r>
        <w:rPr/>
        <w:t>la</w:t>
      </w:r>
      <w:r>
        <w:rPr>
          <w:spacing w:val="-13"/>
        </w:rPr>
        <w:t> </w:t>
      </w:r>
      <w:r>
        <w:rPr/>
        <w:t>asistencia del representante del municipio de Paz de Ariporo en las dos listas, sin embargo, en la primera relacionada no se indica el objeto de la reunión y en el segundo listado se evidencia un formato diferente como se observa en las imágenes a continuación. Así mismo, no se cuenta con acta o ayuda de memoria que permita evidenciar la gestión realizada, únicamente con el listado de asistencia que prueba quienes estuvieron en el lugar más no desarrollo, aportes, seguimientos y recomendaciones de la misma </w:t>
      </w:r>
      <w:r>
        <w:rPr>
          <w:b/>
        </w:rPr>
        <w:t>(ver imagen listas de</w:t>
      </w:r>
      <w:r>
        <w:rPr>
          <w:b/>
          <w:spacing w:val="-27"/>
        </w:rPr>
        <w:t> </w:t>
      </w:r>
      <w:r>
        <w:rPr>
          <w:b/>
        </w:rPr>
        <w:t>asistencias).</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93" name="image1.png" descr=""/>
                  <wp:cNvGraphicFramePr>
                    <a:graphicFrameLocks noChangeAspect="1"/>
                  </wp:cNvGraphicFramePr>
                  <a:graphic>
                    <a:graphicData uri="http://schemas.openxmlformats.org/drawingml/2006/picture">
                      <pic:pic>
                        <pic:nvPicPr>
                          <pic:cNvPr id="9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27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pStyle w:val="Heading1"/>
        <w:spacing w:before="57"/>
        <w:ind w:left="4040" w:right="3966"/>
      </w:pPr>
      <w:r>
        <w:rPr/>
        <w:t>Imagen 1</w:t>
      </w:r>
    </w:p>
    <w:p>
      <w:pPr>
        <w:pStyle w:val="BodyText"/>
        <w:rPr>
          <w:b/>
          <w:sz w:val="20"/>
        </w:rPr>
      </w:pPr>
      <w:r>
        <w:rPr/>
        <w:pict>
          <v:group style="position:absolute;margin-left:105.239998pt;margin-top:14.185922pt;width:408.15pt;height:279.75pt;mso-position-horizontal-relative:page;mso-position-vertical-relative:paragraph;z-index:1624;mso-wrap-distance-left:0;mso-wrap-distance-right:0" coordorigin="2105,284" coordsize="8163,5595">
            <v:shape style="position:absolute;left:2105;top:284;width:8146;height:5594" type="#_x0000_t75" stroked="false">
              <v:imagedata r:id="rId42" o:title=""/>
            </v:shape>
            <v:shape style="position:absolute;left:2353;top:5207;width:7892;height:300" coordorigin="2353,5207" coordsize="7892,300" path="m2353,5266l2358,5243,2370,5224,2389,5212,2412,5207,10186,5207,10209,5212,10227,5224,10240,5243,10244,5266,10244,5449,10240,5472,10227,5490,10209,5503,10186,5507,2412,5507,2389,5503,2370,5490,2358,5472,2353,5449,2353,5266xe" filled="false" stroked="true" strokeweight="2.280pt" strokecolor="#c00000">
              <v:path arrowok="t"/>
            </v:shape>
            <v:shape style="position:absolute;left:7326;top:539;width:2732;height:524" coordorigin="7326,539" coordsize="2732,524" path="m7326,627l7333,593,7352,565,7379,546,7413,539,9970,539,10004,546,10032,565,10050,593,10057,627,10057,975,10050,1009,10032,1037,10004,1056,9970,1063,7413,1063,7379,1056,7352,1037,7333,1009,7326,975,7326,627xe" filled="false" stroked="true" strokeweight="2.280pt" strokecolor="#c00000">
              <v:path arrowok="t"/>
            </v:shape>
            <w10:wrap type="topAndBottom"/>
          </v:group>
        </w:pict>
      </w:r>
    </w:p>
    <w:p>
      <w:pPr>
        <w:pStyle w:val="BodyText"/>
        <w:spacing w:before="3"/>
        <w:rPr>
          <w:b/>
          <w:sz w:val="20"/>
        </w:rPr>
      </w:pPr>
    </w:p>
    <w:p>
      <w:pPr>
        <w:spacing w:before="0"/>
        <w:ind w:left="4040" w:right="3966" w:firstLine="0"/>
        <w:jc w:val="center"/>
        <w:rPr>
          <w:b/>
          <w:sz w:val="22"/>
        </w:rPr>
      </w:pPr>
      <w:r>
        <w:rPr>
          <w:b/>
          <w:sz w:val="22"/>
        </w:rPr>
        <w:t>Imagen 2</w:t>
      </w:r>
    </w:p>
    <w:p>
      <w:pPr>
        <w:pStyle w:val="BodyText"/>
        <w:spacing w:before="12"/>
        <w:rPr>
          <w:b/>
          <w:sz w:val="18"/>
        </w:rPr>
      </w:pPr>
      <w:r>
        <w:rPr/>
        <w:pict>
          <v:group style="position:absolute;margin-left:105.82pt;margin-top:13.53591pt;width:404.45pt;height:241.6pt;mso-position-horizontal-relative:page;mso-position-vertical-relative:paragraph;z-index:1648;mso-wrap-distance-left:0;mso-wrap-distance-right:0" coordorigin="2116,271" coordsize="8089,4832">
            <v:shape style="position:absolute;left:2129;top:271;width:8076;height:4831" type="#_x0000_t75" stroked="false">
              <v:imagedata r:id="rId43" o:title=""/>
            </v:shape>
            <v:shape style="position:absolute;left:2132;top:2581;width:7829;height:540" coordorigin="2132,2581" coordsize="7829,540" path="m2132,2671l2139,2636,2159,2607,2187,2588,2222,2581,9871,2581,9906,2588,9935,2607,9954,2636,9961,2671,9961,3031,9954,3066,9935,3094,9906,3114,9871,3121,2222,3121,2187,3114,2159,3094,2139,3066,2132,3031,2132,2671xe" filled="false" stroked="true" strokeweight="1.56pt" strokecolor="#c00000">
              <v:path arrowok="t"/>
            </v:shape>
            <w10:wrap type="topAndBottom"/>
          </v:group>
        </w:pict>
      </w:r>
    </w:p>
    <w:p>
      <w:pPr>
        <w:spacing w:after="0"/>
        <w:rPr>
          <w:sz w:val="18"/>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95" name="image1.png" descr=""/>
                  <wp:cNvGraphicFramePr>
                    <a:graphicFrameLocks noChangeAspect="1"/>
                  </wp:cNvGraphicFramePr>
                  <a:graphic>
                    <a:graphicData uri="http://schemas.openxmlformats.org/drawingml/2006/picture">
                      <pic:pic>
                        <pic:nvPicPr>
                          <pic:cNvPr id="9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28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b/>
          <w:sz w:val="20"/>
        </w:rPr>
      </w:pPr>
    </w:p>
    <w:p>
      <w:pPr>
        <w:pStyle w:val="BodyText"/>
        <w:rPr>
          <w:b/>
          <w:sz w:val="20"/>
        </w:rPr>
      </w:pPr>
    </w:p>
    <w:p>
      <w:pPr>
        <w:pStyle w:val="BodyText"/>
        <w:spacing w:before="6"/>
        <w:rPr>
          <w:b/>
          <w:sz w:val="18"/>
        </w:rPr>
      </w:pPr>
    </w:p>
    <w:p>
      <w:pPr>
        <w:pStyle w:val="BodyText"/>
        <w:ind w:left="291" w:right="210"/>
        <w:jc w:val="both"/>
        <w:rPr>
          <w:b/>
        </w:rPr>
      </w:pPr>
      <w:r>
        <w:rPr/>
        <w:t>Posteriormente, se consultó en los expedientes digitales ubicado en </w:t>
      </w:r>
      <w:r>
        <w:rPr>
          <w:color w:val="001F5F"/>
          <w:u w:val="single" w:color="001F5F"/>
        </w:rPr>
        <w:t>\\totoro\Unidad_Victimas\Dir Gestion Interinstitucional\Coordinación Nación Territorio\220.29 Certificaciones\220.29.3\Vigencia 2014</w:t>
      </w:r>
      <w:r>
        <w:rPr>
          <w:color w:val="001F5F"/>
        </w:rPr>
        <w:t>, </w:t>
      </w:r>
      <w:r>
        <w:rPr/>
        <w:t>sin embargo, no fue</w:t>
      </w:r>
      <w:r>
        <w:rPr>
          <w:spacing w:val="-6"/>
        </w:rPr>
        <w:t> </w:t>
      </w:r>
      <w:r>
        <w:rPr/>
        <w:t>posible</w:t>
      </w:r>
      <w:r>
        <w:rPr>
          <w:spacing w:val="-9"/>
        </w:rPr>
        <w:t> </w:t>
      </w:r>
      <w:r>
        <w:rPr/>
        <w:t>ubicar</w:t>
      </w:r>
      <w:r>
        <w:rPr>
          <w:spacing w:val="-8"/>
        </w:rPr>
        <w:t> </w:t>
      </w:r>
      <w:r>
        <w:rPr/>
        <w:t>la</w:t>
      </w:r>
      <w:r>
        <w:rPr>
          <w:spacing w:val="-9"/>
        </w:rPr>
        <w:t> </w:t>
      </w:r>
      <w:r>
        <w:rPr/>
        <w:t>comunicación</w:t>
      </w:r>
      <w:r>
        <w:rPr>
          <w:spacing w:val="-7"/>
        </w:rPr>
        <w:t> </w:t>
      </w:r>
      <w:r>
        <w:rPr/>
        <w:t>del</w:t>
      </w:r>
      <w:r>
        <w:rPr>
          <w:spacing w:val="-6"/>
        </w:rPr>
        <w:t> </w:t>
      </w:r>
      <w:r>
        <w:rPr/>
        <w:t>resultado</w:t>
      </w:r>
      <w:r>
        <w:rPr>
          <w:spacing w:val="-8"/>
        </w:rPr>
        <w:t> </w:t>
      </w:r>
      <w:r>
        <w:rPr/>
        <w:t>final</w:t>
      </w:r>
      <w:r>
        <w:rPr>
          <w:spacing w:val="-7"/>
        </w:rPr>
        <w:t> </w:t>
      </w:r>
      <w:r>
        <w:rPr/>
        <w:t>de</w:t>
      </w:r>
      <w:r>
        <w:rPr>
          <w:spacing w:val="-6"/>
        </w:rPr>
        <w:t> </w:t>
      </w:r>
      <w:r>
        <w:rPr/>
        <w:t>la</w:t>
      </w:r>
      <w:r>
        <w:rPr>
          <w:spacing w:val="-10"/>
        </w:rPr>
        <w:t> </w:t>
      </w:r>
      <w:r>
        <w:rPr/>
        <w:t>certificación,</w:t>
      </w:r>
      <w:r>
        <w:rPr>
          <w:spacing w:val="-9"/>
        </w:rPr>
        <w:t> </w:t>
      </w:r>
      <w:r>
        <w:rPr/>
        <w:t>en</w:t>
      </w:r>
      <w:r>
        <w:rPr>
          <w:spacing w:val="-9"/>
        </w:rPr>
        <w:t> </w:t>
      </w:r>
      <w:r>
        <w:rPr/>
        <w:t>razón</w:t>
      </w:r>
      <w:r>
        <w:rPr>
          <w:spacing w:val="-10"/>
        </w:rPr>
        <w:t> </w:t>
      </w:r>
      <w:r>
        <w:rPr/>
        <w:t>a</w:t>
      </w:r>
      <w:r>
        <w:rPr>
          <w:spacing w:val="-7"/>
        </w:rPr>
        <w:t> </w:t>
      </w:r>
      <w:r>
        <w:rPr/>
        <w:t>que</w:t>
      </w:r>
      <w:r>
        <w:rPr>
          <w:spacing w:val="-6"/>
        </w:rPr>
        <w:t> </w:t>
      </w:r>
      <w:r>
        <w:rPr/>
        <w:t>los</w:t>
      </w:r>
      <w:r>
        <w:rPr>
          <w:spacing w:val="-9"/>
        </w:rPr>
        <w:t> </w:t>
      </w:r>
      <w:r>
        <w:rPr/>
        <w:t>mismos</w:t>
      </w:r>
      <w:r>
        <w:rPr>
          <w:spacing w:val="-7"/>
        </w:rPr>
        <w:t> </w:t>
      </w:r>
      <w:r>
        <w:rPr/>
        <w:t>no</w:t>
      </w:r>
      <w:r>
        <w:rPr>
          <w:spacing w:val="-5"/>
        </w:rPr>
        <w:t> </w:t>
      </w:r>
      <w:r>
        <w:rPr/>
        <w:t>se</w:t>
      </w:r>
      <w:r>
        <w:rPr>
          <w:spacing w:val="-8"/>
        </w:rPr>
        <w:t> </w:t>
      </w:r>
      <w:r>
        <w:rPr/>
        <w:t>encuentran organizados de manera individual o de fácil identificación, se observaron múltiples documentos en formato pdf, clasificado en cuatro (4) carpetas identificadas como; bajo, medio, alto y alto sobresaliente. De igual manera se consultaron archivos en Excel con el ánimo de identificar el número o código de la certificación para el municipio de Paz</w:t>
      </w:r>
      <w:r>
        <w:rPr>
          <w:spacing w:val="-4"/>
        </w:rPr>
        <w:t> </w:t>
      </w:r>
      <w:r>
        <w:rPr/>
        <w:t>de</w:t>
      </w:r>
      <w:r>
        <w:rPr>
          <w:spacing w:val="-3"/>
        </w:rPr>
        <w:t> </w:t>
      </w:r>
      <w:r>
        <w:rPr/>
        <w:t>Ariporo,</w:t>
      </w:r>
      <w:r>
        <w:rPr>
          <w:spacing w:val="-3"/>
        </w:rPr>
        <w:t> </w:t>
      </w:r>
      <w:r>
        <w:rPr/>
        <w:t>pero</w:t>
      </w:r>
      <w:r>
        <w:rPr>
          <w:spacing w:val="-2"/>
        </w:rPr>
        <w:t> </w:t>
      </w:r>
      <w:r>
        <w:rPr/>
        <w:t>no</w:t>
      </w:r>
      <w:r>
        <w:rPr>
          <w:spacing w:val="-2"/>
        </w:rPr>
        <w:t> </w:t>
      </w:r>
      <w:r>
        <w:rPr/>
        <w:t>fue</w:t>
      </w:r>
      <w:r>
        <w:rPr>
          <w:spacing w:val="-5"/>
        </w:rPr>
        <w:t> </w:t>
      </w:r>
      <w:r>
        <w:rPr/>
        <w:t>posible</w:t>
      </w:r>
      <w:r>
        <w:rPr>
          <w:spacing w:val="-3"/>
        </w:rPr>
        <w:t> </w:t>
      </w:r>
      <w:r>
        <w:rPr/>
        <w:t>su</w:t>
      </w:r>
      <w:r>
        <w:rPr>
          <w:spacing w:val="-5"/>
        </w:rPr>
        <w:t> </w:t>
      </w:r>
      <w:r>
        <w:rPr/>
        <w:t>ubicación</w:t>
      </w:r>
      <w:r>
        <w:rPr>
          <w:spacing w:val="-5"/>
        </w:rPr>
        <w:t> </w:t>
      </w:r>
      <w:r>
        <w:rPr>
          <w:b/>
        </w:rPr>
        <w:t>(ver</w:t>
      </w:r>
      <w:r>
        <w:rPr>
          <w:b/>
          <w:spacing w:val="-5"/>
        </w:rPr>
        <w:t> </w:t>
      </w:r>
      <w:r>
        <w:rPr>
          <w:b/>
        </w:rPr>
        <w:t>imágenes</w:t>
      </w:r>
      <w:r>
        <w:rPr>
          <w:b/>
          <w:spacing w:val="-3"/>
        </w:rPr>
        <w:t> </w:t>
      </w:r>
      <w:r>
        <w:rPr>
          <w:b/>
        </w:rPr>
        <w:t>de</w:t>
      </w:r>
      <w:r>
        <w:rPr>
          <w:b/>
          <w:spacing w:val="-5"/>
        </w:rPr>
        <w:t> </w:t>
      </w:r>
      <w:r>
        <w:rPr>
          <w:b/>
        </w:rPr>
        <w:t>las</w:t>
      </w:r>
      <w:r>
        <w:rPr>
          <w:b/>
          <w:spacing w:val="-3"/>
        </w:rPr>
        <w:t> </w:t>
      </w:r>
      <w:r>
        <w:rPr>
          <w:b/>
        </w:rPr>
        <w:t>consultas</w:t>
      </w:r>
      <w:r>
        <w:rPr>
          <w:b/>
          <w:spacing w:val="-5"/>
        </w:rPr>
        <w:t> </w:t>
      </w:r>
      <w:r>
        <w:rPr>
          <w:b/>
        </w:rPr>
        <w:t>realizadas).</w:t>
      </w:r>
    </w:p>
    <w:p>
      <w:pPr>
        <w:pStyle w:val="BodyText"/>
        <w:rPr>
          <w:b/>
        </w:rPr>
      </w:pPr>
    </w:p>
    <w:p>
      <w:pPr>
        <w:pStyle w:val="Heading1"/>
        <w:ind w:left="4040" w:right="3966"/>
      </w:pPr>
      <w:r>
        <w:rPr/>
        <w:t>Imagen 1</w:t>
      </w:r>
    </w:p>
    <w:p>
      <w:pPr>
        <w:pStyle w:val="BodyText"/>
        <w:rPr>
          <w:b/>
          <w:sz w:val="20"/>
        </w:rPr>
      </w:pPr>
    </w:p>
    <w:p>
      <w:pPr>
        <w:pStyle w:val="BodyText"/>
        <w:spacing w:before="7"/>
        <w:rPr>
          <w:b/>
          <w:sz w:val="21"/>
        </w:rPr>
      </w:pPr>
      <w:r>
        <w:rPr/>
        <w:drawing>
          <wp:anchor distT="0" distB="0" distL="0" distR="0" allowOverlap="1" layoutInCell="1" locked="0" behindDoc="0" simplePos="0" relativeHeight="1672">
            <wp:simplePos x="0" y="0"/>
            <wp:positionH relativeFrom="page">
              <wp:posOffset>1609344</wp:posOffset>
            </wp:positionH>
            <wp:positionV relativeFrom="paragraph">
              <wp:posOffset>192390</wp:posOffset>
            </wp:positionV>
            <wp:extent cx="4600805" cy="3005328"/>
            <wp:effectExtent l="0" t="0" r="0" b="0"/>
            <wp:wrapTopAndBottom/>
            <wp:docPr id="97" name="image29.jpeg" descr=""/>
            <wp:cNvGraphicFramePr>
              <a:graphicFrameLocks noChangeAspect="1"/>
            </wp:cNvGraphicFramePr>
            <a:graphic>
              <a:graphicData uri="http://schemas.openxmlformats.org/drawingml/2006/picture">
                <pic:pic>
                  <pic:nvPicPr>
                    <pic:cNvPr id="98" name="image29.jpeg"/>
                    <pic:cNvPicPr/>
                  </pic:nvPicPr>
                  <pic:blipFill>
                    <a:blip r:embed="rId44" cstate="print"/>
                    <a:stretch>
                      <a:fillRect/>
                    </a:stretch>
                  </pic:blipFill>
                  <pic:spPr>
                    <a:xfrm>
                      <a:off x="0" y="0"/>
                      <a:ext cx="4600805" cy="3005328"/>
                    </a:xfrm>
                    <a:prstGeom prst="rect">
                      <a:avLst/>
                    </a:prstGeom>
                  </pic:spPr>
                </pic:pic>
              </a:graphicData>
            </a:graphic>
          </wp:anchor>
        </w:drawing>
      </w:r>
    </w:p>
    <w:p>
      <w:pPr>
        <w:pStyle w:val="BodyText"/>
        <w:rPr>
          <w:b/>
        </w:rPr>
      </w:pPr>
    </w:p>
    <w:p>
      <w:pPr>
        <w:pStyle w:val="BodyText"/>
        <w:spacing w:before="9"/>
        <w:rPr>
          <w:b/>
          <w:sz w:val="17"/>
        </w:rPr>
      </w:pPr>
    </w:p>
    <w:p>
      <w:pPr>
        <w:spacing w:before="1"/>
        <w:ind w:left="4040" w:right="3966" w:firstLine="0"/>
        <w:jc w:val="center"/>
        <w:rPr>
          <w:b/>
          <w:sz w:val="22"/>
        </w:rPr>
      </w:pPr>
      <w:r>
        <w:rPr>
          <w:b/>
          <w:sz w:val="22"/>
        </w:rPr>
        <w:t>Imagen 2</w:t>
      </w:r>
    </w:p>
    <w:p>
      <w:pPr>
        <w:spacing w:after="0"/>
        <w:jc w:val="center"/>
        <w:rPr>
          <w:sz w:val="22"/>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99" name="image1.png" descr=""/>
                  <wp:cNvGraphicFramePr>
                    <a:graphicFrameLocks noChangeAspect="1"/>
                  </wp:cNvGraphicFramePr>
                  <a:graphic>
                    <a:graphicData uri="http://schemas.openxmlformats.org/drawingml/2006/picture">
                      <pic:pic>
                        <pic:nvPicPr>
                          <pic:cNvPr id="10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29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4"/>
        <w:rPr>
          <w:b/>
          <w:sz w:val="20"/>
        </w:rPr>
      </w:pPr>
      <w:r>
        <w:rPr/>
        <w:drawing>
          <wp:anchor distT="0" distB="0" distL="0" distR="0" allowOverlap="1" layoutInCell="1" locked="0" behindDoc="0" simplePos="0" relativeHeight="1696">
            <wp:simplePos x="0" y="0"/>
            <wp:positionH relativeFrom="page">
              <wp:posOffset>1380744</wp:posOffset>
            </wp:positionH>
            <wp:positionV relativeFrom="paragraph">
              <wp:posOffset>182626</wp:posOffset>
            </wp:positionV>
            <wp:extent cx="5043042" cy="3192399"/>
            <wp:effectExtent l="0" t="0" r="0" b="0"/>
            <wp:wrapTopAndBottom/>
            <wp:docPr id="101" name="image30.png" descr=""/>
            <wp:cNvGraphicFramePr>
              <a:graphicFrameLocks noChangeAspect="1"/>
            </wp:cNvGraphicFramePr>
            <a:graphic>
              <a:graphicData uri="http://schemas.openxmlformats.org/drawingml/2006/picture">
                <pic:pic>
                  <pic:nvPicPr>
                    <pic:cNvPr id="102" name="image30.png"/>
                    <pic:cNvPicPr/>
                  </pic:nvPicPr>
                  <pic:blipFill>
                    <a:blip r:embed="rId45" cstate="print"/>
                    <a:stretch>
                      <a:fillRect/>
                    </a:stretch>
                  </pic:blipFill>
                  <pic:spPr>
                    <a:xfrm>
                      <a:off x="0" y="0"/>
                      <a:ext cx="5043042" cy="3192399"/>
                    </a:xfrm>
                    <a:prstGeom prst="rect">
                      <a:avLst/>
                    </a:prstGeom>
                  </pic:spPr>
                </pic:pic>
              </a:graphicData>
            </a:graphic>
          </wp:anchor>
        </w:drawing>
      </w:r>
    </w:p>
    <w:p>
      <w:pPr>
        <w:pStyle w:val="BodyText"/>
        <w:spacing w:before="9"/>
        <w:rPr>
          <w:b/>
          <w:sz w:val="13"/>
        </w:rPr>
      </w:pPr>
    </w:p>
    <w:p>
      <w:pPr>
        <w:spacing w:before="56"/>
        <w:ind w:left="4040" w:right="3966" w:firstLine="0"/>
        <w:jc w:val="center"/>
        <w:rPr>
          <w:b/>
          <w:sz w:val="22"/>
        </w:rPr>
      </w:pPr>
      <w:r>
        <w:rPr>
          <w:b/>
          <w:sz w:val="22"/>
        </w:rPr>
        <w:t>Imagen 3</w:t>
      </w:r>
    </w:p>
    <w:p>
      <w:pPr>
        <w:pStyle w:val="BodyText"/>
        <w:rPr>
          <w:b/>
          <w:sz w:val="20"/>
        </w:rPr>
      </w:pPr>
    </w:p>
    <w:p>
      <w:pPr>
        <w:pStyle w:val="BodyText"/>
        <w:rPr>
          <w:b/>
          <w:sz w:val="21"/>
        </w:rPr>
      </w:pPr>
      <w:r>
        <w:rPr/>
        <w:drawing>
          <wp:anchor distT="0" distB="0" distL="0" distR="0" allowOverlap="1" layoutInCell="1" locked="0" behindDoc="0" simplePos="0" relativeHeight="1720">
            <wp:simplePos x="0" y="0"/>
            <wp:positionH relativeFrom="page">
              <wp:posOffset>2247900</wp:posOffset>
            </wp:positionH>
            <wp:positionV relativeFrom="paragraph">
              <wp:posOffset>187564</wp:posOffset>
            </wp:positionV>
            <wp:extent cx="3295804" cy="2949511"/>
            <wp:effectExtent l="0" t="0" r="0" b="0"/>
            <wp:wrapTopAndBottom/>
            <wp:docPr id="103" name="image31.png" descr=""/>
            <wp:cNvGraphicFramePr>
              <a:graphicFrameLocks noChangeAspect="1"/>
            </wp:cNvGraphicFramePr>
            <a:graphic>
              <a:graphicData uri="http://schemas.openxmlformats.org/drawingml/2006/picture">
                <pic:pic>
                  <pic:nvPicPr>
                    <pic:cNvPr id="104" name="image31.png"/>
                    <pic:cNvPicPr/>
                  </pic:nvPicPr>
                  <pic:blipFill>
                    <a:blip r:embed="rId46" cstate="print"/>
                    <a:stretch>
                      <a:fillRect/>
                    </a:stretch>
                  </pic:blipFill>
                  <pic:spPr>
                    <a:xfrm>
                      <a:off x="0" y="0"/>
                      <a:ext cx="3295804" cy="2949511"/>
                    </a:xfrm>
                    <a:prstGeom prst="rect">
                      <a:avLst/>
                    </a:prstGeom>
                  </pic:spPr>
                </pic:pic>
              </a:graphicData>
            </a:graphic>
          </wp:anchor>
        </w:drawing>
      </w:r>
    </w:p>
    <w:p>
      <w:pPr>
        <w:pStyle w:val="BodyText"/>
        <w:rPr>
          <w:b/>
          <w:sz w:val="20"/>
        </w:rPr>
      </w:pPr>
    </w:p>
    <w:p>
      <w:pPr>
        <w:pStyle w:val="BodyText"/>
        <w:rPr>
          <w:b/>
          <w:sz w:val="20"/>
        </w:rPr>
      </w:pPr>
    </w:p>
    <w:p>
      <w:pPr>
        <w:pStyle w:val="BodyText"/>
        <w:spacing w:before="2"/>
        <w:rPr>
          <w:b/>
          <w:sz w:val="24"/>
        </w:rPr>
      </w:pPr>
    </w:p>
    <w:p>
      <w:pPr>
        <w:pStyle w:val="ListParagraph"/>
        <w:numPr>
          <w:ilvl w:val="2"/>
          <w:numId w:val="13"/>
        </w:numPr>
        <w:tabs>
          <w:tab w:pos="904" w:val="left" w:leader="none"/>
        </w:tabs>
        <w:spacing w:line="240" w:lineRule="auto" w:before="57" w:after="0"/>
        <w:ind w:left="903" w:right="0" w:hanging="562"/>
        <w:jc w:val="left"/>
        <w:rPr>
          <w:b/>
          <w:sz w:val="22"/>
        </w:rPr>
      </w:pPr>
      <w:r>
        <w:rPr>
          <w:b/>
          <w:sz w:val="22"/>
        </w:rPr>
        <w:t>MUNICIPIO DE MONTERÍA</w:t>
      </w:r>
      <w:r>
        <w:rPr>
          <w:b/>
          <w:spacing w:val="-17"/>
          <w:sz w:val="22"/>
        </w:rPr>
        <w:t> </w:t>
      </w:r>
      <w:r>
        <w:rPr>
          <w:b/>
          <w:sz w:val="22"/>
        </w:rPr>
        <w:t>(CÓRDOBA)</w:t>
      </w:r>
    </w:p>
    <w:p>
      <w:pPr>
        <w:spacing w:after="0" w:line="240" w:lineRule="auto"/>
        <w:jc w:val="left"/>
        <w:rPr>
          <w:sz w:val="22"/>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05" name="image1.png" descr=""/>
                  <wp:cNvGraphicFramePr>
                    <a:graphicFrameLocks noChangeAspect="1"/>
                  </wp:cNvGraphicFramePr>
                  <a:graphic>
                    <a:graphicData uri="http://schemas.openxmlformats.org/drawingml/2006/picture">
                      <pic:pic>
                        <pic:nvPicPr>
                          <pic:cNvPr id="10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30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b/>
          <w:sz w:val="20"/>
        </w:rPr>
      </w:pPr>
    </w:p>
    <w:p>
      <w:pPr>
        <w:pStyle w:val="BodyText"/>
        <w:spacing w:before="6"/>
        <w:rPr>
          <w:b/>
          <w:sz w:val="16"/>
        </w:rPr>
      </w:pPr>
    </w:p>
    <w:p>
      <w:pPr>
        <w:pStyle w:val="BodyText"/>
        <w:ind w:left="291" w:right="213"/>
        <w:jc w:val="both"/>
        <w:rPr>
          <w:b/>
        </w:rPr>
      </w:pPr>
      <w:r>
        <w:rPr/>
        <w:t>De</w:t>
      </w:r>
      <w:r>
        <w:rPr>
          <w:spacing w:val="-9"/>
        </w:rPr>
        <w:t> </w:t>
      </w:r>
      <w:r>
        <w:rPr/>
        <w:t>acuerdo</w:t>
      </w:r>
      <w:r>
        <w:rPr>
          <w:spacing w:val="-10"/>
        </w:rPr>
        <w:t> </w:t>
      </w:r>
      <w:r>
        <w:rPr/>
        <w:t>con</w:t>
      </w:r>
      <w:r>
        <w:rPr>
          <w:spacing w:val="-11"/>
        </w:rPr>
        <w:t> </w:t>
      </w:r>
      <w:r>
        <w:rPr/>
        <w:t>lo</w:t>
      </w:r>
      <w:r>
        <w:rPr>
          <w:spacing w:val="-12"/>
        </w:rPr>
        <w:t> </w:t>
      </w:r>
      <w:r>
        <w:rPr/>
        <w:t>establecido</w:t>
      </w:r>
      <w:r>
        <w:rPr>
          <w:spacing w:val="-9"/>
        </w:rPr>
        <w:t> </w:t>
      </w:r>
      <w:r>
        <w:rPr/>
        <w:t>en</w:t>
      </w:r>
      <w:r>
        <w:rPr>
          <w:spacing w:val="-11"/>
        </w:rPr>
        <w:t> </w:t>
      </w:r>
      <w:r>
        <w:rPr/>
        <w:t>la</w:t>
      </w:r>
      <w:r>
        <w:rPr>
          <w:spacing w:val="-11"/>
        </w:rPr>
        <w:t> </w:t>
      </w:r>
      <w:r>
        <w:rPr/>
        <w:t>metodología</w:t>
      </w:r>
      <w:r>
        <w:rPr>
          <w:spacing w:val="-11"/>
        </w:rPr>
        <w:t> </w:t>
      </w:r>
      <w:r>
        <w:rPr/>
        <w:t>en</w:t>
      </w:r>
      <w:r>
        <w:rPr>
          <w:spacing w:val="-11"/>
        </w:rPr>
        <w:t> </w:t>
      </w:r>
      <w:r>
        <w:rPr/>
        <w:t>relación</w:t>
      </w:r>
      <w:r>
        <w:rPr>
          <w:spacing w:val="-11"/>
        </w:rPr>
        <w:t> </w:t>
      </w:r>
      <w:r>
        <w:rPr/>
        <w:t>a</w:t>
      </w:r>
      <w:r>
        <w:rPr>
          <w:spacing w:val="-11"/>
        </w:rPr>
        <w:t> </w:t>
      </w:r>
      <w:r>
        <w:rPr/>
        <w:t>las</w:t>
      </w:r>
      <w:r>
        <w:rPr>
          <w:spacing w:val="-11"/>
        </w:rPr>
        <w:t> </w:t>
      </w:r>
      <w:r>
        <w:rPr/>
        <w:t>socialización</w:t>
      </w:r>
      <w:r>
        <w:rPr>
          <w:spacing w:val="-11"/>
        </w:rPr>
        <w:t> </w:t>
      </w:r>
      <w:r>
        <w:rPr/>
        <w:t>de</w:t>
      </w:r>
      <w:r>
        <w:rPr>
          <w:spacing w:val="-12"/>
        </w:rPr>
        <w:t> </w:t>
      </w:r>
      <w:r>
        <w:rPr/>
        <w:t>criterios</w:t>
      </w:r>
      <w:r>
        <w:rPr>
          <w:spacing w:val="-10"/>
        </w:rPr>
        <w:t> </w:t>
      </w:r>
      <w:r>
        <w:rPr/>
        <w:t>entre</w:t>
      </w:r>
      <w:r>
        <w:rPr>
          <w:spacing w:val="-10"/>
        </w:rPr>
        <w:t> </w:t>
      </w:r>
      <w:r>
        <w:rPr/>
        <w:t>los</w:t>
      </w:r>
      <w:r>
        <w:rPr>
          <w:spacing w:val="-13"/>
        </w:rPr>
        <w:t> </w:t>
      </w:r>
      <w:r>
        <w:rPr/>
        <w:t>meses</w:t>
      </w:r>
      <w:r>
        <w:rPr>
          <w:spacing w:val="-10"/>
        </w:rPr>
        <w:t> </w:t>
      </w:r>
      <w:r>
        <w:rPr/>
        <w:t>de</w:t>
      </w:r>
      <w:r>
        <w:rPr>
          <w:spacing w:val="-12"/>
        </w:rPr>
        <w:t> </w:t>
      </w:r>
      <w:r>
        <w:rPr/>
        <w:t>febrero y marzo de 2015, se verificó en el expediente digital de asistencias técnicas, el departamento de Casanare en el mes de febrero, se observan varias listas de asistencia con fechas 10 y 11 de febrero de 2015, en donde se observó la asistencia del representante del municipio de Montería en las dos listas, sin embargo, en la primera relacionada no se indica el objeto de la reunión y en el segundo listado se evidencia un formato diferente como se observa en las imágenes a continuación. Así mismo, no se cuenta con acta o ayuda de memoria que permita evidenciar la gestión realizada, únicamente con el listado de asistencia que prueba quienes estuvieron en el lugar más no desarrollo, aportes, seguimientos y recomendaciones de la misma </w:t>
      </w:r>
      <w:r>
        <w:rPr>
          <w:b/>
        </w:rPr>
        <w:t>(ver imagen listas de</w:t>
      </w:r>
      <w:r>
        <w:rPr>
          <w:b/>
          <w:spacing w:val="-27"/>
        </w:rPr>
        <w:t> </w:t>
      </w:r>
      <w:r>
        <w:rPr>
          <w:b/>
        </w:rPr>
        <w:t>asistencias).</w:t>
      </w:r>
    </w:p>
    <w:p>
      <w:pPr>
        <w:pStyle w:val="BodyText"/>
        <w:rPr>
          <w:b/>
        </w:rPr>
      </w:pPr>
    </w:p>
    <w:p>
      <w:pPr>
        <w:pStyle w:val="Heading1"/>
        <w:ind w:left="4040" w:right="3966"/>
      </w:pPr>
      <w:r>
        <w:rPr/>
        <w:t>Imagen 1</w:t>
      </w:r>
    </w:p>
    <w:p>
      <w:pPr>
        <w:pStyle w:val="BodyText"/>
        <w:spacing w:before="12"/>
        <w:rPr>
          <w:b/>
          <w:sz w:val="19"/>
        </w:rPr>
      </w:pPr>
      <w:r>
        <w:rPr/>
        <w:pict>
          <v:group style="position:absolute;margin-left:67.910004pt;margin-top:14.155926pt;width:465.9pt;height:295.7pt;mso-position-horizontal-relative:page;mso-position-vertical-relative:paragraph;z-index:1744;mso-wrap-distance-left:0;mso-wrap-distance-right:0" coordorigin="1358,283" coordsize="9318,5914">
            <v:shape style="position:absolute;left:1382;top:283;width:9163;height:5914" type="#_x0000_t75" stroked="false">
              <v:imagedata r:id="rId47" o:title=""/>
            </v:shape>
            <v:shape style="position:absolute;left:1381;top:3476;width:9272;height:512" coordorigin="1381,3476" coordsize="9272,512" path="m1381,3562l1388,3528,1406,3501,1433,3483,1466,3476,10567,3476,10600,3483,10627,3501,10646,3528,10652,3562,10652,3902,10646,3935,10627,3963,10600,3981,10567,3988,1466,3988,1433,3981,1406,3963,1388,3935,1381,3902,1381,3562xe" filled="false" stroked="true" strokeweight="2.280pt" strokecolor="#c00000">
              <v:path arrowok="t"/>
            </v:shape>
            <w10:wrap type="topAndBottom"/>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24"/>
        </w:rPr>
      </w:pPr>
    </w:p>
    <w:p>
      <w:pPr>
        <w:spacing w:before="1"/>
        <w:ind w:left="4327" w:right="3946" w:firstLine="0"/>
        <w:jc w:val="center"/>
        <w:rPr>
          <w:b/>
          <w:sz w:val="22"/>
        </w:rPr>
      </w:pPr>
      <w:r>
        <w:rPr>
          <w:b/>
          <w:sz w:val="22"/>
        </w:rPr>
        <w:t>Imagen 2</w:t>
      </w:r>
    </w:p>
    <w:p>
      <w:pPr>
        <w:spacing w:after="0"/>
        <w:jc w:val="center"/>
        <w:rPr>
          <w:sz w:val="22"/>
        </w:rPr>
        <w:sectPr>
          <w:pgSz w:w="12240" w:h="15840"/>
          <w:pgMar w:top="840" w:bottom="280" w:left="7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07" name="image1.png" descr=""/>
                  <wp:cNvGraphicFramePr>
                    <a:graphicFrameLocks noChangeAspect="1"/>
                  </wp:cNvGraphicFramePr>
                  <a:graphic>
                    <a:graphicData uri="http://schemas.openxmlformats.org/drawingml/2006/picture">
                      <pic:pic>
                        <pic:nvPicPr>
                          <pic:cNvPr id="10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31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pict>
          <v:group style="position:absolute;margin-left:114.239998pt;margin-top:8.98pt;width:390.25pt;height:248.3pt;mso-position-horizontal-relative:page;mso-position-vertical-relative:paragraph;z-index:1768;mso-wrap-distance-left:0;mso-wrap-distance-right:0" coordorigin="2285,180" coordsize="7805,4966">
            <v:shape style="position:absolute;left:2285;top:180;width:7783;height:4966" type="#_x0000_t75" stroked="false">
              <v:imagedata r:id="rId48" o:title=""/>
            </v:shape>
            <v:shape style="position:absolute;left:2356;top:2262;width:7712;height:466" coordorigin="2356,2262" coordsize="7712,466" path="m2356,2339l2362,2309,2378,2284,2403,2268,2433,2262,9989,2262,10019,2268,10044,2284,10061,2309,10067,2339,10067,2650,10061,2680,10044,2704,10019,2721,9989,2727,2433,2727,2403,2721,2378,2704,2362,2680,2356,2650,2356,2339xe" filled="false" stroked="true" strokeweight="2.280pt" strokecolor="#c00000">
              <v:path arrowok="t"/>
            </v:shape>
            <w10:wrap type="topAndBottom"/>
          </v:group>
        </w:pict>
      </w:r>
    </w:p>
    <w:p>
      <w:pPr>
        <w:pStyle w:val="BodyText"/>
        <w:rPr>
          <w:b/>
          <w:sz w:val="17"/>
        </w:rPr>
      </w:pPr>
    </w:p>
    <w:p>
      <w:pPr>
        <w:pStyle w:val="BodyText"/>
        <w:spacing w:before="56"/>
        <w:ind w:left="391" w:right="210"/>
        <w:jc w:val="both"/>
      </w:pPr>
      <w:r>
        <w:rPr/>
        <w:t>Al</w:t>
      </w:r>
      <w:r>
        <w:rPr>
          <w:spacing w:val="-14"/>
        </w:rPr>
        <w:t> </w:t>
      </w:r>
      <w:r>
        <w:rPr/>
        <w:t>igual</w:t>
      </w:r>
      <w:r>
        <w:rPr>
          <w:spacing w:val="-14"/>
        </w:rPr>
        <w:t> </w:t>
      </w:r>
      <w:r>
        <w:rPr/>
        <w:t>que</w:t>
      </w:r>
      <w:r>
        <w:rPr>
          <w:spacing w:val="-13"/>
        </w:rPr>
        <w:t> </w:t>
      </w:r>
      <w:r>
        <w:rPr/>
        <w:t>el</w:t>
      </w:r>
      <w:r>
        <w:rPr>
          <w:spacing w:val="-15"/>
        </w:rPr>
        <w:t> </w:t>
      </w:r>
      <w:r>
        <w:rPr/>
        <w:t>caso</w:t>
      </w:r>
      <w:r>
        <w:rPr>
          <w:spacing w:val="-13"/>
        </w:rPr>
        <w:t> </w:t>
      </w:r>
      <w:r>
        <w:rPr/>
        <w:t>anterior,</w:t>
      </w:r>
      <w:r>
        <w:rPr>
          <w:spacing w:val="-14"/>
        </w:rPr>
        <w:t> </w:t>
      </w:r>
      <w:r>
        <w:rPr/>
        <w:t>se</w:t>
      </w:r>
      <w:r>
        <w:rPr>
          <w:spacing w:val="-15"/>
        </w:rPr>
        <w:t> </w:t>
      </w:r>
      <w:r>
        <w:rPr/>
        <w:t>consultó</w:t>
      </w:r>
      <w:r>
        <w:rPr>
          <w:spacing w:val="-14"/>
        </w:rPr>
        <w:t> </w:t>
      </w:r>
      <w:r>
        <w:rPr/>
        <w:t>en</w:t>
      </w:r>
      <w:r>
        <w:rPr>
          <w:spacing w:val="-14"/>
        </w:rPr>
        <w:t> </w:t>
      </w:r>
      <w:r>
        <w:rPr/>
        <w:t>los</w:t>
      </w:r>
      <w:r>
        <w:rPr>
          <w:spacing w:val="-15"/>
        </w:rPr>
        <w:t> </w:t>
      </w:r>
      <w:r>
        <w:rPr/>
        <w:t>expediente</w:t>
      </w:r>
      <w:r>
        <w:rPr>
          <w:spacing w:val="-13"/>
        </w:rPr>
        <w:t> </w:t>
      </w:r>
      <w:r>
        <w:rPr/>
        <w:t>digitales</w:t>
      </w:r>
      <w:r>
        <w:rPr>
          <w:spacing w:val="-15"/>
        </w:rPr>
        <w:t> </w:t>
      </w:r>
      <w:r>
        <w:rPr/>
        <w:t>ubicado</w:t>
      </w:r>
      <w:r>
        <w:rPr>
          <w:spacing w:val="-14"/>
        </w:rPr>
        <w:t> </w:t>
      </w:r>
      <w:r>
        <w:rPr/>
        <w:t>en</w:t>
      </w:r>
      <w:r>
        <w:rPr>
          <w:spacing w:val="-14"/>
        </w:rPr>
        <w:t> </w:t>
      </w:r>
      <w:r>
        <w:rPr>
          <w:color w:val="001F5F"/>
          <w:u w:val="single" w:color="001F5F"/>
        </w:rPr>
        <w:t>\\totoro\Unidad_Victimas\Dir</w:t>
      </w:r>
      <w:r>
        <w:rPr>
          <w:color w:val="001F5F"/>
          <w:spacing w:val="-16"/>
          <w:u w:val="single" w:color="001F5F"/>
        </w:rPr>
        <w:t> </w:t>
      </w:r>
      <w:r>
        <w:rPr>
          <w:color w:val="001F5F"/>
          <w:u w:val="single" w:color="001F5F"/>
        </w:rPr>
        <w:t>Gestion Interinstitucional\Coordinación Nación Territorio\220.29 Certificaciones\220.29.3\Vigencia 2014</w:t>
      </w:r>
      <w:r>
        <w:rPr>
          <w:color w:val="001F5F"/>
        </w:rPr>
        <w:t>, </w:t>
      </w:r>
      <w:r>
        <w:rPr/>
        <w:t>obteniendo igual resultado, dado que  no fue posible ubicar la comunicación del resultado final de la</w:t>
      </w:r>
      <w:r>
        <w:rPr>
          <w:spacing w:val="-30"/>
        </w:rPr>
        <w:t> </w:t>
      </w:r>
      <w:r>
        <w:rPr/>
        <w:t>certificación.</w:t>
      </w:r>
    </w:p>
    <w:p>
      <w:pPr>
        <w:pStyle w:val="BodyText"/>
      </w:pPr>
    </w:p>
    <w:p>
      <w:pPr>
        <w:pStyle w:val="BodyText"/>
        <w:ind w:left="391" w:right="213"/>
        <w:jc w:val="both"/>
      </w:pPr>
      <w:r>
        <w:rPr>
          <w:b/>
        </w:rPr>
        <w:t>Observación. </w:t>
      </w:r>
      <w:r>
        <w:rPr/>
        <w:t>Respecto a la certificaciones de los municipios de Paz de Ariporo (Casanare) y Montería (Córdoba), se evidenció debilidad en la organización y trazabilidad de la información, dado que no se ubicaron las</w:t>
      </w:r>
      <w:r>
        <w:rPr>
          <w:spacing w:val="-35"/>
        </w:rPr>
        <w:t> </w:t>
      </w:r>
      <w:r>
        <w:rPr/>
        <w:t>comunicaciones de resultados de la certificación de los municipios en mención; de igual manera se pudo constatar incumplimiento, respeto</w:t>
      </w:r>
      <w:r>
        <w:rPr>
          <w:spacing w:val="-7"/>
        </w:rPr>
        <w:t> </w:t>
      </w:r>
      <w:r>
        <w:rPr/>
        <w:t>de</w:t>
      </w:r>
      <w:r>
        <w:rPr>
          <w:spacing w:val="-10"/>
        </w:rPr>
        <w:t> </w:t>
      </w:r>
      <w:r>
        <w:rPr/>
        <w:t>las</w:t>
      </w:r>
      <w:r>
        <w:rPr>
          <w:spacing w:val="-9"/>
        </w:rPr>
        <w:t> </w:t>
      </w:r>
      <w:r>
        <w:rPr/>
        <w:t>actividades</w:t>
      </w:r>
      <w:r>
        <w:rPr>
          <w:spacing w:val="-10"/>
        </w:rPr>
        <w:t> </w:t>
      </w:r>
      <w:r>
        <w:rPr/>
        <w:t>N°</w:t>
      </w:r>
      <w:r>
        <w:rPr>
          <w:spacing w:val="-8"/>
        </w:rPr>
        <w:t> </w:t>
      </w:r>
      <w:r>
        <w:rPr/>
        <w:t>5,</w:t>
      </w:r>
      <w:r>
        <w:rPr>
          <w:spacing w:val="-10"/>
        </w:rPr>
        <w:t> </w:t>
      </w:r>
      <w:r>
        <w:rPr/>
        <w:t>11,</w:t>
      </w:r>
      <w:r>
        <w:rPr>
          <w:spacing w:val="-10"/>
        </w:rPr>
        <w:t> </w:t>
      </w:r>
      <w:r>
        <w:rPr/>
        <w:t>18</w:t>
      </w:r>
      <w:r>
        <w:rPr>
          <w:spacing w:val="-7"/>
        </w:rPr>
        <w:t> </w:t>
      </w:r>
      <w:r>
        <w:rPr/>
        <w:t>y</w:t>
      </w:r>
      <w:r>
        <w:rPr>
          <w:spacing w:val="-9"/>
        </w:rPr>
        <w:t> </w:t>
      </w:r>
      <w:r>
        <w:rPr/>
        <w:t>19</w:t>
      </w:r>
      <w:r>
        <w:rPr>
          <w:spacing w:val="-7"/>
        </w:rPr>
        <w:t> </w:t>
      </w:r>
      <w:r>
        <w:rPr/>
        <w:t>del</w:t>
      </w:r>
      <w:r>
        <w:rPr>
          <w:spacing w:val="-10"/>
        </w:rPr>
        <w:t> </w:t>
      </w:r>
      <w:r>
        <w:rPr/>
        <w:t>procedimiento</w:t>
      </w:r>
      <w:r>
        <w:rPr>
          <w:spacing w:val="-7"/>
        </w:rPr>
        <w:t> </w:t>
      </w:r>
      <w:r>
        <w:rPr/>
        <w:t>de</w:t>
      </w:r>
      <w:r>
        <w:rPr>
          <w:spacing w:val="-10"/>
        </w:rPr>
        <w:t> </w:t>
      </w:r>
      <w:r>
        <w:rPr/>
        <w:t>certificaciones</w:t>
      </w:r>
      <w:r>
        <w:rPr>
          <w:spacing w:val="-10"/>
        </w:rPr>
        <w:t> </w:t>
      </w:r>
      <w:r>
        <w:rPr/>
        <w:t>a</w:t>
      </w:r>
      <w:r>
        <w:rPr>
          <w:spacing w:val="-11"/>
        </w:rPr>
        <w:t> </w:t>
      </w:r>
      <w:r>
        <w:rPr/>
        <w:t>las</w:t>
      </w:r>
      <w:r>
        <w:rPr>
          <w:spacing w:val="-9"/>
        </w:rPr>
        <w:t> </w:t>
      </w:r>
      <w:r>
        <w:rPr/>
        <w:t>entidades</w:t>
      </w:r>
      <w:r>
        <w:rPr>
          <w:spacing w:val="-10"/>
        </w:rPr>
        <w:t> </w:t>
      </w:r>
      <w:r>
        <w:rPr/>
        <w:t>del</w:t>
      </w:r>
      <w:r>
        <w:rPr>
          <w:spacing w:val="-8"/>
        </w:rPr>
        <w:t> </w:t>
      </w:r>
      <w:r>
        <w:rPr/>
        <w:t>SNARIV</w:t>
      </w:r>
      <w:r>
        <w:rPr>
          <w:spacing w:val="-11"/>
        </w:rPr>
        <w:t> </w:t>
      </w:r>
      <w:r>
        <w:rPr/>
        <w:t>en</w:t>
      </w:r>
      <w:r>
        <w:rPr>
          <w:spacing w:val="-9"/>
        </w:rPr>
        <w:t> </w:t>
      </w:r>
      <w:r>
        <w:rPr/>
        <w:t>el</w:t>
      </w:r>
      <w:r>
        <w:rPr>
          <w:spacing w:val="-8"/>
        </w:rPr>
        <w:t> </w:t>
      </w:r>
      <w:r>
        <w:rPr/>
        <w:t>nivel territorial de conformidad en los registros establecidos en el procedimiento</w:t>
      </w:r>
      <w:r>
        <w:rPr>
          <w:spacing w:val="-25"/>
        </w:rPr>
        <w:t> </w:t>
      </w:r>
      <w:r>
        <w:rPr/>
        <w:t>evaluado.</w:t>
      </w:r>
    </w:p>
    <w:p>
      <w:pPr>
        <w:pStyle w:val="BodyText"/>
        <w:rPr>
          <w:sz w:val="23"/>
        </w:rPr>
      </w:pPr>
    </w:p>
    <w:p>
      <w:pPr>
        <w:pStyle w:val="Heading1"/>
        <w:numPr>
          <w:ilvl w:val="2"/>
          <w:numId w:val="13"/>
        </w:numPr>
        <w:tabs>
          <w:tab w:pos="672" w:val="left" w:leader="none"/>
        </w:tabs>
        <w:spacing w:line="240" w:lineRule="auto" w:before="0" w:after="0"/>
        <w:ind w:left="671" w:right="0" w:hanging="561"/>
        <w:jc w:val="left"/>
      </w:pPr>
      <w:r>
        <w:rPr/>
        <w:t>DEPARTAMENTO DEL</w:t>
      </w:r>
      <w:r>
        <w:rPr>
          <w:spacing w:val="-13"/>
        </w:rPr>
        <w:t> </w:t>
      </w:r>
      <w:r>
        <w:rPr/>
        <w:t>TOLIMA.</w:t>
      </w:r>
    </w:p>
    <w:p>
      <w:pPr>
        <w:pStyle w:val="BodyText"/>
        <w:spacing w:before="10"/>
        <w:rPr>
          <w:b/>
        </w:rPr>
      </w:pPr>
    </w:p>
    <w:p>
      <w:pPr>
        <w:pStyle w:val="BodyText"/>
        <w:ind w:left="391" w:right="213"/>
        <w:jc w:val="both"/>
        <w:rPr>
          <w:b/>
        </w:rPr>
      </w:pPr>
      <w:r>
        <w:rPr/>
        <w:t>De</w:t>
      </w:r>
      <w:r>
        <w:rPr>
          <w:spacing w:val="-10"/>
        </w:rPr>
        <w:t> </w:t>
      </w:r>
      <w:r>
        <w:rPr/>
        <w:t>acuerdo</w:t>
      </w:r>
      <w:r>
        <w:rPr>
          <w:spacing w:val="-10"/>
        </w:rPr>
        <w:t> </w:t>
      </w:r>
      <w:r>
        <w:rPr/>
        <w:t>con</w:t>
      </w:r>
      <w:r>
        <w:rPr>
          <w:spacing w:val="-11"/>
        </w:rPr>
        <w:t> </w:t>
      </w:r>
      <w:r>
        <w:rPr/>
        <w:t>lo</w:t>
      </w:r>
      <w:r>
        <w:rPr>
          <w:spacing w:val="-12"/>
        </w:rPr>
        <w:t> </w:t>
      </w:r>
      <w:r>
        <w:rPr/>
        <w:t>establecido</w:t>
      </w:r>
      <w:r>
        <w:rPr>
          <w:spacing w:val="-9"/>
        </w:rPr>
        <w:t> </w:t>
      </w:r>
      <w:r>
        <w:rPr/>
        <w:t>en</w:t>
      </w:r>
      <w:r>
        <w:rPr>
          <w:spacing w:val="-11"/>
        </w:rPr>
        <w:t> </w:t>
      </w:r>
      <w:r>
        <w:rPr/>
        <w:t>la</w:t>
      </w:r>
      <w:r>
        <w:rPr>
          <w:spacing w:val="-11"/>
        </w:rPr>
        <w:t> </w:t>
      </w:r>
      <w:r>
        <w:rPr/>
        <w:t>metodología</w:t>
      </w:r>
      <w:r>
        <w:rPr>
          <w:spacing w:val="-11"/>
        </w:rPr>
        <w:t> </w:t>
      </w:r>
      <w:r>
        <w:rPr/>
        <w:t>en</w:t>
      </w:r>
      <w:r>
        <w:rPr>
          <w:spacing w:val="-11"/>
        </w:rPr>
        <w:t> </w:t>
      </w:r>
      <w:r>
        <w:rPr/>
        <w:t>relación</w:t>
      </w:r>
      <w:r>
        <w:rPr>
          <w:spacing w:val="-11"/>
        </w:rPr>
        <w:t> </w:t>
      </w:r>
      <w:r>
        <w:rPr/>
        <w:t>a</w:t>
      </w:r>
      <w:r>
        <w:rPr>
          <w:spacing w:val="-11"/>
        </w:rPr>
        <w:t> </w:t>
      </w:r>
      <w:r>
        <w:rPr/>
        <w:t>las</w:t>
      </w:r>
      <w:r>
        <w:rPr>
          <w:spacing w:val="-11"/>
        </w:rPr>
        <w:t> </w:t>
      </w:r>
      <w:r>
        <w:rPr/>
        <w:t>socialización</w:t>
      </w:r>
      <w:r>
        <w:rPr>
          <w:spacing w:val="-11"/>
        </w:rPr>
        <w:t> </w:t>
      </w:r>
      <w:r>
        <w:rPr/>
        <w:t>de</w:t>
      </w:r>
      <w:r>
        <w:rPr>
          <w:spacing w:val="-12"/>
        </w:rPr>
        <w:t> </w:t>
      </w:r>
      <w:r>
        <w:rPr/>
        <w:t>criterios</w:t>
      </w:r>
      <w:r>
        <w:rPr>
          <w:spacing w:val="-10"/>
        </w:rPr>
        <w:t> </w:t>
      </w:r>
      <w:r>
        <w:rPr/>
        <w:t>entre</w:t>
      </w:r>
      <w:r>
        <w:rPr>
          <w:spacing w:val="-10"/>
        </w:rPr>
        <w:t> </w:t>
      </w:r>
      <w:r>
        <w:rPr/>
        <w:t>los</w:t>
      </w:r>
      <w:r>
        <w:rPr>
          <w:spacing w:val="-13"/>
        </w:rPr>
        <w:t> </w:t>
      </w:r>
      <w:r>
        <w:rPr/>
        <w:t>meses</w:t>
      </w:r>
      <w:r>
        <w:rPr>
          <w:spacing w:val="-10"/>
        </w:rPr>
        <w:t> </w:t>
      </w:r>
      <w:r>
        <w:rPr/>
        <w:t>de</w:t>
      </w:r>
      <w:r>
        <w:rPr>
          <w:spacing w:val="-12"/>
        </w:rPr>
        <w:t> </w:t>
      </w:r>
      <w:r>
        <w:rPr/>
        <w:t>febrero y marzo de 2015, se verificó en el expediente digital de asistencias técnicas- departamento del Tolima y no observó carpeta correspondiente a los meses de febrero y marzo de 2015, así como tampoco se halló documento mediante el cual se evidenciara la socialización de los criterios y metodología de certificación a las entidades territoriales de acuerdo a lo establecido en el documento de metodología ya referido </w:t>
      </w:r>
      <w:r>
        <w:rPr>
          <w:b/>
        </w:rPr>
        <w:t>(ver</w:t>
      </w:r>
      <w:r>
        <w:rPr>
          <w:b/>
          <w:spacing w:val="-23"/>
        </w:rPr>
        <w:t> </w:t>
      </w:r>
      <w:r>
        <w:rPr>
          <w:b/>
        </w:rPr>
        <w:t>imagen).</w:t>
      </w:r>
    </w:p>
    <w:p>
      <w:pPr>
        <w:spacing w:after="0"/>
        <w:jc w:val="both"/>
        <w:sectPr>
          <w:pgSz w:w="12240" w:h="15840"/>
          <w:pgMar w:top="840" w:bottom="280" w:left="6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09" name="image1.png" descr=""/>
                  <wp:cNvGraphicFramePr>
                    <a:graphicFrameLocks noChangeAspect="1"/>
                  </wp:cNvGraphicFramePr>
                  <a:graphic>
                    <a:graphicData uri="http://schemas.openxmlformats.org/drawingml/2006/picture">
                      <pic:pic>
                        <pic:nvPicPr>
                          <pic:cNvPr id="11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32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drawing>
          <wp:anchor distT="0" distB="0" distL="0" distR="0" allowOverlap="1" layoutInCell="1" locked="0" behindDoc="0" simplePos="0" relativeHeight="1792">
            <wp:simplePos x="0" y="0"/>
            <wp:positionH relativeFrom="page">
              <wp:posOffset>1348739</wp:posOffset>
            </wp:positionH>
            <wp:positionV relativeFrom="paragraph">
              <wp:posOffset>114045</wp:posOffset>
            </wp:positionV>
            <wp:extent cx="4710954" cy="2823210"/>
            <wp:effectExtent l="0" t="0" r="0" b="0"/>
            <wp:wrapTopAndBottom/>
            <wp:docPr id="111" name="image34.jpeg" descr=""/>
            <wp:cNvGraphicFramePr>
              <a:graphicFrameLocks noChangeAspect="1"/>
            </wp:cNvGraphicFramePr>
            <a:graphic>
              <a:graphicData uri="http://schemas.openxmlformats.org/drawingml/2006/picture">
                <pic:pic>
                  <pic:nvPicPr>
                    <pic:cNvPr id="112" name="image34.jpeg"/>
                    <pic:cNvPicPr/>
                  </pic:nvPicPr>
                  <pic:blipFill>
                    <a:blip r:embed="rId49" cstate="print"/>
                    <a:stretch>
                      <a:fillRect/>
                    </a:stretch>
                  </pic:blipFill>
                  <pic:spPr>
                    <a:xfrm>
                      <a:off x="0" y="0"/>
                      <a:ext cx="4710954" cy="2823210"/>
                    </a:xfrm>
                    <a:prstGeom prst="rect">
                      <a:avLst/>
                    </a:prstGeom>
                  </pic:spPr>
                </pic:pic>
              </a:graphicData>
            </a:graphic>
          </wp:anchor>
        </w:drawing>
      </w:r>
    </w:p>
    <w:p>
      <w:pPr>
        <w:pStyle w:val="BodyText"/>
        <w:spacing w:before="4"/>
        <w:rPr>
          <w:b/>
          <w:sz w:val="15"/>
        </w:rPr>
      </w:pPr>
    </w:p>
    <w:p>
      <w:pPr>
        <w:pStyle w:val="BodyText"/>
        <w:spacing w:before="56"/>
        <w:ind w:left="291" w:right="217"/>
        <w:jc w:val="both"/>
      </w:pPr>
      <w:r>
        <w:rPr/>
        <w:t>Paso seguido, se pudo verificar que a través de archivos en Excel se realiza el seguimiento al cumplimiento de los insumos y estudio de la información, para que finalmente mediante una comunicación se informe al Ente Territorial el resultado final, con la calificación de contribución BAJA y las recomendaciones respectivas.</w:t>
      </w:r>
    </w:p>
    <w:p>
      <w:pPr>
        <w:pStyle w:val="BodyText"/>
        <w:spacing w:before="9"/>
        <w:rPr>
          <w:sz w:val="19"/>
        </w:rPr>
      </w:pPr>
      <w:r>
        <w:rPr/>
        <w:drawing>
          <wp:anchor distT="0" distB="0" distL="0" distR="0" allowOverlap="1" layoutInCell="1" locked="0" behindDoc="0" simplePos="0" relativeHeight="1816">
            <wp:simplePos x="0" y="0"/>
            <wp:positionH relativeFrom="page">
              <wp:posOffset>2368295</wp:posOffset>
            </wp:positionH>
            <wp:positionV relativeFrom="paragraph">
              <wp:posOffset>178256</wp:posOffset>
            </wp:positionV>
            <wp:extent cx="2800302" cy="3538728"/>
            <wp:effectExtent l="0" t="0" r="0" b="0"/>
            <wp:wrapTopAndBottom/>
            <wp:docPr id="113" name="image35.jpeg" descr=""/>
            <wp:cNvGraphicFramePr>
              <a:graphicFrameLocks noChangeAspect="1"/>
            </wp:cNvGraphicFramePr>
            <a:graphic>
              <a:graphicData uri="http://schemas.openxmlformats.org/drawingml/2006/picture">
                <pic:pic>
                  <pic:nvPicPr>
                    <pic:cNvPr id="114" name="image35.jpeg"/>
                    <pic:cNvPicPr/>
                  </pic:nvPicPr>
                  <pic:blipFill>
                    <a:blip r:embed="rId50" cstate="print"/>
                    <a:stretch>
                      <a:fillRect/>
                    </a:stretch>
                  </pic:blipFill>
                  <pic:spPr>
                    <a:xfrm>
                      <a:off x="0" y="0"/>
                      <a:ext cx="2800302" cy="3538728"/>
                    </a:xfrm>
                    <a:prstGeom prst="rect">
                      <a:avLst/>
                    </a:prstGeom>
                  </pic:spPr>
                </pic:pic>
              </a:graphicData>
            </a:graphic>
          </wp:anchor>
        </w:drawing>
      </w:r>
    </w:p>
    <w:p>
      <w:pPr>
        <w:spacing w:after="0"/>
        <w:rPr>
          <w:sz w:val="19"/>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15" name="image1.png" descr=""/>
                  <wp:cNvGraphicFramePr>
                    <a:graphicFrameLocks noChangeAspect="1"/>
                  </wp:cNvGraphicFramePr>
                  <a:graphic>
                    <a:graphicData uri="http://schemas.openxmlformats.org/drawingml/2006/picture">
                      <pic:pic>
                        <pic:nvPicPr>
                          <pic:cNvPr id="11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33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152" w:right="617"/>
        <w:jc w:val="both"/>
      </w:pPr>
      <w:r>
        <w:rPr/>
        <w:t>Posteriormente se realizó la consulta frente a la socialización de los resultados de certificación con este Departamento, así como el envío de resultados finales al mismo, pero no se halló soporte alguno en los expediente digitales consultados; lo que refleja debilidad frente a la ubicación, organización y trazabilidad de la información que soporte la gestión realizada, esta situación genera incumplimiento de las actividades 18 y 19 del procedimiento objeto de auditoría.</w:t>
      </w:r>
    </w:p>
    <w:p>
      <w:pPr>
        <w:pStyle w:val="BodyText"/>
        <w:spacing w:before="10"/>
      </w:pPr>
    </w:p>
    <w:p>
      <w:pPr>
        <w:pStyle w:val="Heading1"/>
        <w:numPr>
          <w:ilvl w:val="2"/>
          <w:numId w:val="13"/>
        </w:numPr>
        <w:tabs>
          <w:tab w:pos="714" w:val="left" w:leader="none"/>
        </w:tabs>
        <w:spacing w:line="240" w:lineRule="auto" w:before="0" w:after="0"/>
        <w:ind w:left="713" w:right="0" w:hanging="561"/>
        <w:jc w:val="both"/>
      </w:pPr>
      <w:r>
        <w:rPr/>
        <w:t>DEPARTAMENTO DE</w:t>
      </w:r>
      <w:r>
        <w:rPr>
          <w:spacing w:val="-8"/>
        </w:rPr>
        <w:t> </w:t>
      </w:r>
      <w:r>
        <w:rPr/>
        <w:t>ARAUCA.</w:t>
      </w:r>
    </w:p>
    <w:p>
      <w:pPr>
        <w:pStyle w:val="BodyText"/>
        <w:rPr>
          <w:b/>
          <w:sz w:val="23"/>
        </w:rPr>
      </w:pPr>
    </w:p>
    <w:p>
      <w:pPr>
        <w:pStyle w:val="BodyText"/>
        <w:spacing w:before="1"/>
        <w:ind w:left="152" w:right="212" w:firstLine="50"/>
        <w:jc w:val="both"/>
      </w:pPr>
      <w:r>
        <w:rPr/>
        <w:t>De</w:t>
      </w:r>
      <w:r>
        <w:rPr>
          <w:spacing w:val="-5"/>
        </w:rPr>
        <w:t> </w:t>
      </w:r>
      <w:r>
        <w:rPr/>
        <w:t>acuerdo</w:t>
      </w:r>
      <w:r>
        <w:rPr>
          <w:spacing w:val="-7"/>
        </w:rPr>
        <w:t> </w:t>
      </w:r>
      <w:r>
        <w:rPr/>
        <w:t>con</w:t>
      </w:r>
      <w:r>
        <w:rPr>
          <w:spacing w:val="-6"/>
        </w:rPr>
        <w:t> </w:t>
      </w:r>
      <w:r>
        <w:rPr/>
        <w:t>lo</w:t>
      </w:r>
      <w:r>
        <w:rPr>
          <w:spacing w:val="-4"/>
        </w:rPr>
        <w:t> </w:t>
      </w:r>
      <w:r>
        <w:rPr/>
        <w:t>establecido</w:t>
      </w:r>
      <w:r>
        <w:rPr>
          <w:spacing w:val="-4"/>
        </w:rPr>
        <w:t> </w:t>
      </w:r>
      <w:r>
        <w:rPr/>
        <w:t>en</w:t>
      </w:r>
      <w:r>
        <w:rPr>
          <w:spacing w:val="-6"/>
        </w:rPr>
        <w:t> </w:t>
      </w:r>
      <w:r>
        <w:rPr/>
        <w:t>la</w:t>
      </w:r>
      <w:r>
        <w:rPr>
          <w:spacing w:val="-6"/>
        </w:rPr>
        <w:t> </w:t>
      </w:r>
      <w:r>
        <w:rPr/>
        <w:t>metodología</w:t>
      </w:r>
      <w:r>
        <w:rPr>
          <w:spacing w:val="-6"/>
        </w:rPr>
        <w:t> </w:t>
      </w:r>
      <w:r>
        <w:rPr/>
        <w:t>en</w:t>
      </w:r>
      <w:r>
        <w:rPr>
          <w:spacing w:val="-6"/>
        </w:rPr>
        <w:t> </w:t>
      </w:r>
      <w:r>
        <w:rPr/>
        <w:t>relación</w:t>
      </w:r>
      <w:r>
        <w:rPr>
          <w:spacing w:val="-6"/>
        </w:rPr>
        <w:t> </w:t>
      </w:r>
      <w:r>
        <w:rPr/>
        <w:t>a</w:t>
      </w:r>
      <w:r>
        <w:rPr>
          <w:spacing w:val="-6"/>
        </w:rPr>
        <w:t> </w:t>
      </w:r>
      <w:r>
        <w:rPr/>
        <w:t>las</w:t>
      </w:r>
      <w:r>
        <w:rPr>
          <w:spacing w:val="-7"/>
        </w:rPr>
        <w:t> </w:t>
      </w:r>
      <w:r>
        <w:rPr/>
        <w:t>socialización</w:t>
      </w:r>
      <w:r>
        <w:rPr>
          <w:spacing w:val="-6"/>
        </w:rPr>
        <w:t> </w:t>
      </w:r>
      <w:r>
        <w:rPr/>
        <w:t>de</w:t>
      </w:r>
      <w:r>
        <w:rPr>
          <w:spacing w:val="-7"/>
        </w:rPr>
        <w:t> </w:t>
      </w:r>
      <w:r>
        <w:rPr/>
        <w:t>criterios</w:t>
      </w:r>
      <w:r>
        <w:rPr>
          <w:spacing w:val="-6"/>
        </w:rPr>
        <w:t> </w:t>
      </w:r>
      <w:r>
        <w:rPr/>
        <w:t>entre</w:t>
      </w:r>
      <w:r>
        <w:rPr>
          <w:spacing w:val="-5"/>
        </w:rPr>
        <w:t> </w:t>
      </w:r>
      <w:r>
        <w:rPr/>
        <w:t>los</w:t>
      </w:r>
      <w:r>
        <w:rPr>
          <w:spacing w:val="-8"/>
        </w:rPr>
        <w:t> </w:t>
      </w:r>
      <w:r>
        <w:rPr/>
        <w:t>meses</w:t>
      </w:r>
      <w:r>
        <w:rPr>
          <w:spacing w:val="-6"/>
        </w:rPr>
        <w:t> </w:t>
      </w:r>
      <w:r>
        <w:rPr/>
        <w:t>de</w:t>
      </w:r>
      <w:r>
        <w:rPr>
          <w:spacing w:val="-7"/>
        </w:rPr>
        <w:t> </w:t>
      </w:r>
      <w:r>
        <w:rPr/>
        <w:t>febrero y marzo de 2015, se verificó en el expediente digital de asistencias técnicas, departamento de Arauca en el mes de febrero, se observan listas de asistencia de reuniones realizadas los días 19 y 20 de febrero de 2015, cuyo objetivo entre otros fue la socialización de los criterios de la certificación del año 2015; es de resaltar que los documentos digitalizados no son legibles totalmente, así como tampoco se encuentran completos dado que no cuentan con el espacio de firma de los asistentes, como se puede evidenciar en las imagen a</w:t>
      </w:r>
      <w:r>
        <w:rPr>
          <w:spacing w:val="-27"/>
        </w:rPr>
        <w:t> </w:t>
      </w:r>
      <w:r>
        <w:rPr/>
        <w:t>continuación.</w:t>
      </w:r>
    </w:p>
    <w:p>
      <w:pPr>
        <w:pStyle w:val="BodyText"/>
        <w:rPr>
          <w:sz w:val="23"/>
        </w:rPr>
      </w:pPr>
    </w:p>
    <w:p>
      <w:pPr>
        <w:pStyle w:val="Heading1"/>
        <w:ind w:left="3501" w:right="3966"/>
      </w:pPr>
      <w:r>
        <w:rPr/>
        <w:t>Imagen 1</w:t>
      </w:r>
    </w:p>
    <w:p>
      <w:pPr>
        <w:pStyle w:val="BodyText"/>
        <w:spacing w:before="12"/>
        <w:rPr>
          <w:b/>
          <w:sz w:val="19"/>
        </w:rPr>
      </w:pPr>
      <w:r>
        <w:rPr/>
        <w:pict>
          <v:group style="position:absolute;margin-left:111.239998pt;margin-top:14.15589pt;width:395.9pt;height:291.5pt;mso-position-horizontal-relative:page;mso-position-vertical-relative:paragraph;z-index:1840;mso-wrap-distance-left:0;mso-wrap-distance-right:0" coordorigin="2225,283" coordsize="7918,5830">
            <v:shape style="position:absolute;left:2225;top:283;width:7903;height:5830" type="#_x0000_t75" stroked="false">
              <v:imagedata r:id="rId51" o:title=""/>
            </v:shape>
            <v:shape style="position:absolute;left:4292;top:572;width:5835;height:464" coordorigin="4292,572" coordsize="5835,464" path="m4292,650l4298,619,4315,595,4340,578,4370,572,10050,572,10080,578,10104,595,10121,619,10127,650,10127,958,10121,988,10104,1013,10080,1029,10050,1036,4370,1036,4340,1029,4315,1013,4298,988,4292,958,4292,650xe" filled="false" stroked="true" strokeweight="1.56pt" strokecolor="#c00000">
              <v:path arrowok="t"/>
            </v:shape>
            <w10:wrap type="topAndBottom"/>
          </v:group>
        </w:pict>
      </w:r>
    </w:p>
    <w:p>
      <w:pPr>
        <w:spacing w:after="0"/>
        <w:rPr>
          <w:sz w:val="19"/>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17" name="image1.png" descr=""/>
                  <wp:cNvGraphicFramePr>
                    <a:graphicFrameLocks noChangeAspect="1"/>
                  </wp:cNvGraphicFramePr>
                  <a:graphic>
                    <a:graphicData uri="http://schemas.openxmlformats.org/drawingml/2006/picture">
                      <pic:pic>
                        <pic:nvPicPr>
                          <pic:cNvPr id="11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34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spacing w:before="57"/>
        <w:ind w:left="4059" w:right="3966" w:firstLine="0"/>
        <w:jc w:val="center"/>
        <w:rPr>
          <w:b/>
          <w:sz w:val="22"/>
        </w:rPr>
      </w:pPr>
      <w:r>
        <w:rPr>
          <w:b/>
          <w:sz w:val="22"/>
        </w:rPr>
        <w:t>Imagen 2</w:t>
      </w:r>
    </w:p>
    <w:p>
      <w:pPr>
        <w:pStyle w:val="BodyText"/>
        <w:rPr>
          <w:b/>
          <w:sz w:val="20"/>
        </w:rPr>
      </w:pPr>
      <w:r>
        <w:rPr/>
        <w:pict>
          <v:group style="position:absolute;margin-left:117.699997pt;margin-top:14.185923pt;width:382.25pt;height:268.45pt;mso-position-horizontal-relative:page;mso-position-vertical-relative:paragraph;z-index:1864;mso-wrap-distance-left:0;mso-wrap-distance-right:0" coordorigin="2354,284" coordsize="7645,5369">
            <v:shape style="position:absolute;left:2366;top:284;width:7613;height:5369" type="#_x0000_t75" stroked="false">
              <v:imagedata r:id="rId52" o:title=""/>
            </v:shape>
            <v:shape style="position:absolute;left:2370;top:1286;width:7613;height:809" coordorigin="2370,1286" coordsize="7613,809" path="m2370,1421l2381,1368,2409,1325,2452,1296,2505,1286,9848,1286,9900,1296,9943,1325,9972,1368,9983,1421,9983,1960,9972,2012,9943,2055,9900,2084,9848,2095,2505,2095,2452,2084,2409,2055,2381,2012,2370,1960,2370,1421xe" filled="false" stroked="true" strokeweight="1.56pt" strokecolor="#c00000">
              <v:path arrowok="t"/>
            </v:shape>
            <w10:wrap type="topAndBottom"/>
          </v:group>
        </w:pict>
      </w:r>
    </w:p>
    <w:p>
      <w:pPr>
        <w:pStyle w:val="BodyText"/>
        <w:spacing w:before="10"/>
        <w:rPr>
          <w:b/>
          <w:sz w:val="15"/>
        </w:rPr>
      </w:pPr>
    </w:p>
    <w:p>
      <w:pPr>
        <w:pStyle w:val="BodyText"/>
        <w:spacing w:before="57"/>
        <w:ind w:left="152" w:right="618"/>
        <w:jc w:val="both"/>
      </w:pPr>
      <w:r>
        <w:rPr/>
        <w:t>No obstante lo anterior, no se observó acta de la reunión o ayuda de memoria que permita evidenciar la gestión realizada frente a la temática a tratar, únicamente con el listado de asistencia que prueba quienes estuvieron en el lugar más no desarrollo, aportes, seguimientos y recomendaciones de la misma.</w:t>
      </w:r>
    </w:p>
    <w:p>
      <w:pPr>
        <w:pStyle w:val="BodyText"/>
        <w:spacing w:before="10"/>
      </w:pPr>
    </w:p>
    <w:p>
      <w:pPr>
        <w:pStyle w:val="BodyText"/>
        <w:ind w:left="152" w:right="615"/>
        <w:jc w:val="both"/>
      </w:pPr>
      <w:r>
        <w:rPr/>
        <w:t>Se realizó consulta en los archivos disponibles en </w:t>
      </w:r>
      <w:r>
        <w:rPr>
          <w:color w:val="001F5F"/>
        </w:rPr>
        <w:t>\\totoro\Unidad_Victimas\Dir Gestion Interinstitucional\Coordinación Nación Territorio\220.29 Certificaciones\220.29.3\Vigencia 2014\Resultados definitivos 2014\Cartas firma Directora General\GOBERNACIONES\Gobernaciones, </w:t>
      </w:r>
      <w:r>
        <w:rPr/>
        <w:t>se encuentran cuatro (4) carpetas clasificado en el resultado de las calificaciones así; baja, media, alta y alta sobresaliente, sin embrago no se encontró el soporte de la certificación para el departamento de Arauca, adicionalmente se evidenció que la carpeta correspondiente a la calificación </w:t>
      </w:r>
      <w:r>
        <w:rPr>
          <w:u w:val="single"/>
        </w:rPr>
        <w:t>alta sobresaliente </w:t>
      </w:r>
      <w:r>
        <w:rPr/>
        <w:t>no permitió acceder a los archivos contenidos allí, como se observa a continuación:</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19" name="image1.png" descr=""/>
                  <wp:cNvGraphicFramePr>
                    <a:graphicFrameLocks noChangeAspect="1"/>
                  </wp:cNvGraphicFramePr>
                  <a:graphic>
                    <a:graphicData uri="http://schemas.openxmlformats.org/drawingml/2006/picture">
                      <pic:pic>
                        <pic:nvPicPr>
                          <pic:cNvPr id="12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35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1"/>
        <w:rPr>
          <w:sz w:val="11"/>
        </w:rPr>
      </w:pPr>
      <w:r>
        <w:rPr/>
        <w:drawing>
          <wp:anchor distT="0" distB="0" distL="0" distR="0" allowOverlap="1" layoutInCell="1" locked="0" behindDoc="0" simplePos="0" relativeHeight="1888">
            <wp:simplePos x="0" y="0"/>
            <wp:positionH relativeFrom="page">
              <wp:posOffset>2010155</wp:posOffset>
            </wp:positionH>
            <wp:positionV relativeFrom="paragraph">
              <wp:posOffset>117094</wp:posOffset>
            </wp:positionV>
            <wp:extent cx="4201425" cy="3043999"/>
            <wp:effectExtent l="0" t="0" r="0" b="0"/>
            <wp:wrapTopAndBottom/>
            <wp:docPr id="121" name="image38.jpeg" descr=""/>
            <wp:cNvGraphicFramePr>
              <a:graphicFrameLocks noChangeAspect="1"/>
            </wp:cNvGraphicFramePr>
            <a:graphic>
              <a:graphicData uri="http://schemas.openxmlformats.org/drawingml/2006/picture">
                <pic:pic>
                  <pic:nvPicPr>
                    <pic:cNvPr id="122" name="image38.jpeg"/>
                    <pic:cNvPicPr/>
                  </pic:nvPicPr>
                  <pic:blipFill>
                    <a:blip r:embed="rId53" cstate="print"/>
                    <a:stretch>
                      <a:fillRect/>
                    </a:stretch>
                  </pic:blipFill>
                  <pic:spPr>
                    <a:xfrm>
                      <a:off x="0" y="0"/>
                      <a:ext cx="4201425" cy="3043999"/>
                    </a:xfrm>
                    <a:prstGeom prst="rect">
                      <a:avLst/>
                    </a:prstGeom>
                  </pic:spPr>
                </pic:pic>
              </a:graphicData>
            </a:graphic>
          </wp:anchor>
        </w:drawing>
      </w:r>
    </w:p>
    <w:p>
      <w:pPr>
        <w:pStyle w:val="BodyText"/>
        <w:rPr>
          <w:sz w:val="20"/>
        </w:rPr>
      </w:pPr>
    </w:p>
    <w:p>
      <w:pPr>
        <w:pStyle w:val="BodyText"/>
        <w:spacing w:before="5"/>
        <w:rPr>
          <w:sz w:val="19"/>
        </w:rPr>
      </w:pPr>
    </w:p>
    <w:p>
      <w:pPr>
        <w:pStyle w:val="ListParagraph"/>
        <w:numPr>
          <w:ilvl w:val="3"/>
          <w:numId w:val="13"/>
        </w:numPr>
        <w:tabs>
          <w:tab w:pos="719" w:val="left" w:leader="none"/>
        </w:tabs>
        <w:spacing w:line="240" w:lineRule="auto" w:before="1" w:after="0"/>
        <w:ind w:left="718" w:right="210" w:hanging="360"/>
        <w:jc w:val="both"/>
        <w:rPr>
          <w:sz w:val="22"/>
        </w:rPr>
      </w:pPr>
      <w:r>
        <w:rPr>
          <w:b/>
          <w:sz w:val="22"/>
        </w:rPr>
        <w:t>Observación.</w:t>
      </w:r>
      <w:r>
        <w:rPr>
          <w:b/>
          <w:spacing w:val="-5"/>
          <w:sz w:val="22"/>
        </w:rPr>
        <w:t> </w:t>
      </w:r>
      <w:r>
        <w:rPr>
          <w:sz w:val="22"/>
        </w:rPr>
        <w:t>En</w:t>
      </w:r>
      <w:r>
        <w:rPr>
          <w:spacing w:val="-7"/>
          <w:sz w:val="22"/>
        </w:rPr>
        <w:t> </w:t>
      </w:r>
      <w:r>
        <w:rPr>
          <w:sz w:val="22"/>
        </w:rPr>
        <w:t>relación</w:t>
      </w:r>
      <w:r>
        <w:rPr>
          <w:spacing w:val="-7"/>
          <w:sz w:val="22"/>
        </w:rPr>
        <w:t> </w:t>
      </w:r>
      <w:r>
        <w:rPr>
          <w:sz w:val="22"/>
        </w:rPr>
        <w:t>a</w:t>
      </w:r>
      <w:r>
        <w:rPr>
          <w:spacing w:val="-8"/>
          <w:sz w:val="22"/>
        </w:rPr>
        <w:t> </w:t>
      </w:r>
      <w:r>
        <w:rPr>
          <w:sz w:val="22"/>
        </w:rPr>
        <w:t>la</w:t>
      </w:r>
      <w:r>
        <w:rPr>
          <w:spacing w:val="-7"/>
          <w:sz w:val="22"/>
        </w:rPr>
        <w:t> </w:t>
      </w:r>
      <w:r>
        <w:rPr>
          <w:sz w:val="22"/>
        </w:rPr>
        <w:t>certificación</w:t>
      </w:r>
      <w:r>
        <w:rPr>
          <w:spacing w:val="-7"/>
          <w:sz w:val="22"/>
        </w:rPr>
        <w:t> </w:t>
      </w:r>
      <w:r>
        <w:rPr>
          <w:sz w:val="22"/>
        </w:rPr>
        <w:t>del</w:t>
      </w:r>
      <w:r>
        <w:rPr>
          <w:spacing w:val="-6"/>
          <w:sz w:val="22"/>
        </w:rPr>
        <w:t> </w:t>
      </w:r>
      <w:r>
        <w:rPr>
          <w:sz w:val="22"/>
        </w:rPr>
        <w:t>Departamento</w:t>
      </w:r>
      <w:r>
        <w:rPr>
          <w:spacing w:val="-5"/>
          <w:sz w:val="22"/>
        </w:rPr>
        <w:t> </w:t>
      </w:r>
      <w:r>
        <w:rPr>
          <w:sz w:val="22"/>
        </w:rPr>
        <w:t>de</w:t>
      </w:r>
      <w:r>
        <w:rPr>
          <w:spacing w:val="-6"/>
          <w:sz w:val="22"/>
        </w:rPr>
        <w:t> </w:t>
      </w:r>
      <w:r>
        <w:rPr>
          <w:sz w:val="22"/>
        </w:rPr>
        <w:t>Arauca,</w:t>
      </w:r>
      <w:r>
        <w:rPr>
          <w:spacing w:val="38"/>
          <w:sz w:val="22"/>
        </w:rPr>
        <w:t> </w:t>
      </w:r>
      <w:r>
        <w:rPr>
          <w:sz w:val="22"/>
        </w:rPr>
        <w:t>no</w:t>
      </w:r>
      <w:r>
        <w:rPr>
          <w:spacing w:val="-5"/>
          <w:sz w:val="22"/>
        </w:rPr>
        <w:t> </w:t>
      </w:r>
      <w:r>
        <w:rPr>
          <w:sz w:val="22"/>
        </w:rPr>
        <w:t>fue</w:t>
      </w:r>
      <w:r>
        <w:rPr>
          <w:spacing w:val="-6"/>
          <w:sz w:val="22"/>
        </w:rPr>
        <w:t> </w:t>
      </w:r>
      <w:r>
        <w:rPr>
          <w:sz w:val="22"/>
        </w:rPr>
        <w:t>posible</w:t>
      </w:r>
      <w:r>
        <w:rPr>
          <w:spacing w:val="-7"/>
          <w:sz w:val="22"/>
        </w:rPr>
        <w:t> </w:t>
      </w:r>
      <w:r>
        <w:rPr>
          <w:sz w:val="22"/>
        </w:rPr>
        <w:t>constatar</w:t>
      </w:r>
      <w:r>
        <w:rPr>
          <w:spacing w:val="-8"/>
          <w:sz w:val="22"/>
        </w:rPr>
        <w:t> </w:t>
      </w:r>
      <w:r>
        <w:rPr>
          <w:sz w:val="22"/>
        </w:rPr>
        <w:t>el</w:t>
      </w:r>
      <w:r>
        <w:rPr>
          <w:spacing w:val="-6"/>
          <w:sz w:val="22"/>
        </w:rPr>
        <w:t> </w:t>
      </w:r>
      <w:r>
        <w:rPr>
          <w:sz w:val="22"/>
        </w:rPr>
        <w:t>documento final de certificación, así como la socialización y envío del mismo a la entidad territorial, por lo tanto, se genera incumplimiento, respeto de las actividades N° 5, 11, 18 y 19 del procedimiento, en razón que no se observó soporte documental que evidenciara la trazabilidad de la información de conformidad en los registros establecidos en el procedimiento</w:t>
      </w:r>
      <w:r>
        <w:rPr>
          <w:spacing w:val="-8"/>
          <w:sz w:val="22"/>
        </w:rPr>
        <w:t> </w:t>
      </w:r>
      <w:r>
        <w:rPr>
          <w:sz w:val="22"/>
        </w:rPr>
        <w:t>evaluado.</w:t>
      </w:r>
    </w:p>
    <w:p>
      <w:pPr>
        <w:pStyle w:val="BodyText"/>
        <w:rPr>
          <w:sz w:val="23"/>
        </w:rPr>
      </w:pPr>
    </w:p>
    <w:p>
      <w:pPr>
        <w:pStyle w:val="Heading1"/>
        <w:numPr>
          <w:ilvl w:val="2"/>
          <w:numId w:val="13"/>
        </w:numPr>
        <w:tabs>
          <w:tab w:pos="714" w:val="left" w:leader="none"/>
        </w:tabs>
        <w:spacing w:line="240" w:lineRule="auto" w:before="0" w:after="0"/>
        <w:ind w:left="713" w:right="0" w:hanging="561"/>
        <w:jc w:val="both"/>
      </w:pPr>
      <w:r>
        <w:rPr/>
        <w:t>DEPARTAMENTO DE</w:t>
      </w:r>
      <w:r>
        <w:rPr>
          <w:spacing w:val="-8"/>
        </w:rPr>
        <w:t> </w:t>
      </w:r>
      <w:r>
        <w:rPr/>
        <w:t>CAQUETA.</w:t>
      </w:r>
    </w:p>
    <w:p>
      <w:pPr>
        <w:pStyle w:val="BodyText"/>
        <w:spacing w:before="10"/>
        <w:rPr>
          <w:b/>
        </w:rPr>
      </w:pPr>
    </w:p>
    <w:p>
      <w:pPr>
        <w:pStyle w:val="BodyText"/>
        <w:ind w:left="152" w:right="212"/>
        <w:jc w:val="both"/>
      </w:pPr>
      <w:r>
        <w:rPr/>
        <w:t>De</w:t>
      </w:r>
      <w:r>
        <w:rPr>
          <w:spacing w:val="-3"/>
        </w:rPr>
        <w:t> </w:t>
      </w:r>
      <w:r>
        <w:rPr/>
        <w:t>acuerdo</w:t>
      </w:r>
      <w:r>
        <w:rPr>
          <w:spacing w:val="-2"/>
        </w:rPr>
        <w:t> </w:t>
      </w:r>
      <w:r>
        <w:rPr/>
        <w:t>con</w:t>
      </w:r>
      <w:r>
        <w:rPr>
          <w:spacing w:val="-4"/>
        </w:rPr>
        <w:t> </w:t>
      </w:r>
      <w:r>
        <w:rPr/>
        <w:t>lo</w:t>
      </w:r>
      <w:r>
        <w:rPr>
          <w:spacing w:val="-3"/>
        </w:rPr>
        <w:t> </w:t>
      </w:r>
      <w:r>
        <w:rPr/>
        <w:t>establecido</w:t>
      </w:r>
      <w:r>
        <w:rPr>
          <w:spacing w:val="-2"/>
        </w:rPr>
        <w:t> </w:t>
      </w:r>
      <w:r>
        <w:rPr/>
        <w:t>en</w:t>
      </w:r>
      <w:r>
        <w:rPr>
          <w:spacing w:val="-4"/>
        </w:rPr>
        <w:t> </w:t>
      </w:r>
      <w:r>
        <w:rPr/>
        <w:t>la</w:t>
      </w:r>
      <w:r>
        <w:rPr>
          <w:spacing w:val="-4"/>
        </w:rPr>
        <w:t> </w:t>
      </w:r>
      <w:r>
        <w:rPr/>
        <w:t>metodología</w:t>
      </w:r>
      <w:r>
        <w:rPr>
          <w:spacing w:val="-4"/>
        </w:rPr>
        <w:t> </w:t>
      </w:r>
      <w:r>
        <w:rPr/>
        <w:t>en</w:t>
      </w:r>
      <w:r>
        <w:rPr>
          <w:spacing w:val="-4"/>
        </w:rPr>
        <w:t> </w:t>
      </w:r>
      <w:r>
        <w:rPr/>
        <w:t>relación</w:t>
      </w:r>
      <w:r>
        <w:rPr>
          <w:spacing w:val="-4"/>
        </w:rPr>
        <w:t> </w:t>
      </w:r>
      <w:r>
        <w:rPr/>
        <w:t>a</w:t>
      </w:r>
      <w:r>
        <w:rPr>
          <w:spacing w:val="-3"/>
        </w:rPr>
        <w:t> </w:t>
      </w:r>
      <w:r>
        <w:rPr/>
        <w:t>las</w:t>
      </w:r>
      <w:r>
        <w:rPr>
          <w:spacing w:val="-4"/>
        </w:rPr>
        <w:t> </w:t>
      </w:r>
      <w:r>
        <w:rPr/>
        <w:t>socialización</w:t>
      </w:r>
      <w:r>
        <w:rPr>
          <w:spacing w:val="-4"/>
        </w:rPr>
        <w:t> </w:t>
      </w:r>
      <w:r>
        <w:rPr/>
        <w:t>de</w:t>
      </w:r>
      <w:r>
        <w:rPr>
          <w:spacing w:val="-5"/>
        </w:rPr>
        <w:t> </w:t>
      </w:r>
      <w:r>
        <w:rPr/>
        <w:t>criterios</w:t>
      </w:r>
      <w:r>
        <w:rPr>
          <w:spacing w:val="-3"/>
        </w:rPr>
        <w:t> </w:t>
      </w:r>
      <w:r>
        <w:rPr/>
        <w:t>entre</w:t>
      </w:r>
      <w:r>
        <w:rPr>
          <w:spacing w:val="-3"/>
        </w:rPr>
        <w:t> </w:t>
      </w:r>
      <w:r>
        <w:rPr/>
        <w:t>los</w:t>
      </w:r>
      <w:r>
        <w:rPr>
          <w:spacing w:val="-6"/>
        </w:rPr>
        <w:t> </w:t>
      </w:r>
      <w:r>
        <w:rPr/>
        <w:t>meses</w:t>
      </w:r>
      <w:r>
        <w:rPr>
          <w:spacing w:val="-3"/>
        </w:rPr>
        <w:t> </w:t>
      </w:r>
      <w:r>
        <w:rPr/>
        <w:t>de</w:t>
      </w:r>
      <w:r>
        <w:rPr>
          <w:spacing w:val="-5"/>
        </w:rPr>
        <w:t> </w:t>
      </w:r>
      <w:r>
        <w:rPr/>
        <w:t>febrero y marzo de 2015, se verificó en el expediente digital de asistencias técnicas, departamento de Caquetá en el mes de febrero,</w:t>
      </w:r>
      <w:r>
        <w:rPr>
          <w:spacing w:val="-8"/>
        </w:rPr>
        <w:t> </w:t>
      </w:r>
      <w:r>
        <w:rPr/>
        <w:t>se</w:t>
      </w:r>
      <w:r>
        <w:rPr>
          <w:spacing w:val="-7"/>
        </w:rPr>
        <w:t> </w:t>
      </w:r>
      <w:r>
        <w:rPr/>
        <w:t>observan</w:t>
      </w:r>
      <w:r>
        <w:rPr>
          <w:spacing w:val="-6"/>
        </w:rPr>
        <w:t> </w:t>
      </w:r>
      <w:r>
        <w:rPr/>
        <w:t>tres</w:t>
      </w:r>
      <w:r>
        <w:rPr>
          <w:spacing w:val="-5"/>
        </w:rPr>
        <w:t> </w:t>
      </w:r>
      <w:r>
        <w:rPr/>
        <w:t>documentos</w:t>
      </w:r>
      <w:r>
        <w:rPr>
          <w:spacing w:val="-6"/>
        </w:rPr>
        <w:t> </w:t>
      </w:r>
      <w:r>
        <w:rPr/>
        <w:t>en</w:t>
      </w:r>
      <w:r>
        <w:rPr>
          <w:spacing w:val="-6"/>
        </w:rPr>
        <w:t> </w:t>
      </w:r>
      <w:r>
        <w:rPr/>
        <w:t>formato</w:t>
      </w:r>
      <w:r>
        <w:rPr>
          <w:spacing w:val="-4"/>
        </w:rPr>
        <w:t> </w:t>
      </w:r>
      <w:r>
        <w:rPr/>
        <w:t>pdf,</w:t>
      </w:r>
      <w:r>
        <w:rPr>
          <w:spacing w:val="-6"/>
        </w:rPr>
        <w:t> </w:t>
      </w:r>
      <w:r>
        <w:rPr/>
        <w:t>acta</w:t>
      </w:r>
      <w:r>
        <w:rPr>
          <w:spacing w:val="-5"/>
        </w:rPr>
        <w:t> </w:t>
      </w:r>
      <w:r>
        <w:rPr/>
        <w:t>de</w:t>
      </w:r>
      <w:r>
        <w:rPr>
          <w:spacing w:val="-5"/>
        </w:rPr>
        <w:t> </w:t>
      </w:r>
      <w:r>
        <w:rPr/>
        <w:t>socialización</w:t>
      </w:r>
      <w:r>
        <w:rPr>
          <w:spacing w:val="-6"/>
        </w:rPr>
        <w:t> </w:t>
      </w:r>
      <w:r>
        <w:rPr/>
        <w:t>de</w:t>
      </w:r>
      <w:r>
        <w:rPr>
          <w:spacing w:val="-5"/>
        </w:rPr>
        <w:t> </w:t>
      </w:r>
      <w:r>
        <w:rPr/>
        <w:t>los</w:t>
      </w:r>
      <w:r>
        <w:rPr>
          <w:spacing w:val="-8"/>
        </w:rPr>
        <w:t> </w:t>
      </w:r>
      <w:r>
        <w:rPr/>
        <w:t>criterios</w:t>
      </w:r>
      <w:r>
        <w:rPr>
          <w:spacing w:val="-6"/>
        </w:rPr>
        <w:t> </w:t>
      </w:r>
      <w:r>
        <w:rPr/>
        <w:t>de</w:t>
      </w:r>
      <w:r>
        <w:rPr>
          <w:spacing w:val="-5"/>
        </w:rPr>
        <w:t> </w:t>
      </w:r>
      <w:r>
        <w:rPr/>
        <w:t>certificación</w:t>
      </w:r>
      <w:r>
        <w:rPr>
          <w:spacing w:val="-6"/>
        </w:rPr>
        <w:t> </w:t>
      </w:r>
      <w:r>
        <w:rPr/>
        <w:t>para</w:t>
      </w:r>
      <w:r>
        <w:rPr>
          <w:spacing w:val="-6"/>
        </w:rPr>
        <w:t> </w:t>
      </w:r>
      <w:r>
        <w:rPr/>
        <w:t>el</w:t>
      </w:r>
      <w:r>
        <w:rPr>
          <w:spacing w:val="-5"/>
        </w:rPr>
        <w:t> </w:t>
      </w:r>
      <w:r>
        <w:rPr/>
        <w:t>año 2014 entre otros, la cual se llevó a cabo durante los días 26 y 27 de febrero de 2015, así como copia de las listas de asistencia de los dos días de reunión. Vale la pena resaltar que frente al caso particular, se evidenció a través de los documentos analizados la gestión realizada, temas a tratar, responsables por cada entidad, compromisos y recomendaciones para la mejora, a diferencia de los otros casos de la muestra en donde únicamente se observaron listas de asistencia, en relación al Departamento de Caquetá se constató la realización de la actividad de conformidad con el</w:t>
      </w:r>
      <w:r>
        <w:rPr>
          <w:spacing w:val="-6"/>
        </w:rPr>
        <w:t> </w:t>
      </w:r>
      <w:r>
        <w:rPr/>
        <w:t>procedimiento.</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23" name="image1.png" descr=""/>
                  <wp:cNvGraphicFramePr>
                    <a:graphicFrameLocks noChangeAspect="1"/>
                  </wp:cNvGraphicFramePr>
                  <a:graphic>
                    <a:graphicData uri="http://schemas.openxmlformats.org/drawingml/2006/picture">
                      <pic:pic>
                        <pic:nvPicPr>
                          <pic:cNvPr id="12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36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1"/>
        <w:spacing w:before="57"/>
        <w:ind w:left="3904" w:right="3966"/>
      </w:pPr>
      <w:r>
        <w:rPr/>
        <w:t>Imagen 1</w:t>
      </w:r>
    </w:p>
    <w:p>
      <w:pPr>
        <w:pStyle w:val="BodyText"/>
        <w:rPr>
          <w:b/>
          <w:sz w:val="20"/>
        </w:rPr>
      </w:pPr>
      <w:r>
        <w:rPr/>
        <w:pict>
          <v:group style="position:absolute;margin-left:125.639999pt;margin-top:14.185923pt;width:338.05pt;height:431.2pt;mso-position-horizontal-relative:page;mso-position-vertical-relative:paragraph;z-index:1912;mso-wrap-distance-left:0;mso-wrap-distance-right:0" coordorigin="2513,284" coordsize="6761,8624">
            <v:shape style="position:absolute;left:2513;top:284;width:6761;height:8623" type="#_x0000_t75" stroked="false">
              <v:imagedata r:id="rId54" o:title=""/>
            </v:shape>
            <v:shape style="position:absolute;left:3481;top:3139;width:5146;height:1275" coordorigin="3481,3139" coordsize="5146,1275" path="m3481,3351l3492,3284,3522,3225,3568,3179,3626,3149,3694,3139,8414,3139,8482,3149,8540,3179,8586,3225,8616,3284,8627,3351,8627,4201,8616,4268,8586,4326,8540,4372,8482,4402,8414,4413,3694,4413,3626,4402,3568,4372,3522,4326,3492,4268,3481,4201,3481,3351xe" filled="false" stroked="true" strokeweight="2.280pt" strokecolor="#c00000">
              <v:path arrowok="t"/>
            </v:shape>
            <w10:wrap type="topAndBottom"/>
          </v:group>
        </w:pict>
      </w:r>
    </w:p>
    <w:p>
      <w:pPr>
        <w:spacing w:after="0"/>
        <w:rPr>
          <w:sz w:val="20"/>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25" name="image1.png" descr=""/>
                  <wp:cNvGraphicFramePr>
                    <a:graphicFrameLocks noChangeAspect="1"/>
                  </wp:cNvGraphicFramePr>
                  <a:graphic>
                    <a:graphicData uri="http://schemas.openxmlformats.org/drawingml/2006/picture">
                      <pic:pic>
                        <pic:nvPicPr>
                          <pic:cNvPr id="12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37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spacing w:before="57"/>
        <w:ind w:left="4064" w:right="3966" w:firstLine="0"/>
        <w:jc w:val="center"/>
        <w:rPr>
          <w:b/>
          <w:sz w:val="22"/>
        </w:rPr>
      </w:pPr>
      <w:r>
        <w:rPr>
          <w:b/>
          <w:sz w:val="22"/>
        </w:rPr>
        <w:t>Imagen 2</w:t>
      </w:r>
    </w:p>
    <w:p>
      <w:pPr>
        <w:pStyle w:val="BodyText"/>
        <w:rPr>
          <w:b/>
          <w:sz w:val="20"/>
        </w:rPr>
      </w:pPr>
      <w:r>
        <w:rPr/>
        <w:drawing>
          <wp:anchor distT="0" distB="0" distL="0" distR="0" allowOverlap="1" layoutInCell="1" locked="0" behindDoc="0" simplePos="0" relativeHeight="1936">
            <wp:simplePos x="0" y="0"/>
            <wp:positionH relativeFrom="page">
              <wp:posOffset>1632204</wp:posOffset>
            </wp:positionH>
            <wp:positionV relativeFrom="paragraph">
              <wp:posOffset>180161</wp:posOffset>
            </wp:positionV>
            <wp:extent cx="4536044" cy="2912364"/>
            <wp:effectExtent l="0" t="0" r="0" b="0"/>
            <wp:wrapTopAndBottom/>
            <wp:docPr id="127" name="image40.jpeg" descr=""/>
            <wp:cNvGraphicFramePr>
              <a:graphicFrameLocks noChangeAspect="1"/>
            </wp:cNvGraphicFramePr>
            <a:graphic>
              <a:graphicData uri="http://schemas.openxmlformats.org/drawingml/2006/picture">
                <pic:pic>
                  <pic:nvPicPr>
                    <pic:cNvPr id="128" name="image40.jpeg"/>
                    <pic:cNvPicPr/>
                  </pic:nvPicPr>
                  <pic:blipFill>
                    <a:blip r:embed="rId55" cstate="print"/>
                    <a:stretch>
                      <a:fillRect/>
                    </a:stretch>
                  </pic:blipFill>
                  <pic:spPr>
                    <a:xfrm>
                      <a:off x="0" y="0"/>
                      <a:ext cx="4536044" cy="2912364"/>
                    </a:xfrm>
                    <a:prstGeom prst="rect">
                      <a:avLst/>
                    </a:prstGeom>
                  </pic:spPr>
                </pic:pic>
              </a:graphicData>
            </a:graphic>
          </wp:anchor>
        </w:drawing>
      </w:r>
    </w:p>
    <w:p>
      <w:pPr>
        <w:pStyle w:val="BodyText"/>
        <w:rPr>
          <w:b/>
          <w:sz w:val="24"/>
        </w:rPr>
      </w:pPr>
    </w:p>
    <w:p>
      <w:pPr>
        <w:spacing w:before="0"/>
        <w:ind w:left="4064" w:right="3966" w:firstLine="0"/>
        <w:jc w:val="center"/>
        <w:rPr>
          <w:b/>
          <w:sz w:val="22"/>
        </w:rPr>
      </w:pPr>
      <w:r>
        <w:rPr>
          <w:b/>
          <w:sz w:val="22"/>
        </w:rPr>
        <w:t>Imagen 3</w:t>
      </w:r>
    </w:p>
    <w:p>
      <w:pPr>
        <w:pStyle w:val="BodyText"/>
        <w:spacing w:before="11"/>
        <w:rPr>
          <w:b/>
          <w:sz w:val="19"/>
        </w:rPr>
      </w:pPr>
      <w:r>
        <w:rPr/>
        <w:drawing>
          <wp:anchor distT="0" distB="0" distL="0" distR="0" allowOverlap="1" layoutInCell="1" locked="0" behindDoc="0" simplePos="0" relativeHeight="1960">
            <wp:simplePos x="0" y="0"/>
            <wp:positionH relativeFrom="page">
              <wp:posOffset>1693164</wp:posOffset>
            </wp:positionH>
            <wp:positionV relativeFrom="paragraph">
              <wp:posOffset>179525</wp:posOffset>
            </wp:positionV>
            <wp:extent cx="4443297" cy="2820924"/>
            <wp:effectExtent l="0" t="0" r="0" b="0"/>
            <wp:wrapTopAndBottom/>
            <wp:docPr id="129" name="image41.jpeg" descr=""/>
            <wp:cNvGraphicFramePr>
              <a:graphicFrameLocks noChangeAspect="1"/>
            </wp:cNvGraphicFramePr>
            <a:graphic>
              <a:graphicData uri="http://schemas.openxmlformats.org/drawingml/2006/picture">
                <pic:pic>
                  <pic:nvPicPr>
                    <pic:cNvPr id="130" name="image41.jpeg"/>
                    <pic:cNvPicPr/>
                  </pic:nvPicPr>
                  <pic:blipFill>
                    <a:blip r:embed="rId56" cstate="print"/>
                    <a:stretch>
                      <a:fillRect/>
                    </a:stretch>
                  </pic:blipFill>
                  <pic:spPr>
                    <a:xfrm>
                      <a:off x="0" y="0"/>
                      <a:ext cx="4443297" cy="2820924"/>
                    </a:xfrm>
                    <a:prstGeom prst="rect">
                      <a:avLst/>
                    </a:prstGeom>
                  </pic:spPr>
                </pic:pic>
              </a:graphicData>
            </a:graphic>
          </wp:anchor>
        </w:drawing>
      </w:r>
    </w:p>
    <w:p>
      <w:pPr>
        <w:spacing w:after="0"/>
        <w:rPr>
          <w:sz w:val="19"/>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31" name="image1.png" descr=""/>
                  <wp:cNvGraphicFramePr>
                    <a:graphicFrameLocks noChangeAspect="1"/>
                  </wp:cNvGraphicFramePr>
                  <a:graphic>
                    <a:graphicData uri="http://schemas.openxmlformats.org/drawingml/2006/picture">
                      <pic:pic>
                        <pic:nvPicPr>
                          <pic:cNvPr id="13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38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pStyle w:val="BodyText"/>
        <w:spacing w:before="57"/>
        <w:ind w:left="291" w:right="217"/>
        <w:jc w:val="both"/>
      </w:pPr>
      <w:r>
        <w:rPr/>
        <w:t>Paso seguido, se puedo verificar que a través de archivos en Excel se realiza el seguimiento al cumplimiento de los insumos y estudio de la información, para que finalmente mediante una comunicación se informe al Ente Territorial el resultado final, con la calificación de contribución ALTA y las recomendaciones respectivas.</w:t>
      </w:r>
    </w:p>
    <w:p>
      <w:pPr>
        <w:pStyle w:val="BodyText"/>
        <w:rPr>
          <w:sz w:val="20"/>
        </w:rPr>
      </w:pPr>
      <w:r>
        <w:rPr/>
        <w:drawing>
          <wp:anchor distT="0" distB="0" distL="0" distR="0" allowOverlap="1" layoutInCell="1" locked="0" behindDoc="0" simplePos="0" relativeHeight="1984">
            <wp:simplePos x="0" y="0"/>
            <wp:positionH relativeFrom="page">
              <wp:posOffset>2093976</wp:posOffset>
            </wp:positionH>
            <wp:positionV relativeFrom="paragraph">
              <wp:posOffset>180161</wp:posOffset>
            </wp:positionV>
            <wp:extent cx="3676448" cy="4644580"/>
            <wp:effectExtent l="0" t="0" r="0" b="0"/>
            <wp:wrapTopAndBottom/>
            <wp:docPr id="133" name="image42.jpeg" descr=""/>
            <wp:cNvGraphicFramePr>
              <a:graphicFrameLocks noChangeAspect="1"/>
            </wp:cNvGraphicFramePr>
            <a:graphic>
              <a:graphicData uri="http://schemas.openxmlformats.org/drawingml/2006/picture">
                <pic:pic>
                  <pic:nvPicPr>
                    <pic:cNvPr id="134" name="image42.jpeg"/>
                    <pic:cNvPicPr/>
                  </pic:nvPicPr>
                  <pic:blipFill>
                    <a:blip r:embed="rId57" cstate="print"/>
                    <a:stretch>
                      <a:fillRect/>
                    </a:stretch>
                  </pic:blipFill>
                  <pic:spPr>
                    <a:xfrm>
                      <a:off x="0" y="0"/>
                      <a:ext cx="3676448" cy="4644580"/>
                    </a:xfrm>
                    <a:prstGeom prst="rect">
                      <a:avLst/>
                    </a:prstGeom>
                  </pic:spPr>
                </pic:pic>
              </a:graphicData>
            </a:graphic>
          </wp:anchor>
        </w:drawing>
      </w:r>
    </w:p>
    <w:p>
      <w:pPr>
        <w:pStyle w:val="BodyText"/>
        <w:spacing w:before="4"/>
        <w:rPr>
          <w:sz w:val="18"/>
        </w:rPr>
      </w:pPr>
    </w:p>
    <w:p>
      <w:pPr>
        <w:pStyle w:val="BodyText"/>
        <w:spacing w:before="1"/>
        <w:ind w:left="152" w:right="619"/>
        <w:jc w:val="both"/>
      </w:pPr>
      <w:r>
        <w:rPr/>
        <w:t>Posteriormente se realizó la consulta frente a la socialización de los resultados de certificación con este Departamento, así como el envío de resultados finales al mismo, pero no se halló soporte alguno en los expediente digitales consultados; lo que refleja debilidad frente a la ubicación, organización y trazabilidad de la información que soporte la gestión realizada, esta situación genera incumplimiento de las actividades 18 y 19 del procedimiento objeto de auditoría.</w:t>
      </w:r>
    </w:p>
    <w:p>
      <w:pPr>
        <w:pStyle w:val="BodyText"/>
        <w:rPr>
          <w:sz w:val="23"/>
        </w:rPr>
      </w:pPr>
    </w:p>
    <w:p>
      <w:pPr>
        <w:pStyle w:val="ListParagraph"/>
        <w:numPr>
          <w:ilvl w:val="3"/>
          <w:numId w:val="13"/>
        </w:numPr>
        <w:tabs>
          <w:tab w:pos="1012" w:val="left" w:leader="none"/>
        </w:tabs>
        <w:spacing w:line="240" w:lineRule="auto" w:before="0" w:after="0"/>
        <w:ind w:left="1011" w:right="619" w:hanging="360"/>
        <w:jc w:val="both"/>
        <w:rPr>
          <w:sz w:val="22"/>
        </w:rPr>
      </w:pPr>
      <w:r>
        <w:rPr>
          <w:b/>
          <w:sz w:val="22"/>
        </w:rPr>
        <w:t>Fortaleza. </w:t>
      </w:r>
      <w:r>
        <w:rPr>
          <w:sz w:val="22"/>
        </w:rPr>
        <w:t>Es de resaltar que para el caso particular del Departamento de Caquetá, respecto a la socialización de los criterios de certificación para el año 2014, se evidenció adicional a las listas de asistencia, acta de las reuniones realizadas, las cuales soportan la gestión realizada, los temas tratados, personas responsables y compromisos adquiridos por cada</w:t>
      </w:r>
      <w:r>
        <w:rPr>
          <w:spacing w:val="-21"/>
          <w:sz w:val="22"/>
        </w:rPr>
        <w:t> </w:t>
      </w:r>
      <w:r>
        <w:rPr>
          <w:sz w:val="22"/>
        </w:rPr>
        <w:t>Entidad.</w:t>
      </w:r>
    </w:p>
    <w:p>
      <w:pPr>
        <w:spacing w:after="0" w:line="240" w:lineRule="auto"/>
        <w:jc w:val="both"/>
        <w:rPr>
          <w:sz w:val="22"/>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35" name="image1.png" descr=""/>
                  <wp:cNvGraphicFramePr>
                    <a:graphicFrameLocks noChangeAspect="1"/>
                  </wp:cNvGraphicFramePr>
                  <a:graphic>
                    <a:graphicData uri="http://schemas.openxmlformats.org/drawingml/2006/picture">
                      <pic:pic>
                        <pic:nvPicPr>
                          <pic:cNvPr id="13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39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7"/>
        <w:rPr>
          <w:sz w:val="9"/>
        </w:rPr>
      </w:pPr>
    </w:p>
    <w:p>
      <w:pPr>
        <w:pStyle w:val="ListParagraph"/>
        <w:numPr>
          <w:ilvl w:val="3"/>
          <w:numId w:val="13"/>
        </w:numPr>
        <w:tabs>
          <w:tab w:pos="1012" w:val="left" w:leader="none"/>
        </w:tabs>
        <w:spacing w:line="240" w:lineRule="auto" w:before="60" w:after="0"/>
        <w:ind w:left="1011" w:right="622" w:hanging="360"/>
        <w:jc w:val="both"/>
        <w:rPr>
          <w:sz w:val="22"/>
        </w:rPr>
      </w:pPr>
      <w:r>
        <w:rPr>
          <w:b/>
          <w:sz w:val="22"/>
        </w:rPr>
        <w:t>Observación. </w:t>
      </w:r>
      <w:r>
        <w:rPr>
          <w:sz w:val="22"/>
        </w:rPr>
        <w:t>Para los casos de certificación de los Departamentos de Tolima y Caquetá, no se pudo constatar los soportes de socialización de los resultados finales de la certificación, así como tampoco constancia del envío a los entes territoriales, lo cual genera incumplimiento a las actividades 18 y 19 de del procedimiento objeto de evaluación. Por otra parte, aun cuando se observó el documento en formato pdf de la certificación expedida, se evidencia debilidad frente al manejo documental y trazabilidad de la información de conformidad con lo establecido en el procedimiento</w:t>
      </w:r>
      <w:r>
        <w:rPr>
          <w:spacing w:val="-27"/>
          <w:sz w:val="22"/>
        </w:rPr>
        <w:t> </w:t>
      </w:r>
      <w:r>
        <w:rPr>
          <w:sz w:val="22"/>
        </w:rPr>
        <w:t>mencionado.</w:t>
      </w:r>
    </w:p>
    <w:p>
      <w:pPr>
        <w:pStyle w:val="BodyText"/>
        <w:spacing w:before="10"/>
      </w:pPr>
    </w:p>
    <w:p>
      <w:pPr>
        <w:pStyle w:val="Heading1"/>
        <w:ind w:left="435"/>
        <w:jc w:val="left"/>
      </w:pPr>
      <w:r>
        <w:rPr/>
        <w:t>Respuesta Dirección de Gestión Interinstitucional frente a las observaciones de Certificaciones Territoriales.</w:t>
      </w:r>
    </w:p>
    <w:p>
      <w:pPr>
        <w:pStyle w:val="BodyText"/>
        <w:rPr>
          <w:b/>
          <w:sz w:val="19"/>
        </w:rPr>
      </w:pPr>
      <w:r>
        <w:rPr/>
        <w:drawing>
          <wp:anchor distT="0" distB="0" distL="0" distR="0" allowOverlap="1" layoutInCell="1" locked="0" behindDoc="0" simplePos="0" relativeHeight="2008">
            <wp:simplePos x="0" y="0"/>
            <wp:positionH relativeFrom="page">
              <wp:posOffset>967739</wp:posOffset>
            </wp:positionH>
            <wp:positionV relativeFrom="paragraph">
              <wp:posOffset>172540</wp:posOffset>
            </wp:positionV>
            <wp:extent cx="5890212" cy="2428875"/>
            <wp:effectExtent l="0" t="0" r="0" b="0"/>
            <wp:wrapTopAndBottom/>
            <wp:docPr id="137" name="image25.jpeg" descr=""/>
            <wp:cNvGraphicFramePr>
              <a:graphicFrameLocks noChangeAspect="1"/>
            </wp:cNvGraphicFramePr>
            <a:graphic>
              <a:graphicData uri="http://schemas.openxmlformats.org/drawingml/2006/picture">
                <pic:pic>
                  <pic:nvPicPr>
                    <pic:cNvPr id="138" name="image25.jpeg"/>
                    <pic:cNvPicPr/>
                  </pic:nvPicPr>
                  <pic:blipFill>
                    <a:blip r:embed="rId40" cstate="print"/>
                    <a:stretch>
                      <a:fillRect/>
                    </a:stretch>
                  </pic:blipFill>
                  <pic:spPr>
                    <a:xfrm>
                      <a:off x="0" y="0"/>
                      <a:ext cx="5890212" cy="2428875"/>
                    </a:xfrm>
                    <a:prstGeom prst="rect">
                      <a:avLst/>
                    </a:prstGeom>
                  </pic:spPr>
                </pic:pic>
              </a:graphicData>
            </a:graphic>
          </wp:anchor>
        </w:drawing>
      </w:r>
    </w:p>
    <w:p>
      <w:pPr>
        <w:spacing w:after="0"/>
        <w:rPr>
          <w:sz w:val="19"/>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39" name="image1.png" descr=""/>
                  <wp:cNvGraphicFramePr>
                    <a:graphicFrameLocks noChangeAspect="1"/>
                  </wp:cNvGraphicFramePr>
                  <a:graphic>
                    <a:graphicData uri="http://schemas.openxmlformats.org/drawingml/2006/picture">
                      <pic:pic>
                        <pic:nvPicPr>
                          <pic:cNvPr id="14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40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drawing>
          <wp:anchor distT="0" distB="0" distL="0" distR="0" allowOverlap="1" layoutInCell="1" locked="0" behindDoc="0" simplePos="0" relativeHeight="2032">
            <wp:simplePos x="0" y="0"/>
            <wp:positionH relativeFrom="page">
              <wp:posOffset>1415796</wp:posOffset>
            </wp:positionH>
            <wp:positionV relativeFrom="paragraph">
              <wp:posOffset>114045</wp:posOffset>
            </wp:positionV>
            <wp:extent cx="4978870" cy="5103304"/>
            <wp:effectExtent l="0" t="0" r="0" b="0"/>
            <wp:wrapTopAndBottom/>
            <wp:docPr id="141" name="image26.jpeg" descr=""/>
            <wp:cNvGraphicFramePr>
              <a:graphicFrameLocks noChangeAspect="1"/>
            </wp:cNvGraphicFramePr>
            <a:graphic>
              <a:graphicData uri="http://schemas.openxmlformats.org/drawingml/2006/picture">
                <pic:pic>
                  <pic:nvPicPr>
                    <pic:cNvPr id="142" name="image26.jpeg"/>
                    <pic:cNvPicPr/>
                  </pic:nvPicPr>
                  <pic:blipFill>
                    <a:blip r:embed="rId41" cstate="print"/>
                    <a:stretch>
                      <a:fillRect/>
                    </a:stretch>
                  </pic:blipFill>
                  <pic:spPr>
                    <a:xfrm>
                      <a:off x="0" y="0"/>
                      <a:ext cx="4978870" cy="5103304"/>
                    </a:xfrm>
                    <a:prstGeom prst="rect">
                      <a:avLst/>
                    </a:prstGeom>
                  </pic:spPr>
                </pic:pic>
              </a:graphicData>
            </a:graphic>
          </wp:anchor>
        </w:drawing>
      </w:r>
    </w:p>
    <w:p>
      <w:pPr>
        <w:pStyle w:val="BodyText"/>
        <w:spacing w:before="9"/>
        <w:rPr>
          <w:b/>
          <w:sz w:val="17"/>
        </w:rPr>
      </w:pPr>
    </w:p>
    <w:p>
      <w:pPr>
        <w:pStyle w:val="BodyText"/>
        <w:spacing w:before="56"/>
        <w:ind w:left="152" w:right="212"/>
        <w:jc w:val="both"/>
      </w:pPr>
      <w:r>
        <w:rPr>
          <w:b/>
        </w:rPr>
        <w:t>Pronunciamiento final OCI. </w:t>
      </w:r>
      <w:r>
        <w:rPr/>
        <w:t>Teniendo en cuenta la respuesta dada por las áreas auditadas, es preciso aclara que la verificación realizada con la muestra seleccionada para evaluar se basó estrictamente en el procedimiento vigente, aprobado y publicado en la intranet de la Unidad. Así mismo, se revisaron las evidencias y referencias de archivos señalados, encontrando que se han realizado algunas correcciones frente a lo evidenciado por ésta Oficina; sin embargo y dado que es importante implementar acciones correctivas y preventivas las observaciones relacionadas con las actividades 5, 11, 18 y 19 del procedimiento se unifican en una sola observación, la cual se incluirá en el plan de mejoramiento respectivo.</w:t>
      </w:r>
    </w:p>
    <w:p>
      <w:pPr>
        <w:pStyle w:val="BodyText"/>
      </w:pPr>
    </w:p>
    <w:p>
      <w:pPr>
        <w:pStyle w:val="BodyText"/>
        <w:ind w:left="152" w:right="211"/>
        <w:jc w:val="both"/>
      </w:pPr>
      <w:r>
        <w:rPr/>
        <w:t>Por otra parte, se menciona en la respuesta dada que el procedimiento evaluado no se encuentra actualizado en las diferentes actividades revisadas, lo cual corrobora lo evidenciado por parte de la OCI en razón a que como ya se mencionó el procedimiento vigente fue el evaluado.</w:t>
      </w:r>
    </w:p>
    <w:p>
      <w:pPr>
        <w:spacing w:after="0"/>
        <w:jc w:val="both"/>
        <w:sectPr>
          <w:pgSz w:w="12240" w:h="15840"/>
          <w:pgMar w:top="840" w:bottom="280" w:left="700" w:right="680"/>
        </w:sectPr>
      </w:pPr>
    </w:p>
    <w:tbl>
      <w:tblPr>
        <w:tblW w:w="0" w:type="auto"/>
        <w:jc w:val="left"/>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43" name="image1.png" descr=""/>
                  <wp:cNvGraphicFramePr>
                    <a:graphicFrameLocks noChangeAspect="1"/>
                  </wp:cNvGraphicFramePr>
                  <a:graphic>
                    <a:graphicData uri="http://schemas.openxmlformats.org/drawingml/2006/picture">
                      <pic:pic>
                        <pic:nvPicPr>
                          <pic:cNvPr id="14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41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392" w:right="539"/>
        <w:jc w:val="both"/>
      </w:pPr>
      <w:r>
        <w:rPr/>
        <w:t>Finalmente, se resaltan las acciones que se están realizando desde las dos subdirecciones para la mejora del proceso de certificaciones, medidas que se verificarán por la OCI en el seguimiento a plan de mejoramiento que se formule al respecto.</w:t>
      </w:r>
    </w:p>
    <w:p>
      <w:pPr>
        <w:pStyle w:val="BodyText"/>
      </w:pPr>
    </w:p>
    <w:p>
      <w:pPr>
        <w:pStyle w:val="BodyText"/>
        <w:ind w:left="392" w:right="529"/>
        <w:jc w:val="both"/>
      </w:pPr>
      <w:r>
        <w:rPr>
          <w:b/>
        </w:rPr>
        <w:t>Observación final OCI 3.3.7. </w:t>
      </w:r>
      <w:r>
        <w:rPr/>
        <w:t>Respecto a la certificaciones de la muestra seleccionada frente a los municipios de Paz de Ariporo (Casanare) y Montería (Córdoba), Rio Quito (Chocó), departamentos de Arauca y Tolima, se evidenció debilidad en la organización y trazabilidad de la información, dado que no se ubicaron las comunicaciones de resultados de la certificación de los municipios en mención o las mismas son de difícil ubicación dentro de los expediente digitales consultados; de igual manera se pudo constatar incumplimiento, respeto de las actividades N° 5, 11, 18 y 19 del procedimiento de certificaciones a las entidades del SNARIV en el nivel territorial de conformidad con lo establecido en los registros del procedimiento evaluado.</w:t>
      </w:r>
    </w:p>
    <w:p>
      <w:pPr>
        <w:pStyle w:val="BodyText"/>
        <w:spacing w:before="1"/>
        <w:rPr>
          <w:sz w:val="19"/>
        </w:rPr>
      </w:pPr>
      <w:r>
        <w:rPr/>
        <w:pict>
          <v:shape style="position:absolute;margin-left:28.32pt;margin-top:13.845935pt;width:560.3pt;height:16.45pt;mso-position-horizontal-relative:page;mso-position-vertical-relative:paragraph;z-index:2056;mso-wrap-distance-left:0;mso-wrap-distance-right:0" type="#_x0000_t202" filled="true" fillcolor="#d9d9d9" stroked="true" strokeweight=".48004pt" strokecolor="#000000">
            <v:textbox inset="0,0,0,0">
              <w:txbxContent>
                <w:p>
                  <w:pPr>
                    <w:tabs>
                      <w:tab w:pos="3353" w:val="left" w:leader="none"/>
                    </w:tabs>
                    <w:spacing w:before="23"/>
                    <w:ind w:left="2858" w:right="0" w:firstLine="0"/>
                    <w:jc w:val="left"/>
                    <w:rPr>
                      <w:b/>
                      <w:sz w:val="22"/>
                    </w:rPr>
                  </w:pPr>
                  <w:r>
                    <w:rPr>
                      <w:b/>
                      <w:sz w:val="22"/>
                    </w:rPr>
                    <w:t>3.</w:t>
                    <w:tab/>
                    <w:t>CONCLUSIONES  Y RECOMENDACIONES DE</w:t>
                  </w:r>
                  <w:r>
                    <w:rPr>
                      <w:b/>
                      <w:spacing w:val="-20"/>
                      <w:sz w:val="22"/>
                    </w:rPr>
                    <w:t> </w:t>
                  </w:r>
                  <w:r>
                    <w:rPr>
                      <w:b/>
                      <w:sz w:val="22"/>
                    </w:rPr>
                    <w:t>AUDITORÍA</w:t>
                  </w:r>
                </w:p>
              </w:txbxContent>
            </v:textbox>
            <v:fill type="solid"/>
            <w10:wrap type="topAndBottom"/>
          </v:shape>
        </w:pict>
      </w:r>
    </w:p>
    <w:p>
      <w:pPr>
        <w:pStyle w:val="BodyText"/>
        <w:rPr>
          <w:sz w:val="20"/>
        </w:rPr>
      </w:pPr>
    </w:p>
    <w:p>
      <w:pPr>
        <w:pStyle w:val="BodyText"/>
        <w:spacing w:before="194"/>
        <w:ind w:left="392" w:right="67"/>
      </w:pPr>
      <w:r>
        <w:rPr/>
        <w:t>Como resultado de la presente evaluación, a continuación se describen las conclusiones y recomendaciones generales de lo evidenciado así:</w:t>
      </w:r>
    </w:p>
    <w:p>
      <w:pPr>
        <w:pStyle w:val="BodyText"/>
        <w:spacing w:before="4"/>
        <w:rPr>
          <w:sz w:val="16"/>
        </w:rPr>
      </w:pPr>
    </w:p>
    <w:p>
      <w:pPr>
        <w:pStyle w:val="ListParagraph"/>
        <w:numPr>
          <w:ilvl w:val="4"/>
          <w:numId w:val="13"/>
        </w:numPr>
        <w:tabs>
          <w:tab w:pos="1113" w:val="left" w:leader="none"/>
        </w:tabs>
        <w:spacing w:line="240" w:lineRule="auto" w:before="0" w:after="0"/>
        <w:ind w:left="1112" w:right="229" w:hanging="360"/>
        <w:jc w:val="both"/>
        <w:rPr>
          <w:sz w:val="22"/>
        </w:rPr>
      </w:pPr>
      <w:r>
        <w:rPr>
          <w:sz w:val="22"/>
        </w:rPr>
        <w:t>El procedimiento establecido para las certificaciones de las entidades que conforman el SNARIV a nivel Nacional y</w:t>
      </w:r>
      <w:r>
        <w:rPr>
          <w:spacing w:val="-5"/>
          <w:sz w:val="22"/>
        </w:rPr>
        <w:t> </w:t>
      </w:r>
      <w:r>
        <w:rPr>
          <w:sz w:val="22"/>
        </w:rPr>
        <w:t>Territorial,</w:t>
      </w:r>
      <w:r>
        <w:rPr>
          <w:spacing w:val="-5"/>
          <w:sz w:val="22"/>
        </w:rPr>
        <w:t> </w:t>
      </w:r>
      <w:r>
        <w:rPr>
          <w:sz w:val="22"/>
        </w:rPr>
        <w:t>se</w:t>
      </w:r>
      <w:r>
        <w:rPr>
          <w:spacing w:val="-5"/>
          <w:sz w:val="22"/>
        </w:rPr>
        <w:t> </w:t>
      </w:r>
      <w:r>
        <w:rPr>
          <w:sz w:val="22"/>
        </w:rPr>
        <w:t>realizan</w:t>
      </w:r>
      <w:r>
        <w:rPr>
          <w:spacing w:val="-6"/>
          <w:sz w:val="22"/>
        </w:rPr>
        <w:t> </w:t>
      </w:r>
      <w:r>
        <w:rPr>
          <w:sz w:val="22"/>
        </w:rPr>
        <w:t>de</w:t>
      </w:r>
      <w:r>
        <w:rPr>
          <w:spacing w:val="-7"/>
          <w:sz w:val="22"/>
        </w:rPr>
        <w:t> </w:t>
      </w:r>
      <w:r>
        <w:rPr>
          <w:sz w:val="22"/>
        </w:rPr>
        <w:t>manera</w:t>
      </w:r>
      <w:r>
        <w:rPr>
          <w:spacing w:val="-7"/>
          <w:sz w:val="22"/>
        </w:rPr>
        <w:t> </w:t>
      </w:r>
      <w:r>
        <w:rPr>
          <w:sz w:val="22"/>
        </w:rPr>
        <w:t>sustancialmente</w:t>
      </w:r>
      <w:r>
        <w:rPr>
          <w:spacing w:val="-5"/>
          <w:sz w:val="22"/>
        </w:rPr>
        <w:t> </w:t>
      </w:r>
      <w:r>
        <w:rPr>
          <w:sz w:val="22"/>
        </w:rPr>
        <w:t>diferente</w:t>
      </w:r>
      <w:r>
        <w:rPr>
          <w:spacing w:val="-7"/>
          <w:sz w:val="22"/>
        </w:rPr>
        <w:t> </w:t>
      </w:r>
      <w:r>
        <w:rPr>
          <w:sz w:val="22"/>
        </w:rPr>
        <w:t>por</w:t>
      </w:r>
      <w:r>
        <w:rPr>
          <w:spacing w:val="-5"/>
          <w:sz w:val="22"/>
        </w:rPr>
        <w:t> </w:t>
      </w:r>
      <w:r>
        <w:rPr>
          <w:sz w:val="22"/>
        </w:rPr>
        <w:t>parte</w:t>
      </w:r>
      <w:r>
        <w:rPr>
          <w:spacing w:val="-5"/>
          <w:sz w:val="22"/>
        </w:rPr>
        <w:t> </w:t>
      </w:r>
      <w:r>
        <w:rPr>
          <w:sz w:val="22"/>
        </w:rPr>
        <w:t>de</w:t>
      </w:r>
      <w:r>
        <w:rPr>
          <w:spacing w:val="-5"/>
          <w:sz w:val="22"/>
        </w:rPr>
        <w:t> </w:t>
      </w:r>
      <w:r>
        <w:rPr>
          <w:sz w:val="22"/>
        </w:rPr>
        <w:t>las</w:t>
      </w:r>
      <w:r>
        <w:rPr>
          <w:spacing w:val="-5"/>
          <w:sz w:val="22"/>
        </w:rPr>
        <w:t> </w:t>
      </w:r>
      <w:r>
        <w:rPr>
          <w:sz w:val="22"/>
        </w:rPr>
        <w:t>Subdirecciones</w:t>
      </w:r>
      <w:r>
        <w:rPr>
          <w:spacing w:val="-5"/>
          <w:sz w:val="22"/>
        </w:rPr>
        <w:t> </w:t>
      </w:r>
      <w:r>
        <w:rPr>
          <w:sz w:val="22"/>
        </w:rPr>
        <w:t>evaluadas,</w:t>
      </w:r>
      <w:r>
        <w:rPr>
          <w:spacing w:val="-5"/>
          <w:sz w:val="22"/>
        </w:rPr>
        <w:t> </w:t>
      </w:r>
      <w:r>
        <w:rPr>
          <w:sz w:val="22"/>
        </w:rPr>
        <w:t>se</w:t>
      </w:r>
      <w:r>
        <w:rPr>
          <w:spacing w:val="-7"/>
          <w:sz w:val="22"/>
        </w:rPr>
        <w:t> </w:t>
      </w:r>
      <w:r>
        <w:rPr>
          <w:sz w:val="22"/>
        </w:rPr>
        <w:t>pudo evidenciar en la auditoría dinámicas diferentes, metodologías de trabajo, herramientas utilizadas y resgistros de la información totalmente diferentes, por lo que en algunas de las actividades del procedimiento se genera incumplimiento, en consecuencia se concluye que cada área debe contar con su procedimiento propio e idependiente que obdezca a la dinámica real de casa</w:t>
      </w:r>
      <w:r>
        <w:rPr>
          <w:spacing w:val="-14"/>
          <w:sz w:val="22"/>
        </w:rPr>
        <w:t> </w:t>
      </w:r>
      <w:r>
        <w:rPr>
          <w:sz w:val="22"/>
        </w:rPr>
        <w:t>área.</w:t>
      </w:r>
    </w:p>
    <w:p>
      <w:pPr>
        <w:pStyle w:val="ListParagraph"/>
        <w:numPr>
          <w:ilvl w:val="4"/>
          <w:numId w:val="13"/>
        </w:numPr>
        <w:tabs>
          <w:tab w:pos="1113" w:val="left" w:leader="none"/>
        </w:tabs>
        <w:spacing w:line="240" w:lineRule="auto" w:before="0" w:after="0"/>
        <w:ind w:left="1112" w:right="229" w:hanging="360"/>
        <w:jc w:val="both"/>
        <w:rPr>
          <w:i/>
          <w:sz w:val="22"/>
        </w:rPr>
      </w:pPr>
      <w:r>
        <w:rPr>
          <w:sz w:val="22"/>
        </w:rPr>
        <w:t>Por otra parte, se evidenció debilidad en el manejo de la información principalmente con la Subdirección de Coordinación Nación Territorio, como quiera que los expedientes digitalizados no contaban con un órden o estructura de organización que permitiera la facil ubicación de los documentos, así mismo no obedece a </w:t>
      </w:r>
      <w:r>
        <w:rPr>
          <w:spacing w:val="-3"/>
          <w:sz w:val="22"/>
        </w:rPr>
        <w:t>lo </w:t>
      </w:r>
      <w:r>
        <w:rPr>
          <w:sz w:val="22"/>
        </w:rPr>
        <w:t>establecido con los registros del procemiento auditado. Esta situación generó dificultad para la consulta de las evidencias, así como se constató debilidad frente al manejo y trazabilidad de la información de conformidad con lo establecido en la norma NTC-ISO 9001 versón 2008, que indica en el numeral 4.2.4 respecto al control de los registros </w:t>
      </w:r>
      <w:r>
        <w:rPr>
          <w:i/>
          <w:sz w:val="22"/>
        </w:rPr>
        <w:t>“…la organización debe establecer un procedimiento documentado para definir los controles necesarios </w:t>
      </w:r>
      <w:r>
        <w:rPr>
          <w:i/>
          <w:sz w:val="22"/>
        </w:rPr>
        <w:t>para la identificación, el almacenamiento, la protección y la recuperación, la retención y dispocisión de los registros…los cuales deben permancer legibles, facilmente identificables y</w:t>
      </w:r>
      <w:r>
        <w:rPr>
          <w:i/>
          <w:spacing w:val="-21"/>
          <w:sz w:val="22"/>
        </w:rPr>
        <w:t> </w:t>
      </w:r>
      <w:r>
        <w:rPr>
          <w:i/>
          <w:sz w:val="22"/>
        </w:rPr>
        <w:t>recuperables.”</w:t>
      </w:r>
    </w:p>
    <w:p>
      <w:pPr>
        <w:pStyle w:val="ListParagraph"/>
        <w:numPr>
          <w:ilvl w:val="4"/>
          <w:numId w:val="13"/>
        </w:numPr>
        <w:tabs>
          <w:tab w:pos="1113" w:val="left" w:leader="none"/>
        </w:tabs>
        <w:spacing w:line="240" w:lineRule="auto" w:before="1" w:after="0"/>
        <w:ind w:left="1112" w:right="226" w:hanging="360"/>
        <w:jc w:val="both"/>
        <w:rPr>
          <w:sz w:val="22"/>
        </w:rPr>
      </w:pPr>
      <w:r>
        <w:rPr>
          <w:sz w:val="22"/>
        </w:rPr>
        <w:t>En</w:t>
      </w:r>
      <w:r>
        <w:rPr>
          <w:spacing w:val="-8"/>
          <w:sz w:val="22"/>
        </w:rPr>
        <w:t> </w:t>
      </w:r>
      <w:r>
        <w:rPr>
          <w:sz w:val="22"/>
        </w:rPr>
        <w:t>relación</w:t>
      </w:r>
      <w:r>
        <w:rPr>
          <w:spacing w:val="-11"/>
          <w:sz w:val="22"/>
        </w:rPr>
        <w:t> </w:t>
      </w:r>
      <w:r>
        <w:rPr>
          <w:sz w:val="22"/>
        </w:rPr>
        <w:t>a</w:t>
      </w:r>
      <w:r>
        <w:rPr>
          <w:spacing w:val="-11"/>
          <w:sz w:val="22"/>
        </w:rPr>
        <w:t> </w:t>
      </w:r>
      <w:r>
        <w:rPr>
          <w:sz w:val="22"/>
        </w:rPr>
        <w:t>las</w:t>
      </w:r>
      <w:r>
        <w:rPr>
          <w:spacing w:val="-11"/>
          <w:sz w:val="22"/>
        </w:rPr>
        <w:t> </w:t>
      </w:r>
      <w:r>
        <w:rPr>
          <w:sz w:val="22"/>
        </w:rPr>
        <w:t>metodologías</w:t>
      </w:r>
      <w:r>
        <w:rPr>
          <w:spacing w:val="-9"/>
          <w:sz w:val="22"/>
        </w:rPr>
        <w:t> </w:t>
      </w:r>
      <w:r>
        <w:rPr>
          <w:sz w:val="22"/>
        </w:rPr>
        <w:t>de</w:t>
      </w:r>
      <w:r>
        <w:rPr>
          <w:spacing w:val="-10"/>
          <w:sz w:val="22"/>
        </w:rPr>
        <w:t> </w:t>
      </w:r>
      <w:r>
        <w:rPr>
          <w:sz w:val="22"/>
        </w:rPr>
        <w:t>certificación</w:t>
      </w:r>
      <w:r>
        <w:rPr>
          <w:spacing w:val="-11"/>
          <w:sz w:val="22"/>
        </w:rPr>
        <w:t> </w:t>
      </w:r>
      <w:r>
        <w:rPr>
          <w:sz w:val="22"/>
        </w:rPr>
        <w:t>elaboradas</w:t>
      </w:r>
      <w:r>
        <w:rPr>
          <w:spacing w:val="-8"/>
          <w:sz w:val="22"/>
        </w:rPr>
        <w:t> </w:t>
      </w:r>
      <w:r>
        <w:rPr>
          <w:sz w:val="22"/>
        </w:rPr>
        <w:t>por</w:t>
      </w:r>
      <w:r>
        <w:rPr>
          <w:spacing w:val="-11"/>
          <w:sz w:val="22"/>
        </w:rPr>
        <w:t> </w:t>
      </w:r>
      <w:r>
        <w:rPr>
          <w:sz w:val="22"/>
        </w:rPr>
        <w:t>cada</w:t>
      </w:r>
      <w:r>
        <w:rPr>
          <w:spacing w:val="-11"/>
          <w:sz w:val="22"/>
        </w:rPr>
        <w:t> </w:t>
      </w:r>
      <w:r>
        <w:rPr>
          <w:sz w:val="22"/>
        </w:rPr>
        <w:t>dependencia,</w:t>
      </w:r>
      <w:r>
        <w:rPr>
          <w:spacing w:val="-14"/>
          <w:sz w:val="22"/>
        </w:rPr>
        <w:t> </w:t>
      </w:r>
      <w:r>
        <w:rPr>
          <w:sz w:val="22"/>
        </w:rPr>
        <w:t>así</w:t>
      </w:r>
      <w:r>
        <w:rPr>
          <w:spacing w:val="-9"/>
          <w:sz w:val="22"/>
        </w:rPr>
        <w:t> </w:t>
      </w:r>
      <w:r>
        <w:rPr>
          <w:sz w:val="22"/>
        </w:rPr>
        <w:t>como</w:t>
      </w:r>
      <w:r>
        <w:rPr>
          <w:spacing w:val="-9"/>
          <w:sz w:val="22"/>
        </w:rPr>
        <w:t> </w:t>
      </w:r>
      <w:r>
        <w:rPr>
          <w:sz w:val="22"/>
        </w:rPr>
        <w:t>los</w:t>
      </w:r>
      <w:r>
        <w:rPr>
          <w:spacing w:val="-10"/>
          <w:sz w:val="22"/>
        </w:rPr>
        <w:t> </w:t>
      </w:r>
      <w:r>
        <w:rPr>
          <w:sz w:val="22"/>
        </w:rPr>
        <w:t>demás</w:t>
      </w:r>
      <w:r>
        <w:rPr>
          <w:spacing w:val="-10"/>
          <w:sz w:val="22"/>
        </w:rPr>
        <w:t> </w:t>
      </w:r>
      <w:r>
        <w:rPr>
          <w:sz w:val="22"/>
        </w:rPr>
        <w:t>documentos técnicos realizados para el cumplimiento de la gestión, es de resaltar la calidad y contenido de los mismos; de igual manera el trabajo y manejo logístico tanto de personal como de entidades en todo el</w:t>
      </w:r>
      <w:r>
        <w:rPr>
          <w:spacing w:val="-25"/>
          <w:sz w:val="22"/>
        </w:rPr>
        <w:t> </w:t>
      </w:r>
      <w:r>
        <w:rPr>
          <w:sz w:val="22"/>
        </w:rPr>
        <w:t>país.</w:t>
      </w:r>
    </w:p>
    <w:p>
      <w:pPr>
        <w:pStyle w:val="ListParagraph"/>
        <w:numPr>
          <w:ilvl w:val="4"/>
          <w:numId w:val="13"/>
        </w:numPr>
        <w:tabs>
          <w:tab w:pos="1113" w:val="left" w:leader="none"/>
        </w:tabs>
        <w:spacing w:line="240" w:lineRule="auto" w:before="0" w:after="0"/>
        <w:ind w:left="1112" w:right="233" w:hanging="360"/>
        <w:jc w:val="both"/>
        <w:rPr>
          <w:sz w:val="22"/>
        </w:rPr>
      </w:pPr>
      <w:r>
        <w:rPr>
          <w:sz w:val="22"/>
        </w:rPr>
        <w:t>Se recomienda por parte de la OCI, la implementación de medidas y acciones para la mejora de los procesos de certificación, por lo cual se debe formular por parte de las áreas auditadas plan de mejoramiento en donde se indiquen las acciones a seguir, tiempos y responsables de las mismas, sobre lo cual ésta Oficina realizará el respectivo</w:t>
      </w:r>
      <w:r>
        <w:rPr>
          <w:spacing w:val="-4"/>
          <w:sz w:val="22"/>
        </w:rPr>
        <w:t> </w:t>
      </w:r>
      <w:r>
        <w:rPr>
          <w:sz w:val="22"/>
        </w:rPr>
        <w:t>seguimiento.</w:t>
      </w:r>
    </w:p>
    <w:p>
      <w:pPr>
        <w:pStyle w:val="ListParagraph"/>
        <w:numPr>
          <w:ilvl w:val="4"/>
          <w:numId w:val="13"/>
        </w:numPr>
        <w:tabs>
          <w:tab w:pos="1113" w:val="left" w:leader="none"/>
        </w:tabs>
        <w:spacing w:line="240" w:lineRule="auto" w:before="0" w:after="0"/>
        <w:ind w:left="1112" w:right="229" w:hanging="360"/>
        <w:jc w:val="both"/>
        <w:rPr>
          <w:sz w:val="22"/>
        </w:rPr>
      </w:pPr>
      <w:r>
        <w:rPr>
          <w:sz w:val="22"/>
        </w:rPr>
        <w:t>En el rol de asesoría y acompañamiento de la OCI, en relación al punto de certificaciones a nivel territorial y la asudencia</w:t>
      </w:r>
      <w:r>
        <w:rPr>
          <w:spacing w:val="-10"/>
          <w:sz w:val="22"/>
        </w:rPr>
        <w:t> </w:t>
      </w:r>
      <w:r>
        <w:rPr>
          <w:sz w:val="22"/>
        </w:rPr>
        <w:t>de</w:t>
      </w:r>
      <w:r>
        <w:rPr>
          <w:spacing w:val="-11"/>
          <w:sz w:val="22"/>
        </w:rPr>
        <w:t> </w:t>
      </w:r>
      <w:r>
        <w:rPr>
          <w:sz w:val="22"/>
        </w:rPr>
        <w:t>actas</w:t>
      </w:r>
      <w:r>
        <w:rPr>
          <w:spacing w:val="-11"/>
          <w:sz w:val="22"/>
        </w:rPr>
        <w:t> </w:t>
      </w:r>
      <w:r>
        <w:rPr>
          <w:sz w:val="22"/>
        </w:rPr>
        <w:t>o</w:t>
      </w:r>
      <w:r>
        <w:rPr>
          <w:spacing w:val="-8"/>
          <w:sz w:val="22"/>
        </w:rPr>
        <w:t> </w:t>
      </w:r>
      <w:r>
        <w:rPr>
          <w:sz w:val="22"/>
        </w:rPr>
        <w:t>ayudas</w:t>
      </w:r>
      <w:r>
        <w:rPr>
          <w:spacing w:val="-9"/>
          <w:sz w:val="22"/>
        </w:rPr>
        <w:t> </w:t>
      </w:r>
      <w:r>
        <w:rPr>
          <w:sz w:val="22"/>
        </w:rPr>
        <w:t>de</w:t>
      </w:r>
      <w:r>
        <w:rPr>
          <w:spacing w:val="-11"/>
          <w:sz w:val="22"/>
        </w:rPr>
        <w:t> </w:t>
      </w:r>
      <w:r>
        <w:rPr>
          <w:sz w:val="22"/>
        </w:rPr>
        <w:t>memoría</w:t>
      </w:r>
      <w:r>
        <w:rPr>
          <w:spacing w:val="-12"/>
          <w:sz w:val="22"/>
        </w:rPr>
        <w:t> </w:t>
      </w:r>
      <w:r>
        <w:rPr>
          <w:sz w:val="22"/>
        </w:rPr>
        <w:t>de</w:t>
      </w:r>
      <w:r>
        <w:rPr>
          <w:spacing w:val="-8"/>
          <w:sz w:val="22"/>
        </w:rPr>
        <w:t> </w:t>
      </w:r>
      <w:r>
        <w:rPr>
          <w:sz w:val="22"/>
        </w:rPr>
        <w:t>las</w:t>
      </w:r>
      <w:r>
        <w:rPr>
          <w:spacing w:val="-9"/>
          <w:sz w:val="22"/>
        </w:rPr>
        <w:t> </w:t>
      </w:r>
      <w:r>
        <w:rPr>
          <w:sz w:val="22"/>
        </w:rPr>
        <w:t>jornadas</w:t>
      </w:r>
      <w:r>
        <w:rPr>
          <w:spacing w:val="-9"/>
          <w:sz w:val="22"/>
        </w:rPr>
        <w:t> </w:t>
      </w:r>
      <w:r>
        <w:rPr>
          <w:sz w:val="22"/>
        </w:rPr>
        <w:t>realizadas;</w:t>
      </w:r>
      <w:r>
        <w:rPr>
          <w:spacing w:val="-11"/>
          <w:sz w:val="22"/>
        </w:rPr>
        <w:t> </w:t>
      </w:r>
      <w:r>
        <w:rPr>
          <w:sz w:val="22"/>
        </w:rPr>
        <w:t>ésta</w:t>
      </w:r>
      <w:r>
        <w:rPr>
          <w:spacing w:val="-12"/>
          <w:sz w:val="22"/>
        </w:rPr>
        <w:t> </w:t>
      </w:r>
      <w:r>
        <w:rPr>
          <w:sz w:val="22"/>
        </w:rPr>
        <w:t>Oficina</w:t>
      </w:r>
      <w:r>
        <w:rPr>
          <w:spacing w:val="-12"/>
          <w:sz w:val="22"/>
        </w:rPr>
        <w:t> </w:t>
      </w:r>
      <w:r>
        <w:rPr>
          <w:sz w:val="22"/>
        </w:rPr>
        <w:t>considera</w:t>
      </w:r>
      <w:r>
        <w:rPr>
          <w:spacing w:val="-9"/>
          <w:sz w:val="22"/>
        </w:rPr>
        <w:t> </w:t>
      </w:r>
      <w:r>
        <w:rPr>
          <w:sz w:val="22"/>
        </w:rPr>
        <w:t>necesario</w:t>
      </w:r>
      <w:r>
        <w:rPr>
          <w:spacing w:val="-10"/>
          <w:sz w:val="22"/>
        </w:rPr>
        <w:t> </w:t>
      </w:r>
      <w:r>
        <w:rPr>
          <w:sz w:val="22"/>
        </w:rPr>
        <w:t>implementar un</w:t>
      </w:r>
      <w:r>
        <w:rPr>
          <w:spacing w:val="-3"/>
          <w:sz w:val="22"/>
        </w:rPr>
        <w:t> </w:t>
      </w:r>
      <w:r>
        <w:rPr>
          <w:sz w:val="22"/>
        </w:rPr>
        <w:t>docuemnto</w:t>
      </w:r>
      <w:r>
        <w:rPr>
          <w:spacing w:val="-3"/>
          <w:sz w:val="22"/>
        </w:rPr>
        <w:t> </w:t>
      </w:r>
      <w:r>
        <w:rPr>
          <w:sz w:val="22"/>
        </w:rPr>
        <w:t>estandarizada,</w:t>
      </w:r>
      <w:r>
        <w:rPr>
          <w:spacing w:val="-2"/>
          <w:sz w:val="22"/>
        </w:rPr>
        <w:t> </w:t>
      </w:r>
      <w:r>
        <w:rPr>
          <w:sz w:val="22"/>
        </w:rPr>
        <w:t>que</w:t>
      </w:r>
      <w:r>
        <w:rPr>
          <w:spacing w:val="-2"/>
          <w:sz w:val="22"/>
        </w:rPr>
        <w:t> </w:t>
      </w:r>
      <w:r>
        <w:rPr>
          <w:sz w:val="22"/>
        </w:rPr>
        <w:t>de</w:t>
      </w:r>
      <w:r>
        <w:rPr>
          <w:spacing w:val="-4"/>
          <w:sz w:val="22"/>
        </w:rPr>
        <w:t> </w:t>
      </w:r>
      <w:r>
        <w:rPr>
          <w:sz w:val="22"/>
        </w:rPr>
        <w:t>cuenta</w:t>
      </w:r>
      <w:r>
        <w:rPr>
          <w:spacing w:val="-2"/>
          <w:sz w:val="22"/>
        </w:rPr>
        <w:t> </w:t>
      </w:r>
      <w:r>
        <w:rPr>
          <w:sz w:val="22"/>
        </w:rPr>
        <w:t>del</w:t>
      </w:r>
      <w:r>
        <w:rPr>
          <w:spacing w:val="-7"/>
          <w:sz w:val="22"/>
        </w:rPr>
        <w:t> </w:t>
      </w:r>
      <w:r>
        <w:rPr>
          <w:sz w:val="22"/>
        </w:rPr>
        <w:t>objeto,</w:t>
      </w:r>
      <w:r>
        <w:rPr>
          <w:spacing w:val="-2"/>
          <w:sz w:val="22"/>
        </w:rPr>
        <w:t> </w:t>
      </w:r>
      <w:r>
        <w:rPr>
          <w:sz w:val="22"/>
        </w:rPr>
        <w:t>desarrollo,</w:t>
      </w:r>
      <w:r>
        <w:rPr>
          <w:spacing w:val="-5"/>
          <w:sz w:val="22"/>
        </w:rPr>
        <w:t> </w:t>
      </w:r>
      <w:r>
        <w:rPr>
          <w:sz w:val="22"/>
        </w:rPr>
        <w:t>realización</w:t>
      </w:r>
      <w:r>
        <w:rPr>
          <w:spacing w:val="-5"/>
          <w:sz w:val="22"/>
        </w:rPr>
        <w:t> </w:t>
      </w:r>
      <w:r>
        <w:rPr>
          <w:sz w:val="22"/>
        </w:rPr>
        <w:t>y</w:t>
      </w:r>
      <w:r>
        <w:rPr>
          <w:spacing w:val="-4"/>
          <w:sz w:val="22"/>
        </w:rPr>
        <w:t> </w:t>
      </w:r>
      <w:r>
        <w:rPr>
          <w:sz w:val="22"/>
        </w:rPr>
        <w:t>compromisos</w:t>
      </w:r>
      <w:r>
        <w:rPr>
          <w:spacing w:val="-2"/>
          <w:sz w:val="22"/>
        </w:rPr>
        <w:t> </w:t>
      </w:r>
      <w:r>
        <w:rPr>
          <w:sz w:val="22"/>
        </w:rPr>
        <w:t>de</w:t>
      </w:r>
      <w:r>
        <w:rPr>
          <w:spacing w:val="-2"/>
          <w:sz w:val="22"/>
        </w:rPr>
        <w:t> </w:t>
      </w:r>
      <w:r>
        <w:rPr>
          <w:sz w:val="22"/>
        </w:rPr>
        <w:t>la</w:t>
      </w:r>
      <w:r>
        <w:rPr>
          <w:spacing w:val="-5"/>
          <w:sz w:val="22"/>
        </w:rPr>
        <w:t> </w:t>
      </w:r>
      <w:r>
        <w:rPr>
          <w:sz w:val="22"/>
        </w:rPr>
        <w:t>acrividad,</w:t>
      </w:r>
      <w:r>
        <w:rPr>
          <w:spacing w:val="-2"/>
          <w:sz w:val="22"/>
        </w:rPr>
        <w:t> </w:t>
      </w:r>
      <w:r>
        <w:rPr>
          <w:sz w:val="22"/>
        </w:rPr>
        <w:t>ya</w:t>
      </w:r>
    </w:p>
    <w:p>
      <w:pPr>
        <w:spacing w:after="0" w:line="240" w:lineRule="auto"/>
        <w:jc w:val="both"/>
        <w:rPr>
          <w:sz w:val="22"/>
        </w:rPr>
        <w:sectPr>
          <w:pgSz w:w="12240" w:h="15840"/>
          <w:pgMar w:top="840" w:bottom="280" w:left="460" w:right="36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45" name="image1.png" descr=""/>
                  <wp:cNvGraphicFramePr>
                    <a:graphicFrameLocks noChangeAspect="1"/>
                  </wp:cNvGraphicFramePr>
                  <a:graphic>
                    <a:graphicData uri="http://schemas.openxmlformats.org/drawingml/2006/picture">
                      <pic:pic>
                        <pic:nvPicPr>
                          <pic:cNvPr id="14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9" w:right="269"/>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5"/>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42 </w:t>
            </w:r>
            <w:r>
              <w:rPr>
                <w:rFonts w:ascii="Arial" w:hAnsi="Arial"/>
                <w:sz w:val="16"/>
              </w:rPr>
              <w:t>de </w:t>
            </w:r>
            <w:r>
              <w:rPr>
                <w:rFonts w:ascii="Arial" w:hAnsi="Arial"/>
                <w:b/>
                <w:sz w:val="16"/>
              </w:rPr>
              <w:t>42</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9"/>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972"/>
      </w:pPr>
      <w:r>
        <w:rPr/>
        <w:t>que</w:t>
      </w:r>
      <w:r>
        <w:rPr>
          <w:spacing w:val="-5"/>
        </w:rPr>
        <w:t> </w:t>
      </w:r>
      <w:r>
        <w:rPr/>
        <w:t>el</w:t>
      </w:r>
      <w:r>
        <w:rPr>
          <w:spacing w:val="-5"/>
        </w:rPr>
        <w:t> </w:t>
      </w:r>
      <w:r>
        <w:rPr/>
        <w:t>informe</w:t>
      </w:r>
      <w:r>
        <w:rPr>
          <w:spacing w:val="-5"/>
        </w:rPr>
        <w:t> </w:t>
      </w:r>
      <w:r>
        <w:rPr/>
        <w:t>de</w:t>
      </w:r>
      <w:r>
        <w:rPr>
          <w:spacing w:val="-7"/>
        </w:rPr>
        <w:t> </w:t>
      </w:r>
      <w:r>
        <w:rPr/>
        <w:t>comisón</w:t>
      </w:r>
      <w:r>
        <w:rPr>
          <w:spacing w:val="-9"/>
        </w:rPr>
        <w:t> </w:t>
      </w:r>
      <w:r>
        <w:rPr/>
        <w:t>únicamente</w:t>
      </w:r>
      <w:r>
        <w:rPr>
          <w:spacing w:val="-5"/>
        </w:rPr>
        <w:t> </w:t>
      </w:r>
      <w:r>
        <w:rPr/>
        <w:t>evidencia</w:t>
      </w:r>
      <w:r>
        <w:rPr>
          <w:spacing w:val="-9"/>
        </w:rPr>
        <w:t> </w:t>
      </w:r>
      <w:r>
        <w:rPr/>
        <w:t>el</w:t>
      </w:r>
      <w:r>
        <w:rPr>
          <w:spacing w:val="-8"/>
        </w:rPr>
        <w:t> </w:t>
      </w:r>
      <w:r>
        <w:rPr/>
        <w:t>cumplimiento</w:t>
      </w:r>
      <w:r>
        <w:rPr>
          <w:spacing w:val="-7"/>
        </w:rPr>
        <w:t> </w:t>
      </w:r>
      <w:r>
        <w:rPr/>
        <w:t>de</w:t>
      </w:r>
      <w:r>
        <w:rPr>
          <w:spacing w:val="-5"/>
        </w:rPr>
        <w:t> </w:t>
      </w:r>
      <w:r>
        <w:rPr/>
        <w:t>la</w:t>
      </w:r>
      <w:r>
        <w:rPr>
          <w:spacing w:val="-8"/>
        </w:rPr>
        <w:t> </w:t>
      </w:r>
      <w:r>
        <w:rPr/>
        <w:t>misma</w:t>
      </w:r>
      <w:r>
        <w:rPr>
          <w:spacing w:val="-8"/>
        </w:rPr>
        <w:t> </w:t>
      </w:r>
      <w:r>
        <w:rPr/>
        <w:t>y</w:t>
      </w:r>
      <w:r>
        <w:rPr>
          <w:spacing w:val="-7"/>
        </w:rPr>
        <w:t> </w:t>
      </w:r>
      <w:r>
        <w:rPr/>
        <w:t>no</w:t>
      </w:r>
      <w:r>
        <w:rPr>
          <w:spacing w:val="-4"/>
        </w:rPr>
        <w:t> </w:t>
      </w:r>
      <w:r>
        <w:rPr/>
        <w:t>temas</w:t>
      </w:r>
      <w:r>
        <w:rPr>
          <w:spacing w:val="-6"/>
        </w:rPr>
        <w:t> </w:t>
      </w:r>
      <w:r>
        <w:rPr/>
        <w:t>como</w:t>
      </w:r>
      <w:r>
        <w:rPr>
          <w:spacing w:val="-7"/>
        </w:rPr>
        <w:t> </w:t>
      </w:r>
      <w:r>
        <w:rPr/>
        <w:t>los</w:t>
      </w:r>
      <w:r>
        <w:rPr>
          <w:spacing w:val="-10"/>
        </w:rPr>
        <w:t> </w:t>
      </w:r>
      <w:r>
        <w:rPr/>
        <w:t>mencionados que son importantes para la gestión de las</w:t>
      </w:r>
      <w:r>
        <w:rPr>
          <w:spacing w:val="-18"/>
        </w:rPr>
        <w:t> </w:t>
      </w:r>
      <w:r>
        <w:rPr/>
        <w:t>certificaciones.</w:t>
      </w:r>
    </w:p>
    <w:p>
      <w:pPr>
        <w:pStyle w:val="ListParagraph"/>
        <w:numPr>
          <w:ilvl w:val="3"/>
          <w:numId w:val="13"/>
        </w:numPr>
        <w:tabs>
          <w:tab w:pos="972" w:val="left" w:leader="none"/>
          <w:tab w:pos="973" w:val="left" w:leader="none"/>
        </w:tabs>
        <w:spacing w:line="242" w:lineRule="auto" w:before="0" w:after="0"/>
        <w:ind w:left="972" w:right="111" w:hanging="360"/>
        <w:jc w:val="left"/>
        <w:rPr>
          <w:sz w:val="22"/>
        </w:rPr>
      </w:pPr>
      <w:r>
        <w:rPr>
          <w:sz w:val="22"/>
        </w:rPr>
        <w:t>Finalmente respecto a la propuesta de nuevos procedimiento de certificaciones del SNARIV a nivel nacional y territorial, la OCI verificará los mismos en la formulación del plan de mejoramiento</w:t>
      </w:r>
      <w:r>
        <w:rPr>
          <w:spacing w:val="-30"/>
          <w:sz w:val="22"/>
        </w:rPr>
        <w:t> </w:t>
      </w:r>
      <w:r>
        <w:rPr>
          <w:sz w:val="22"/>
        </w:rPr>
        <w:t>respectivo.</w:t>
      </w:r>
    </w:p>
    <w:p>
      <w:pPr>
        <w:pStyle w:val="BodyText"/>
      </w:pPr>
    </w:p>
    <w:p>
      <w:pPr>
        <w:pStyle w:val="BodyText"/>
      </w:pPr>
    </w:p>
    <w:p>
      <w:pPr>
        <w:pStyle w:val="BodyText"/>
        <w:spacing w:before="195"/>
        <w:ind w:left="110"/>
      </w:pPr>
      <w:r>
        <w:rPr/>
        <w:t>Cordialmente,</w:t>
      </w:r>
    </w:p>
    <w:p>
      <w:pPr>
        <w:pStyle w:val="BodyText"/>
      </w:pPr>
    </w:p>
    <w:p>
      <w:pPr>
        <w:pStyle w:val="BodyText"/>
      </w:pPr>
    </w:p>
    <w:p>
      <w:pPr>
        <w:pStyle w:val="BodyText"/>
        <w:spacing w:before="11"/>
        <w:rPr>
          <w:sz w:val="21"/>
        </w:rPr>
      </w:pPr>
    </w:p>
    <w:p>
      <w:pPr>
        <w:pStyle w:val="Heading1"/>
        <w:ind w:left="110" w:right="7604"/>
        <w:jc w:val="left"/>
      </w:pPr>
      <w:r>
        <w:rPr/>
        <w:t>Diego Hernando Santacruz Santacruz. Jefe Oficina de Control Interno.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677" w:right="0" w:firstLine="0"/>
        <w:jc w:val="left"/>
        <w:rPr>
          <w:b/>
          <w:sz w:val="22"/>
        </w:rPr>
      </w:pPr>
      <w:r>
        <w:rPr>
          <w:b/>
          <w:sz w:val="22"/>
        </w:rPr>
        <w:t>ANEXO 1: CONTROL DE CAMBIOS</w:t>
      </w:r>
    </w:p>
    <w:p>
      <w:pPr>
        <w:pStyle w:val="BodyText"/>
        <w:spacing w:before="2"/>
        <w:rPr>
          <w:b/>
        </w:rPr>
      </w:pPr>
    </w:p>
    <w:tbl>
      <w:tblPr>
        <w:tblW w:w="0" w:type="auto"/>
        <w:jc w:val="left"/>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4"/>
        <w:gridCol w:w="1457"/>
        <w:gridCol w:w="2790"/>
        <w:gridCol w:w="2789"/>
        <w:gridCol w:w="1560"/>
      </w:tblGrid>
      <w:tr>
        <w:trPr>
          <w:trHeight w:val="546" w:hRule="exact"/>
        </w:trPr>
        <w:tc>
          <w:tcPr>
            <w:tcW w:w="914" w:type="dxa"/>
            <w:shd w:val="clear" w:color="auto" w:fill="F1DBDB"/>
          </w:tcPr>
          <w:p>
            <w:pPr>
              <w:pStyle w:val="TableParagraph"/>
              <w:spacing w:before="132"/>
              <w:ind w:left="83" w:right="83"/>
              <w:jc w:val="center"/>
              <w:rPr>
                <w:b/>
                <w:sz w:val="22"/>
              </w:rPr>
            </w:pPr>
            <w:r>
              <w:rPr>
                <w:b/>
                <w:sz w:val="22"/>
              </w:rPr>
              <w:t>Versión</w:t>
            </w:r>
          </w:p>
        </w:tc>
        <w:tc>
          <w:tcPr>
            <w:tcW w:w="1457" w:type="dxa"/>
            <w:shd w:val="clear" w:color="auto" w:fill="F1DBDB"/>
          </w:tcPr>
          <w:p>
            <w:pPr>
              <w:pStyle w:val="TableParagraph"/>
              <w:spacing w:line="237" w:lineRule="auto"/>
              <w:ind w:left="388" w:right="328" w:hanging="46"/>
              <w:rPr>
                <w:b/>
                <w:sz w:val="22"/>
              </w:rPr>
            </w:pPr>
            <w:r>
              <w:rPr>
                <w:b/>
                <w:sz w:val="22"/>
              </w:rPr>
              <w:t>Ítem del cambio</w:t>
            </w:r>
          </w:p>
        </w:tc>
        <w:tc>
          <w:tcPr>
            <w:tcW w:w="2790" w:type="dxa"/>
            <w:shd w:val="clear" w:color="auto" w:fill="F1DBDB"/>
          </w:tcPr>
          <w:p>
            <w:pPr>
              <w:pStyle w:val="TableParagraph"/>
              <w:spacing w:before="132"/>
              <w:ind w:left="595"/>
              <w:rPr>
                <w:b/>
                <w:sz w:val="22"/>
              </w:rPr>
            </w:pPr>
            <w:r>
              <w:rPr>
                <w:b/>
                <w:sz w:val="22"/>
              </w:rPr>
              <w:t>Cambio realizado</w:t>
            </w:r>
          </w:p>
        </w:tc>
        <w:tc>
          <w:tcPr>
            <w:tcW w:w="2789" w:type="dxa"/>
            <w:shd w:val="clear" w:color="auto" w:fill="F1DBDB"/>
          </w:tcPr>
          <w:p>
            <w:pPr>
              <w:pStyle w:val="TableParagraph"/>
              <w:spacing w:before="132"/>
              <w:ind w:left="527"/>
              <w:rPr>
                <w:b/>
                <w:sz w:val="22"/>
              </w:rPr>
            </w:pPr>
            <w:r>
              <w:rPr>
                <w:b/>
                <w:sz w:val="22"/>
              </w:rPr>
              <w:t>Motivo del cambio</w:t>
            </w:r>
          </w:p>
        </w:tc>
        <w:tc>
          <w:tcPr>
            <w:tcW w:w="1560" w:type="dxa"/>
            <w:shd w:val="clear" w:color="auto" w:fill="F1DBDB"/>
          </w:tcPr>
          <w:p>
            <w:pPr>
              <w:pStyle w:val="TableParagraph"/>
              <w:spacing w:line="237" w:lineRule="auto"/>
              <w:ind w:left="439" w:right="324" w:hanging="96"/>
              <w:rPr>
                <w:b/>
                <w:sz w:val="22"/>
              </w:rPr>
            </w:pPr>
            <w:r>
              <w:rPr>
                <w:b/>
                <w:sz w:val="22"/>
              </w:rPr>
              <w:t>Fecha del cambio</w:t>
            </w:r>
          </w:p>
        </w:tc>
      </w:tr>
      <w:tr>
        <w:trPr>
          <w:trHeight w:val="1085" w:hRule="exact"/>
        </w:trPr>
        <w:tc>
          <w:tcPr>
            <w:tcW w:w="914" w:type="dxa"/>
          </w:tcPr>
          <w:p>
            <w:pPr>
              <w:pStyle w:val="TableParagraph"/>
              <w:spacing w:before="9"/>
              <w:rPr>
                <w:b/>
                <w:sz w:val="32"/>
              </w:rPr>
            </w:pPr>
          </w:p>
          <w:p>
            <w:pPr>
              <w:pStyle w:val="TableParagraph"/>
              <w:ind w:left="83" w:right="81"/>
              <w:jc w:val="center"/>
              <w:rPr>
                <w:sz w:val="22"/>
              </w:rPr>
            </w:pPr>
            <w:r>
              <w:rPr>
                <w:sz w:val="22"/>
              </w:rPr>
              <w:t>02</w:t>
            </w:r>
          </w:p>
        </w:tc>
        <w:tc>
          <w:tcPr>
            <w:tcW w:w="1457" w:type="dxa"/>
          </w:tcPr>
          <w:p>
            <w:pPr/>
          </w:p>
        </w:tc>
        <w:tc>
          <w:tcPr>
            <w:tcW w:w="2790" w:type="dxa"/>
          </w:tcPr>
          <w:p>
            <w:pPr>
              <w:pStyle w:val="TableParagraph"/>
              <w:ind w:left="101" w:right="102"/>
              <w:jc w:val="both"/>
              <w:rPr>
                <w:sz w:val="22"/>
              </w:rPr>
            </w:pPr>
            <w:r>
              <w:rPr>
                <w:sz w:val="22"/>
              </w:rPr>
              <w:t>Se incluye el ítem de</w:t>
            </w:r>
            <w:r>
              <w:rPr>
                <w:spacing w:val="-31"/>
                <w:sz w:val="22"/>
              </w:rPr>
              <w:t> </w:t>
            </w:r>
            <w:r>
              <w:rPr>
                <w:sz w:val="22"/>
              </w:rPr>
              <w:t>número de informe. Se elimina el ítem 4.2 oportunidades de mejora.</w:t>
            </w:r>
          </w:p>
        </w:tc>
        <w:tc>
          <w:tcPr>
            <w:tcW w:w="2789" w:type="dxa"/>
          </w:tcPr>
          <w:p>
            <w:pPr>
              <w:pStyle w:val="TableParagraph"/>
              <w:spacing w:before="133"/>
              <w:ind w:left="352" w:right="357"/>
              <w:jc w:val="center"/>
              <w:rPr>
                <w:sz w:val="22"/>
              </w:rPr>
            </w:pPr>
            <w:r>
              <w:rPr>
                <w:sz w:val="22"/>
              </w:rPr>
              <w:t>Al revisar el formato se determinó que era necesario actualizarlo.</w:t>
            </w:r>
          </w:p>
        </w:tc>
        <w:tc>
          <w:tcPr>
            <w:tcW w:w="1560" w:type="dxa"/>
          </w:tcPr>
          <w:p>
            <w:pPr>
              <w:pStyle w:val="TableParagraph"/>
              <w:spacing w:before="9"/>
              <w:rPr>
                <w:b/>
                <w:sz w:val="32"/>
              </w:rPr>
            </w:pPr>
          </w:p>
          <w:p>
            <w:pPr>
              <w:pStyle w:val="TableParagraph"/>
              <w:ind w:left="224" w:right="224"/>
              <w:jc w:val="center"/>
              <w:rPr>
                <w:sz w:val="22"/>
              </w:rPr>
            </w:pPr>
            <w:r>
              <w:rPr>
                <w:sz w:val="22"/>
              </w:rPr>
              <w:t>24/02/2015</w:t>
            </w:r>
          </w:p>
        </w:tc>
      </w:tr>
      <w:tr>
        <w:trPr>
          <w:trHeight w:val="1085" w:hRule="exact"/>
        </w:trPr>
        <w:tc>
          <w:tcPr>
            <w:tcW w:w="914" w:type="dxa"/>
          </w:tcPr>
          <w:p>
            <w:pPr>
              <w:pStyle w:val="TableParagraph"/>
              <w:spacing w:before="9"/>
              <w:rPr>
                <w:b/>
                <w:sz w:val="32"/>
              </w:rPr>
            </w:pPr>
          </w:p>
          <w:p>
            <w:pPr>
              <w:pStyle w:val="TableParagraph"/>
              <w:ind w:left="83" w:right="81"/>
              <w:jc w:val="center"/>
              <w:rPr>
                <w:sz w:val="22"/>
              </w:rPr>
            </w:pPr>
            <w:r>
              <w:rPr>
                <w:sz w:val="22"/>
              </w:rPr>
              <w:t>03</w:t>
            </w:r>
          </w:p>
        </w:tc>
        <w:tc>
          <w:tcPr>
            <w:tcW w:w="1457" w:type="dxa"/>
          </w:tcPr>
          <w:p>
            <w:pPr/>
          </w:p>
        </w:tc>
        <w:tc>
          <w:tcPr>
            <w:tcW w:w="2790" w:type="dxa"/>
          </w:tcPr>
          <w:p>
            <w:pPr>
              <w:pStyle w:val="TableParagraph"/>
              <w:ind w:left="101" w:right="102"/>
              <w:jc w:val="both"/>
              <w:rPr>
                <w:sz w:val="22"/>
              </w:rPr>
            </w:pPr>
            <w:r>
              <w:rPr>
                <w:sz w:val="22"/>
              </w:rPr>
              <w:t>Se incluye la opción tipo de informe, con el fin de poder entregar un informe preliminar o final.</w:t>
            </w:r>
          </w:p>
        </w:tc>
        <w:tc>
          <w:tcPr>
            <w:tcW w:w="2789" w:type="dxa"/>
          </w:tcPr>
          <w:p>
            <w:pPr>
              <w:pStyle w:val="TableParagraph"/>
              <w:spacing w:before="131"/>
              <w:ind w:left="105" w:right="112" w:firstLine="2"/>
              <w:jc w:val="center"/>
              <w:rPr>
                <w:sz w:val="22"/>
              </w:rPr>
            </w:pPr>
            <w:r>
              <w:rPr>
                <w:sz w:val="22"/>
              </w:rPr>
              <w:t>Actualización del procedimiento de Auditorías Internas</w:t>
            </w:r>
          </w:p>
        </w:tc>
        <w:tc>
          <w:tcPr>
            <w:tcW w:w="1560" w:type="dxa"/>
          </w:tcPr>
          <w:p>
            <w:pPr>
              <w:pStyle w:val="TableParagraph"/>
              <w:spacing w:before="9"/>
              <w:rPr>
                <w:b/>
                <w:sz w:val="32"/>
              </w:rPr>
            </w:pPr>
          </w:p>
          <w:p>
            <w:pPr>
              <w:pStyle w:val="TableParagraph"/>
              <w:ind w:left="224" w:right="224"/>
              <w:jc w:val="center"/>
              <w:rPr>
                <w:sz w:val="22"/>
              </w:rPr>
            </w:pPr>
            <w:r>
              <w:rPr>
                <w:sz w:val="22"/>
              </w:rPr>
              <w:t>28/07/2015</w:t>
            </w:r>
          </w:p>
        </w:tc>
      </w:tr>
    </w:tbl>
    <w:sectPr>
      <w:pgSz w:w="12240" w:h="15840"/>
      <w:pgMar w:top="840" w:bottom="280" w:left="60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3"/>
      <w:numFmt w:val="decimal"/>
      <w:lvlText w:val="%1"/>
      <w:lvlJc w:val="left"/>
      <w:pPr>
        <w:ind w:left="854" w:hanging="563"/>
        <w:jc w:val="left"/>
      </w:pPr>
      <w:rPr>
        <w:rFonts w:hint="default"/>
      </w:rPr>
    </w:lvl>
    <w:lvl w:ilvl="1">
      <w:start w:val="3"/>
      <w:numFmt w:val="decimal"/>
      <w:lvlText w:val="%1.%2"/>
      <w:lvlJc w:val="left"/>
      <w:pPr>
        <w:ind w:left="854" w:hanging="563"/>
        <w:jc w:val="left"/>
      </w:pPr>
      <w:rPr>
        <w:rFonts w:hint="default"/>
      </w:rPr>
    </w:lvl>
    <w:lvl w:ilvl="2">
      <w:start w:val="2"/>
      <w:numFmt w:val="decimal"/>
      <w:lvlText w:val="%1.%2.%3."/>
      <w:lvlJc w:val="left"/>
      <w:pPr>
        <w:ind w:left="854" w:hanging="563"/>
        <w:jc w:val="right"/>
      </w:pPr>
      <w:rPr>
        <w:rFonts w:hint="default" w:ascii="Calibri" w:hAnsi="Calibri" w:eastAsia="Calibri" w:cs="Calibri"/>
        <w:b/>
        <w:bCs/>
        <w:spacing w:val="-2"/>
        <w:w w:val="100"/>
        <w:sz w:val="22"/>
        <w:szCs w:val="22"/>
      </w:rPr>
    </w:lvl>
    <w:lvl w:ilvl="3">
      <w:start w:val="1"/>
      <w:numFmt w:val="bullet"/>
      <w:lvlText w:val=""/>
      <w:lvlJc w:val="left"/>
      <w:pPr>
        <w:ind w:left="718" w:hanging="361"/>
      </w:pPr>
      <w:rPr>
        <w:rFonts w:hint="default" w:ascii="Symbol" w:hAnsi="Symbol" w:eastAsia="Symbol" w:cs="Symbol"/>
        <w:w w:val="100"/>
        <w:sz w:val="22"/>
        <w:szCs w:val="22"/>
      </w:rPr>
    </w:lvl>
    <w:lvl w:ilvl="4">
      <w:start w:val="1"/>
      <w:numFmt w:val="bullet"/>
      <w:lvlText w:val=""/>
      <w:lvlJc w:val="left"/>
      <w:pPr>
        <w:ind w:left="1112" w:hanging="361"/>
      </w:pPr>
      <w:rPr>
        <w:rFonts w:hint="default" w:ascii="Symbol" w:hAnsi="Symbol" w:eastAsia="Symbol" w:cs="Symbol"/>
        <w:w w:val="100"/>
        <w:sz w:val="22"/>
        <w:szCs w:val="22"/>
      </w:rPr>
    </w:lvl>
    <w:lvl w:ilvl="5">
      <w:start w:val="1"/>
      <w:numFmt w:val="bullet"/>
      <w:lvlText w:val="•"/>
      <w:lvlJc w:val="left"/>
      <w:pPr>
        <w:ind w:left="3902" w:hanging="361"/>
      </w:pPr>
      <w:rPr>
        <w:rFonts w:hint="default"/>
      </w:rPr>
    </w:lvl>
    <w:lvl w:ilvl="6">
      <w:start w:val="1"/>
      <w:numFmt w:val="bullet"/>
      <w:lvlText w:val="•"/>
      <w:lvlJc w:val="left"/>
      <w:pPr>
        <w:ind w:left="5294" w:hanging="361"/>
      </w:pPr>
      <w:rPr>
        <w:rFonts w:hint="default"/>
      </w:rPr>
    </w:lvl>
    <w:lvl w:ilvl="7">
      <w:start w:val="1"/>
      <w:numFmt w:val="bullet"/>
      <w:lvlText w:val="•"/>
      <w:lvlJc w:val="left"/>
      <w:pPr>
        <w:ind w:left="6685" w:hanging="361"/>
      </w:pPr>
      <w:rPr>
        <w:rFonts w:hint="default"/>
      </w:rPr>
    </w:lvl>
    <w:lvl w:ilvl="8">
      <w:start w:val="1"/>
      <w:numFmt w:val="bullet"/>
      <w:lvlText w:val="•"/>
      <w:lvlJc w:val="left"/>
      <w:pPr>
        <w:ind w:left="8077" w:hanging="361"/>
      </w:pPr>
      <w:rPr>
        <w:rFonts w:hint="default"/>
      </w:rPr>
    </w:lvl>
  </w:abstractNum>
  <w:abstractNum w:abstractNumId="11">
    <w:multiLevelType w:val="hybridMultilevel"/>
    <w:lvl w:ilvl="0">
      <w:start w:val="3"/>
      <w:numFmt w:val="decimal"/>
      <w:lvlText w:val="%1"/>
      <w:lvlJc w:val="left"/>
      <w:pPr>
        <w:ind w:left="655" w:hanging="504"/>
        <w:jc w:val="left"/>
      </w:pPr>
      <w:rPr>
        <w:rFonts w:hint="default"/>
      </w:rPr>
    </w:lvl>
    <w:lvl w:ilvl="1">
      <w:start w:val="3"/>
      <w:numFmt w:val="decimal"/>
      <w:lvlText w:val="%1.%2"/>
      <w:lvlJc w:val="left"/>
      <w:pPr>
        <w:ind w:left="655" w:hanging="504"/>
        <w:jc w:val="left"/>
      </w:pPr>
      <w:rPr>
        <w:rFonts w:hint="default"/>
      </w:rPr>
    </w:lvl>
    <w:lvl w:ilvl="2">
      <w:start w:val="1"/>
      <w:numFmt w:val="decimal"/>
      <w:lvlText w:val="%1.%2.%3"/>
      <w:lvlJc w:val="left"/>
      <w:pPr>
        <w:ind w:left="655" w:hanging="504"/>
        <w:jc w:val="left"/>
      </w:pPr>
      <w:rPr>
        <w:rFonts w:hint="default" w:ascii="Calibri" w:hAnsi="Calibri" w:eastAsia="Calibri" w:cs="Calibri"/>
        <w:b/>
        <w:bCs/>
        <w:spacing w:val="-2"/>
        <w:w w:val="100"/>
        <w:sz w:val="22"/>
        <w:szCs w:val="22"/>
      </w:rPr>
    </w:lvl>
    <w:lvl w:ilvl="3">
      <w:start w:val="1"/>
      <w:numFmt w:val="bullet"/>
      <w:lvlText w:val=""/>
      <w:lvlJc w:val="left"/>
      <w:pPr>
        <w:ind w:left="1011" w:hanging="360"/>
      </w:pPr>
      <w:rPr>
        <w:rFonts w:hint="default" w:ascii="Symbol" w:hAnsi="Symbol" w:eastAsia="Symbol" w:cs="Symbol"/>
        <w:w w:val="100"/>
        <w:sz w:val="22"/>
        <w:szCs w:val="22"/>
      </w:rPr>
    </w:lvl>
    <w:lvl w:ilvl="4">
      <w:start w:val="1"/>
      <w:numFmt w:val="bullet"/>
      <w:lvlText w:val="•"/>
      <w:lvlJc w:val="left"/>
      <w:pPr>
        <w:ind w:left="4300" w:hanging="360"/>
      </w:pPr>
      <w:rPr>
        <w:rFonts w:hint="default"/>
      </w:rPr>
    </w:lvl>
    <w:lvl w:ilvl="5">
      <w:start w:val="1"/>
      <w:numFmt w:val="bullet"/>
      <w:lvlText w:val="•"/>
      <w:lvlJc w:val="left"/>
      <w:pPr>
        <w:ind w:left="5393" w:hanging="360"/>
      </w:pPr>
      <w:rPr>
        <w:rFonts w:hint="default"/>
      </w:rPr>
    </w:lvl>
    <w:lvl w:ilvl="6">
      <w:start w:val="1"/>
      <w:numFmt w:val="bullet"/>
      <w:lvlText w:val="•"/>
      <w:lvlJc w:val="left"/>
      <w:pPr>
        <w:ind w:left="6486" w:hanging="360"/>
      </w:pPr>
      <w:rPr>
        <w:rFonts w:hint="default"/>
      </w:rPr>
    </w:lvl>
    <w:lvl w:ilvl="7">
      <w:start w:val="1"/>
      <w:numFmt w:val="bullet"/>
      <w:lvlText w:val="•"/>
      <w:lvlJc w:val="left"/>
      <w:pPr>
        <w:ind w:left="7580" w:hanging="360"/>
      </w:pPr>
      <w:rPr>
        <w:rFonts w:hint="default"/>
      </w:rPr>
    </w:lvl>
    <w:lvl w:ilvl="8">
      <w:start w:val="1"/>
      <w:numFmt w:val="bullet"/>
      <w:lvlText w:val="•"/>
      <w:lvlJc w:val="left"/>
      <w:pPr>
        <w:ind w:left="8673" w:hanging="360"/>
      </w:pPr>
      <w:rPr>
        <w:rFonts w:hint="default"/>
      </w:rPr>
    </w:lvl>
  </w:abstractNum>
  <w:abstractNum w:abstractNumId="10">
    <w:multiLevelType w:val="hybridMultilevel"/>
    <w:lvl w:ilvl="0">
      <w:start w:val="3"/>
      <w:numFmt w:val="decimal"/>
      <w:lvlText w:val="%1"/>
      <w:lvlJc w:val="left"/>
      <w:pPr>
        <w:ind w:left="714" w:hanging="563"/>
        <w:jc w:val="left"/>
      </w:pPr>
      <w:rPr>
        <w:rFonts w:hint="default"/>
      </w:rPr>
    </w:lvl>
    <w:lvl w:ilvl="1">
      <w:start w:val="2"/>
      <w:numFmt w:val="decimal"/>
      <w:lvlText w:val="%1.%2"/>
      <w:lvlJc w:val="left"/>
      <w:pPr>
        <w:ind w:left="714" w:hanging="563"/>
        <w:jc w:val="left"/>
      </w:pPr>
      <w:rPr>
        <w:rFonts w:hint="default"/>
      </w:rPr>
    </w:lvl>
    <w:lvl w:ilvl="2">
      <w:start w:val="6"/>
      <w:numFmt w:val="decimal"/>
      <w:lvlText w:val="%1.%2.%3."/>
      <w:lvlJc w:val="left"/>
      <w:pPr>
        <w:ind w:left="714" w:hanging="563"/>
        <w:jc w:val="left"/>
      </w:pPr>
      <w:rPr>
        <w:rFonts w:hint="default" w:ascii="Calibri" w:hAnsi="Calibri" w:eastAsia="Calibri" w:cs="Calibri"/>
        <w:b/>
        <w:bCs/>
        <w:spacing w:val="-2"/>
        <w:w w:val="100"/>
        <w:sz w:val="22"/>
        <w:szCs w:val="22"/>
      </w:rPr>
    </w:lvl>
    <w:lvl w:ilvl="3">
      <w:start w:val="1"/>
      <w:numFmt w:val="bullet"/>
      <w:lvlText w:val=""/>
      <w:lvlJc w:val="left"/>
      <w:pPr>
        <w:ind w:left="872" w:hanging="361"/>
      </w:pPr>
      <w:rPr>
        <w:rFonts w:hint="default" w:ascii="Symbol" w:hAnsi="Symbol" w:eastAsia="Symbol" w:cs="Symbol"/>
        <w:w w:val="100"/>
        <w:sz w:val="22"/>
        <w:szCs w:val="22"/>
      </w:rPr>
    </w:lvl>
    <w:lvl w:ilvl="4">
      <w:start w:val="1"/>
      <w:numFmt w:val="bullet"/>
      <w:lvlText w:val="•"/>
      <w:lvlJc w:val="left"/>
      <w:pPr>
        <w:ind w:left="4206" w:hanging="361"/>
      </w:pPr>
      <w:rPr>
        <w:rFonts w:hint="default"/>
      </w:rPr>
    </w:lvl>
    <w:lvl w:ilvl="5">
      <w:start w:val="1"/>
      <w:numFmt w:val="bullet"/>
      <w:lvlText w:val="•"/>
      <w:lvlJc w:val="left"/>
      <w:pPr>
        <w:ind w:left="5315" w:hanging="361"/>
      </w:pPr>
      <w:rPr>
        <w:rFonts w:hint="default"/>
      </w:rPr>
    </w:lvl>
    <w:lvl w:ilvl="6">
      <w:start w:val="1"/>
      <w:numFmt w:val="bullet"/>
      <w:lvlText w:val="•"/>
      <w:lvlJc w:val="left"/>
      <w:pPr>
        <w:ind w:left="6424" w:hanging="361"/>
      </w:pPr>
      <w:rPr>
        <w:rFonts w:hint="default"/>
      </w:rPr>
    </w:lvl>
    <w:lvl w:ilvl="7">
      <w:start w:val="1"/>
      <w:numFmt w:val="bullet"/>
      <w:lvlText w:val="•"/>
      <w:lvlJc w:val="left"/>
      <w:pPr>
        <w:ind w:left="7533" w:hanging="361"/>
      </w:pPr>
      <w:rPr>
        <w:rFonts w:hint="default"/>
      </w:rPr>
    </w:lvl>
    <w:lvl w:ilvl="8">
      <w:start w:val="1"/>
      <w:numFmt w:val="bullet"/>
      <w:lvlText w:val="•"/>
      <w:lvlJc w:val="left"/>
      <w:pPr>
        <w:ind w:left="8642" w:hanging="361"/>
      </w:pPr>
      <w:rPr>
        <w:rFonts w:hint="default"/>
      </w:rPr>
    </w:lvl>
  </w:abstractNum>
  <w:abstractNum w:abstractNumId="9">
    <w:multiLevelType w:val="hybridMultilevel"/>
    <w:lvl w:ilvl="0">
      <w:start w:val="1"/>
      <w:numFmt w:val="bullet"/>
      <w:lvlText w:val=""/>
      <w:lvlJc w:val="left"/>
      <w:pPr>
        <w:ind w:left="472" w:hanging="360"/>
      </w:pPr>
      <w:rPr>
        <w:rFonts w:hint="default" w:ascii="Symbol" w:hAnsi="Symbol" w:eastAsia="Symbol" w:cs="Symbol"/>
        <w:w w:val="100"/>
        <w:sz w:val="22"/>
        <w:szCs w:val="22"/>
      </w:rPr>
    </w:lvl>
    <w:lvl w:ilvl="1">
      <w:start w:val="1"/>
      <w:numFmt w:val="bullet"/>
      <w:lvlText w:val="•"/>
      <w:lvlJc w:val="left"/>
      <w:pPr>
        <w:ind w:left="1550" w:hanging="360"/>
      </w:pPr>
      <w:rPr>
        <w:rFonts w:hint="default"/>
      </w:rPr>
    </w:lvl>
    <w:lvl w:ilvl="2">
      <w:start w:val="1"/>
      <w:numFmt w:val="bullet"/>
      <w:lvlText w:val="•"/>
      <w:lvlJc w:val="left"/>
      <w:pPr>
        <w:ind w:left="262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760" w:hanging="360"/>
      </w:pPr>
      <w:rPr>
        <w:rFonts w:hint="default"/>
      </w:rPr>
    </w:lvl>
    <w:lvl w:ilvl="5">
      <w:start w:val="1"/>
      <w:numFmt w:val="bullet"/>
      <w:lvlText w:val="•"/>
      <w:lvlJc w:val="left"/>
      <w:pPr>
        <w:ind w:left="5830" w:hanging="360"/>
      </w:pPr>
      <w:rPr>
        <w:rFonts w:hint="default"/>
      </w:rPr>
    </w:lvl>
    <w:lvl w:ilvl="6">
      <w:start w:val="1"/>
      <w:numFmt w:val="bullet"/>
      <w:lvlText w:val="•"/>
      <w:lvlJc w:val="left"/>
      <w:pPr>
        <w:ind w:left="6900" w:hanging="360"/>
      </w:pPr>
      <w:rPr>
        <w:rFonts w:hint="default"/>
      </w:rPr>
    </w:lvl>
    <w:lvl w:ilvl="7">
      <w:start w:val="1"/>
      <w:numFmt w:val="bullet"/>
      <w:lvlText w:val="•"/>
      <w:lvlJc w:val="left"/>
      <w:pPr>
        <w:ind w:left="7970" w:hanging="360"/>
      </w:pPr>
      <w:rPr>
        <w:rFonts w:hint="default"/>
      </w:rPr>
    </w:lvl>
    <w:lvl w:ilvl="8">
      <w:start w:val="1"/>
      <w:numFmt w:val="bullet"/>
      <w:lvlText w:val="•"/>
      <w:lvlJc w:val="left"/>
      <w:pPr>
        <w:ind w:left="9040" w:hanging="360"/>
      </w:pPr>
      <w:rPr>
        <w:rFonts w:hint="default"/>
      </w:rPr>
    </w:lvl>
  </w:abstractNum>
  <w:abstractNum w:abstractNumId="8">
    <w:multiLevelType w:val="hybridMultilevel"/>
    <w:lvl w:ilvl="0">
      <w:start w:val="1"/>
      <w:numFmt w:val="bullet"/>
      <w:lvlText w:val=""/>
      <w:lvlJc w:val="left"/>
      <w:pPr>
        <w:ind w:left="872" w:hanging="361"/>
      </w:pPr>
      <w:rPr>
        <w:rFonts w:hint="default" w:ascii="Symbol" w:hAnsi="Symbol" w:eastAsia="Symbol" w:cs="Symbol"/>
        <w:w w:val="100"/>
        <w:sz w:val="22"/>
        <w:szCs w:val="22"/>
      </w:rPr>
    </w:lvl>
    <w:lvl w:ilvl="1">
      <w:start w:val="1"/>
      <w:numFmt w:val="bullet"/>
      <w:lvlText w:val="•"/>
      <w:lvlJc w:val="left"/>
      <w:pPr>
        <w:ind w:left="1878" w:hanging="361"/>
      </w:pPr>
      <w:rPr>
        <w:rFonts w:hint="default"/>
      </w:rPr>
    </w:lvl>
    <w:lvl w:ilvl="2">
      <w:start w:val="1"/>
      <w:numFmt w:val="bullet"/>
      <w:lvlText w:val="•"/>
      <w:lvlJc w:val="left"/>
      <w:pPr>
        <w:ind w:left="2876" w:hanging="361"/>
      </w:pPr>
      <w:rPr>
        <w:rFonts w:hint="default"/>
      </w:rPr>
    </w:lvl>
    <w:lvl w:ilvl="3">
      <w:start w:val="1"/>
      <w:numFmt w:val="bullet"/>
      <w:lvlText w:val="•"/>
      <w:lvlJc w:val="left"/>
      <w:pPr>
        <w:ind w:left="3874" w:hanging="361"/>
      </w:pPr>
      <w:rPr>
        <w:rFonts w:hint="default"/>
      </w:rPr>
    </w:lvl>
    <w:lvl w:ilvl="4">
      <w:start w:val="1"/>
      <w:numFmt w:val="bullet"/>
      <w:lvlText w:val="•"/>
      <w:lvlJc w:val="left"/>
      <w:pPr>
        <w:ind w:left="4872" w:hanging="361"/>
      </w:pPr>
      <w:rPr>
        <w:rFonts w:hint="default"/>
      </w:rPr>
    </w:lvl>
    <w:lvl w:ilvl="5">
      <w:start w:val="1"/>
      <w:numFmt w:val="bullet"/>
      <w:lvlText w:val="•"/>
      <w:lvlJc w:val="left"/>
      <w:pPr>
        <w:ind w:left="5870" w:hanging="361"/>
      </w:pPr>
      <w:rPr>
        <w:rFonts w:hint="default"/>
      </w:rPr>
    </w:lvl>
    <w:lvl w:ilvl="6">
      <w:start w:val="1"/>
      <w:numFmt w:val="bullet"/>
      <w:lvlText w:val="•"/>
      <w:lvlJc w:val="left"/>
      <w:pPr>
        <w:ind w:left="6868" w:hanging="361"/>
      </w:pPr>
      <w:rPr>
        <w:rFonts w:hint="default"/>
      </w:rPr>
    </w:lvl>
    <w:lvl w:ilvl="7">
      <w:start w:val="1"/>
      <w:numFmt w:val="bullet"/>
      <w:lvlText w:val="•"/>
      <w:lvlJc w:val="left"/>
      <w:pPr>
        <w:ind w:left="7866" w:hanging="361"/>
      </w:pPr>
      <w:rPr>
        <w:rFonts w:hint="default"/>
      </w:rPr>
    </w:lvl>
    <w:lvl w:ilvl="8">
      <w:start w:val="1"/>
      <w:numFmt w:val="bullet"/>
      <w:lvlText w:val="•"/>
      <w:lvlJc w:val="left"/>
      <w:pPr>
        <w:ind w:left="8864" w:hanging="361"/>
      </w:pPr>
      <w:rPr>
        <w:rFonts w:hint="default"/>
      </w:rPr>
    </w:lvl>
  </w:abstractNum>
  <w:abstractNum w:abstractNumId="7">
    <w:multiLevelType w:val="hybridMultilevel"/>
    <w:lvl w:ilvl="0">
      <w:start w:val="3"/>
      <w:numFmt w:val="decimal"/>
      <w:lvlText w:val="%1"/>
      <w:lvlJc w:val="left"/>
      <w:pPr>
        <w:ind w:left="655" w:hanging="504"/>
        <w:jc w:val="left"/>
      </w:pPr>
      <w:rPr>
        <w:rFonts w:hint="default"/>
      </w:rPr>
    </w:lvl>
    <w:lvl w:ilvl="1">
      <w:start w:val="2"/>
      <w:numFmt w:val="decimal"/>
      <w:lvlText w:val="%1.%2"/>
      <w:lvlJc w:val="left"/>
      <w:pPr>
        <w:ind w:left="655" w:hanging="504"/>
        <w:jc w:val="left"/>
      </w:pPr>
      <w:rPr>
        <w:rFonts w:hint="default"/>
      </w:rPr>
    </w:lvl>
    <w:lvl w:ilvl="2">
      <w:start w:val="1"/>
      <w:numFmt w:val="decimal"/>
      <w:lvlText w:val="%1.%2.%3"/>
      <w:lvlJc w:val="left"/>
      <w:pPr>
        <w:ind w:left="655" w:hanging="504"/>
        <w:jc w:val="left"/>
      </w:pPr>
      <w:rPr>
        <w:rFonts w:hint="default" w:ascii="Calibri" w:hAnsi="Calibri" w:eastAsia="Calibri" w:cs="Calibri"/>
        <w:b/>
        <w:bCs/>
        <w:spacing w:val="-2"/>
        <w:w w:val="100"/>
        <w:sz w:val="22"/>
        <w:szCs w:val="22"/>
      </w:rPr>
    </w:lvl>
    <w:lvl w:ilvl="3">
      <w:start w:val="1"/>
      <w:numFmt w:val="bullet"/>
      <w:lvlText w:val=""/>
      <w:lvlJc w:val="left"/>
      <w:pPr>
        <w:ind w:left="1232" w:hanging="360"/>
      </w:pPr>
      <w:rPr>
        <w:rFonts w:hint="default" w:ascii="Wingdings" w:hAnsi="Wingdings" w:eastAsia="Wingdings" w:cs="Wingdings"/>
        <w:w w:val="100"/>
        <w:sz w:val="22"/>
        <w:szCs w:val="22"/>
      </w:rPr>
    </w:lvl>
    <w:lvl w:ilvl="4">
      <w:start w:val="1"/>
      <w:numFmt w:val="bullet"/>
      <w:lvlText w:val="•"/>
      <w:lvlJc w:val="left"/>
      <w:pPr>
        <w:ind w:left="4446" w:hanging="360"/>
      </w:pPr>
      <w:rPr>
        <w:rFonts w:hint="default"/>
      </w:rPr>
    </w:lvl>
    <w:lvl w:ilvl="5">
      <w:start w:val="1"/>
      <w:numFmt w:val="bullet"/>
      <w:lvlText w:val="•"/>
      <w:lvlJc w:val="left"/>
      <w:pPr>
        <w:ind w:left="5515" w:hanging="360"/>
      </w:pPr>
      <w:rPr>
        <w:rFonts w:hint="default"/>
      </w:rPr>
    </w:lvl>
    <w:lvl w:ilvl="6">
      <w:start w:val="1"/>
      <w:numFmt w:val="bullet"/>
      <w:lvlText w:val="•"/>
      <w:lvlJc w:val="left"/>
      <w:pPr>
        <w:ind w:left="6584" w:hanging="360"/>
      </w:pPr>
      <w:rPr>
        <w:rFonts w:hint="default"/>
      </w:rPr>
    </w:lvl>
    <w:lvl w:ilvl="7">
      <w:start w:val="1"/>
      <w:numFmt w:val="bullet"/>
      <w:lvlText w:val="•"/>
      <w:lvlJc w:val="left"/>
      <w:pPr>
        <w:ind w:left="7653" w:hanging="360"/>
      </w:pPr>
      <w:rPr>
        <w:rFonts w:hint="default"/>
      </w:rPr>
    </w:lvl>
    <w:lvl w:ilvl="8">
      <w:start w:val="1"/>
      <w:numFmt w:val="bullet"/>
      <w:lvlText w:val="•"/>
      <w:lvlJc w:val="left"/>
      <w:pPr>
        <w:ind w:left="8722" w:hanging="360"/>
      </w:pPr>
      <w:rPr>
        <w:rFonts w:hint="default"/>
      </w:rPr>
    </w:lvl>
  </w:abstractNum>
  <w:abstractNum w:abstractNumId="6">
    <w:multiLevelType w:val="hybridMultilevel"/>
    <w:lvl w:ilvl="0">
      <w:start w:val="1"/>
      <w:numFmt w:val="bullet"/>
      <w:lvlText w:val="-"/>
      <w:lvlJc w:val="left"/>
      <w:pPr>
        <w:ind w:left="420" w:hanging="284"/>
      </w:pPr>
      <w:rPr>
        <w:rFonts w:hint="default" w:ascii="Arial" w:hAnsi="Arial" w:eastAsia="Arial" w:cs="Arial"/>
        <w:w w:val="100"/>
        <w:sz w:val="22"/>
        <w:szCs w:val="22"/>
      </w:rPr>
    </w:lvl>
    <w:lvl w:ilvl="1">
      <w:start w:val="1"/>
      <w:numFmt w:val="bullet"/>
      <w:lvlText w:val="•"/>
      <w:lvlJc w:val="left"/>
      <w:pPr>
        <w:ind w:left="812" w:hanging="284"/>
      </w:pPr>
      <w:rPr>
        <w:rFonts w:hint="default"/>
      </w:rPr>
    </w:lvl>
    <w:lvl w:ilvl="2">
      <w:start w:val="1"/>
      <w:numFmt w:val="bullet"/>
      <w:lvlText w:val="•"/>
      <w:lvlJc w:val="left"/>
      <w:pPr>
        <w:ind w:left="1205" w:hanging="284"/>
      </w:pPr>
      <w:rPr>
        <w:rFonts w:hint="default"/>
      </w:rPr>
    </w:lvl>
    <w:lvl w:ilvl="3">
      <w:start w:val="1"/>
      <w:numFmt w:val="bullet"/>
      <w:lvlText w:val="•"/>
      <w:lvlJc w:val="left"/>
      <w:pPr>
        <w:ind w:left="1598" w:hanging="284"/>
      </w:pPr>
      <w:rPr>
        <w:rFonts w:hint="default"/>
      </w:rPr>
    </w:lvl>
    <w:lvl w:ilvl="4">
      <w:start w:val="1"/>
      <w:numFmt w:val="bullet"/>
      <w:lvlText w:val="•"/>
      <w:lvlJc w:val="left"/>
      <w:pPr>
        <w:ind w:left="1991" w:hanging="284"/>
      </w:pPr>
      <w:rPr>
        <w:rFonts w:hint="default"/>
      </w:rPr>
    </w:lvl>
    <w:lvl w:ilvl="5">
      <w:start w:val="1"/>
      <w:numFmt w:val="bullet"/>
      <w:lvlText w:val="•"/>
      <w:lvlJc w:val="left"/>
      <w:pPr>
        <w:ind w:left="2384" w:hanging="284"/>
      </w:pPr>
      <w:rPr>
        <w:rFonts w:hint="default"/>
      </w:rPr>
    </w:lvl>
    <w:lvl w:ilvl="6">
      <w:start w:val="1"/>
      <w:numFmt w:val="bullet"/>
      <w:lvlText w:val="•"/>
      <w:lvlJc w:val="left"/>
      <w:pPr>
        <w:ind w:left="2777" w:hanging="284"/>
      </w:pPr>
      <w:rPr>
        <w:rFonts w:hint="default"/>
      </w:rPr>
    </w:lvl>
    <w:lvl w:ilvl="7">
      <w:start w:val="1"/>
      <w:numFmt w:val="bullet"/>
      <w:lvlText w:val="•"/>
      <w:lvlJc w:val="left"/>
      <w:pPr>
        <w:ind w:left="3170" w:hanging="284"/>
      </w:pPr>
      <w:rPr>
        <w:rFonts w:hint="default"/>
      </w:rPr>
    </w:lvl>
    <w:lvl w:ilvl="8">
      <w:start w:val="1"/>
      <w:numFmt w:val="bullet"/>
      <w:lvlText w:val="•"/>
      <w:lvlJc w:val="left"/>
      <w:pPr>
        <w:ind w:left="3563" w:hanging="284"/>
      </w:pPr>
      <w:rPr>
        <w:rFonts w:hint="default"/>
      </w:rPr>
    </w:lvl>
  </w:abstractNum>
  <w:abstractNum w:abstractNumId="5">
    <w:multiLevelType w:val="hybridMultilevel"/>
    <w:lvl w:ilvl="0">
      <w:start w:val="1"/>
      <w:numFmt w:val="bullet"/>
      <w:lvlText w:val="-"/>
      <w:lvlJc w:val="left"/>
      <w:pPr>
        <w:ind w:left="420" w:hanging="284"/>
      </w:pPr>
      <w:rPr>
        <w:rFonts w:hint="default" w:ascii="Arial" w:hAnsi="Arial" w:eastAsia="Arial" w:cs="Arial"/>
        <w:w w:val="100"/>
        <w:sz w:val="22"/>
        <w:szCs w:val="22"/>
      </w:rPr>
    </w:lvl>
    <w:lvl w:ilvl="1">
      <w:start w:val="1"/>
      <w:numFmt w:val="bullet"/>
      <w:lvlText w:val="•"/>
      <w:lvlJc w:val="left"/>
      <w:pPr>
        <w:ind w:left="812" w:hanging="284"/>
      </w:pPr>
      <w:rPr>
        <w:rFonts w:hint="default"/>
      </w:rPr>
    </w:lvl>
    <w:lvl w:ilvl="2">
      <w:start w:val="1"/>
      <w:numFmt w:val="bullet"/>
      <w:lvlText w:val="•"/>
      <w:lvlJc w:val="left"/>
      <w:pPr>
        <w:ind w:left="1205" w:hanging="284"/>
      </w:pPr>
      <w:rPr>
        <w:rFonts w:hint="default"/>
      </w:rPr>
    </w:lvl>
    <w:lvl w:ilvl="3">
      <w:start w:val="1"/>
      <w:numFmt w:val="bullet"/>
      <w:lvlText w:val="•"/>
      <w:lvlJc w:val="left"/>
      <w:pPr>
        <w:ind w:left="1598" w:hanging="284"/>
      </w:pPr>
      <w:rPr>
        <w:rFonts w:hint="default"/>
      </w:rPr>
    </w:lvl>
    <w:lvl w:ilvl="4">
      <w:start w:val="1"/>
      <w:numFmt w:val="bullet"/>
      <w:lvlText w:val="•"/>
      <w:lvlJc w:val="left"/>
      <w:pPr>
        <w:ind w:left="1991" w:hanging="284"/>
      </w:pPr>
      <w:rPr>
        <w:rFonts w:hint="default"/>
      </w:rPr>
    </w:lvl>
    <w:lvl w:ilvl="5">
      <w:start w:val="1"/>
      <w:numFmt w:val="bullet"/>
      <w:lvlText w:val="•"/>
      <w:lvlJc w:val="left"/>
      <w:pPr>
        <w:ind w:left="2384" w:hanging="284"/>
      </w:pPr>
      <w:rPr>
        <w:rFonts w:hint="default"/>
      </w:rPr>
    </w:lvl>
    <w:lvl w:ilvl="6">
      <w:start w:val="1"/>
      <w:numFmt w:val="bullet"/>
      <w:lvlText w:val="•"/>
      <w:lvlJc w:val="left"/>
      <w:pPr>
        <w:ind w:left="2777" w:hanging="284"/>
      </w:pPr>
      <w:rPr>
        <w:rFonts w:hint="default"/>
      </w:rPr>
    </w:lvl>
    <w:lvl w:ilvl="7">
      <w:start w:val="1"/>
      <w:numFmt w:val="bullet"/>
      <w:lvlText w:val="•"/>
      <w:lvlJc w:val="left"/>
      <w:pPr>
        <w:ind w:left="3170" w:hanging="284"/>
      </w:pPr>
      <w:rPr>
        <w:rFonts w:hint="default"/>
      </w:rPr>
    </w:lvl>
    <w:lvl w:ilvl="8">
      <w:start w:val="1"/>
      <w:numFmt w:val="bullet"/>
      <w:lvlText w:val="•"/>
      <w:lvlJc w:val="left"/>
      <w:pPr>
        <w:ind w:left="3563" w:hanging="284"/>
      </w:pPr>
      <w:rPr>
        <w:rFonts w:hint="default"/>
      </w:rPr>
    </w:lvl>
  </w:abstractNum>
  <w:abstractNum w:abstractNumId="4">
    <w:multiLevelType w:val="hybridMultilevel"/>
    <w:lvl w:ilvl="0">
      <w:start w:val="1"/>
      <w:numFmt w:val="bullet"/>
      <w:lvlText w:val="-"/>
      <w:lvlJc w:val="left"/>
      <w:pPr>
        <w:ind w:left="420" w:hanging="284"/>
      </w:pPr>
      <w:rPr>
        <w:rFonts w:hint="default" w:ascii="Arial" w:hAnsi="Arial" w:eastAsia="Arial" w:cs="Arial"/>
        <w:w w:val="100"/>
        <w:sz w:val="22"/>
        <w:szCs w:val="22"/>
      </w:rPr>
    </w:lvl>
    <w:lvl w:ilvl="1">
      <w:start w:val="1"/>
      <w:numFmt w:val="bullet"/>
      <w:lvlText w:val="•"/>
      <w:lvlJc w:val="left"/>
      <w:pPr>
        <w:ind w:left="812" w:hanging="284"/>
      </w:pPr>
      <w:rPr>
        <w:rFonts w:hint="default"/>
      </w:rPr>
    </w:lvl>
    <w:lvl w:ilvl="2">
      <w:start w:val="1"/>
      <w:numFmt w:val="bullet"/>
      <w:lvlText w:val="•"/>
      <w:lvlJc w:val="left"/>
      <w:pPr>
        <w:ind w:left="1205" w:hanging="284"/>
      </w:pPr>
      <w:rPr>
        <w:rFonts w:hint="default"/>
      </w:rPr>
    </w:lvl>
    <w:lvl w:ilvl="3">
      <w:start w:val="1"/>
      <w:numFmt w:val="bullet"/>
      <w:lvlText w:val="•"/>
      <w:lvlJc w:val="left"/>
      <w:pPr>
        <w:ind w:left="1598" w:hanging="284"/>
      </w:pPr>
      <w:rPr>
        <w:rFonts w:hint="default"/>
      </w:rPr>
    </w:lvl>
    <w:lvl w:ilvl="4">
      <w:start w:val="1"/>
      <w:numFmt w:val="bullet"/>
      <w:lvlText w:val="•"/>
      <w:lvlJc w:val="left"/>
      <w:pPr>
        <w:ind w:left="1991" w:hanging="284"/>
      </w:pPr>
      <w:rPr>
        <w:rFonts w:hint="default"/>
      </w:rPr>
    </w:lvl>
    <w:lvl w:ilvl="5">
      <w:start w:val="1"/>
      <w:numFmt w:val="bullet"/>
      <w:lvlText w:val="•"/>
      <w:lvlJc w:val="left"/>
      <w:pPr>
        <w:ind w:left="2384" w:hanging="284"/>
      </w:pPr>
      <w:rPr>
        <w:rFonts w:hint="default"/>
      </w:rPr>
    </w:lvl>
    <w:lvl w:ilvl="6">
      <w:start w:val="1"/>
      <w:numFmt w:val="bullet"/>
      <w:lvlText w:val="•"/>
      <w:lvlJc w:val="left"/>
      <w:pPr>
        <w:ind w:left="2777" w:hanging="284"/>
      </w:pPr>
      <w:rPr>
        <w:rFonts w:hint="default"/>
      </w:rPr>
    </w:lvl>
    <w:lvl w:ilvl="7">
      <w:start w:val="1"/>
      <w:numFmt w:val="bullet"/>
      <w:lvlText w:val="•"/>
      <w:lvlJc w:val="left"/>
      <w:pPr>
        <w:ind w:left="3170" w:hanging="284"/>
      </w:pPr>
      <w:rPr>
        <w:rFonts w:hint="default"/>
      </w:rPr>
    </w:lvl>
    <w:lvl w:ilvl="8">
      <w:start w:val="1"/>
      <w:numFmt w:val="bullet"/>
      <w:lvlText w:val="•"/>
      <w:lvlJc w:val="left"/>
      <w:pPr>
        <w:ind w:left="3563" w:hanging="284"/>
      </w:pPr>
      <w:rPr>
        <w:rFonts w:hint="default"/>
      </w:rPr>
    </w:lvl>
  </w:abstractNum>
  <w:abstractNum w:abstractNumId="3">
    <w:multiLevelType w:val="hybridMultilevel"/>
    <w:lvl w:ilvl="0">
      <w:start w:val="1"/>
      <w:numFmt w:val="bullet"/>
      <w:lvlText w:val="-"/>
      <w:lvlJc w:val="left"/>
      <w:pPr>
        <w:ind w:left="420" w:hanging="284"/>
      </w:pPr>
      <w:rPr>
        <w:rFonts w:hint="default" w:ascii="Arial" w:hAnsi="Arial" w:eastAsia="Arial" w:cs="Arial"/>
        <w:w w:val="100"/>
        <w:sz w:val="22"/>
        <w:szCs w:val="22"/>
      </w:rPr>
    </w:lvl>
    <w:lvl w:ilvl="1">
      <w:start w:val="1"/>
      <w:numFmt w:val="bullet"/>
      <w:lvlText w:val="•"/>
      <w:lvlJc w:val="left"/>
      <w:pPr>
        <w:ind w:left="812" w:hanging="284"/>
      </w:pPr>
      <w:rPr>
        <w:rFonts w:hint="default"/>
      </w:rPr>
    </w:lvl>
    <w:lvl w:ilvl="2">
      <w:start w:val="1"/>
      <w:numFmt w:val="bullet"/>
      <w:lvlText w:val="•"/>
      <w:lvlJc w:val="left"/>
      <w:pPr>
        <w:ind w:left="1205" w:hanging="284"/>
      </w:pPr>
      <w:rPr>
        <w:rFonts w:hint="default"/>
      </w:rPr>
    </w:lvl>
    <w:lvl w:ilvl="3">
      <w:start w:val="1"/>
      <w:numFmt w:val="bullet"/>
      <w:lvlText w:val="•"/>
      <w:lvlJc w:val="left"/>
      <w:pPr>
        <w:ind w:left="1598" w:hanging="284"/>
      </w:pPr>
      <w:rPr>
        <w:rFonts w:hint="default"/>
      </w:rPr>
    </w:lvl>
    <w:lvl w:ilvl="4">
      <w:start w:val="1"/>
      <w:numFmt w:val="bullet"/>
      <w:lvlText w:val="•"/>
      <w:lvlJc w:val="left"/>
      <w:pPr>
        <w:ind w:left="1991" w:hanging="284"/>
      </w:pPr>
      <w:rPr>
        <w:rFonts w:hint="default"/>
      </w:rPr>
    </w:lvl>
    <w:lvl w:ilvl="5">
      <w:start w:val="1"/>
      <w:numFmt w:val="bullet"/>
      <w:lvlText w:val="•"/>
      <w:lvlJc w:val="left"/>
      <w:pPr>
        <w:ind w:left="2384" w:hanging="284"/>
      </w:pPr>
      <w:rPr>
        <w:rFonts w:hint="default"/>
      </w:rPr>
    </w:lvl>
    <w:lvl w:ilvl="6">
      <w:start w:val="1"/>
      <w:numFmt w:val="bullet"/>
      <w:lvlText w:val="•"/>
      <w:lvlJc w:val="left"/>
      <w:pPr>
        <w:ind w:left="2777" w:hanging="284"/>
      </w:pPr>
      <w:rPr>
        <w:rFonts w:hint="default"/>
      </w:rPr>
    </w:lvl>
    <w:lvl w:ilvl="7">
      <w:start w:val="1"/>
      <w:numFmt w:val="bullet"/>
      <w:lvlText w:val="•"/>
      <w:lvlJc w:val="left"/>
      <w:pPr>
        <w:ind w:left="3170" w:hanging="284"/>
      </w:pPr>
      <w:rPr>
        <w:rFonts w:hint="default"/>
      </w:rPr>
    </w:lvl>
    <w:lvl w:ilvl="8">
      <w:start w:val="1"/>
      <w:numFmt w:val="bullet"/>
      <w:lvlText w:val="•"/>
      <w:lvlJc w:val="left"/>
      <w:pPr>
        <w:ind w:left="3563" w:hanging="284"/>
      </w:pPr>
      <w:rPr>
        <w:rFonts w:hint="default"/>
      </w:rPr>
    </w:lvl>
  </w:abstractNum>
  <w:abstractNum w:abstractNumId="2">
    <w:multiLevelType w:val="hybridMultilevel"/>
    <w:lvl w:ilvl="0">
      <w:start w:val="3"/>
      <w:numFmt w:val="decimal"/>
      <w:lvlText w:val="%1"/>
      <w:lvlJc w:val="left"/>
      <w:pPr>
        <w:ind w:left="872" w:hanging="721"/>
        <w:jc w:val="left"/>
      </w:pPr>
      <w:rPr>
        <w:rFonts w:hint="default"/>
      </w:rPr>
    </w:lvl>
    <w:lvl w:ilvl="1">
      <w:start w:val="1"/>
      <w:numFmt w:val="decimal"/>
      <w:lvlText w:val="%1.%2"/>
      <w:lvlJc w:val="left"/>
      <w:pPr>
        <w:ind w:left="872" w:hanging="721"/>
        <w:jc w:val="left"/>
      </w:pPr>
      <w:rPr>
        <w:rFonts w:hint="default"/>
      </w:rPr>
    </w:lvl>
    <w:lvl w:ilvl="2">
      <w:start w:val="2"/>
      <w:numFmt w:val="decimal"/>
      <w:lvlText w:val="%1.%2.%3."/>
      <w:lvlJc w:val="left"/>
      <w:pPr>
        <w:ind w:left="872" w:hanging="721"/>
        <w:jc w:val="left"/>
      </w:pPr>
      <w:rPr>
        <w:rFonts w:hint="default" w:ascii="Calibri" w:hAnsi="Calibri" w:eastAsia="Calibri" w:cs="Calibri"/>
        <w:b/>
        <w:bCs/>
        <w:spacing w:val="-2"/>
        <w:w w:val="100"/>
        <w:sz w:val="22"/>
        <w:szCs w:val="22"/>
      </w:rPr>
    </w:lvl>
    <w:lvl w:ilvl="3">
      <w:start w:val="1"/>
      <w:numFmt w:val="bullet"/>
      <w:lvlText w:val="•"/>
      <w:lvlJc w:val="left"/>
      <w:pPr>
        <w:ind w:left="3886" w:hanging="721"/>
      </w:pPr>
      <w:rPr>
        <w:rFonts w:hint="default"/>
      </w:rPr>
    </w:lvl>
    <w:lvl w:ilvl="4">
      <w:start w:val="1"/>
      <w:numFmt w:val="bullet"/>
      <w:lvlText w:val="•"/>
      <w:lvlJc w:val="left"/>
      <w:pPr>
        <w:ind w:left="4888" w:hanging="721"/>
      </w:pPr>
      <w:rPr>
        <w:rFonts w:hint="default"/>
      </w:rPr>
    </w:lvl>
    <w:lvl w:ilvl="5">
      <w:start w:val="1"/>
      <w:numFmt w:val="bullet"/>
      <w:lvlText w:val="•"/>
      <w:lvlJc w:val="left"/>
      <w:pPr>
        <w:ind w:left="5890" w:hanging="721"/>
      </w:pPr>
      <w:rPr>
        <w:rFonts w:hint="default"/>
      </w:rPr>
    </w:lvl>
    <w:lvl w:ilvl="6">
      <w:start w:val="1"/>
      <w:numFmt w:val="bullet"/>
      <w:lvlText w:val="•"/>
      <w:lvlJc w:val="left"/>
      <w:pPr>
        <w:ind w:left="6892" w:hanging="721"/>
      </w:pPr>
      <w:rPr>
        <w:rFonts w:hint="default"/>
      </w:rPr>
    </w:lvl>
    <w:lvl w:ilvl="7">
      <w:start w:val="1"/>
      <w:numFmt w:val="bullet"/>
      <w:lvlText w:val="•"/>
      <w:lvlJc w:val="left"/>
      <w:pPr>
        <w:ind w:left="7894" w:hanging="721"/>
      </w:pPr>
      <w:rPr>
        <w:rFonts w:hint="default"/>
      </w:rPr>
    </w:lvl>
    <w:lvl w:ilvl="8">
      <w:start w:val="1"/>
      <w:numFmt w:val="bullet"/>
      <w:lvlText w:val="•"/>
      <w:lvlJc w:val="left"/>
      <w:pPr>
        <w:ind w:left="8896" w:hanging="721"/>
      </w:pPr>
      <w:rPr>
        <w:rFonts w:hint="default"/>
      </w:rPr>
    </w:lvl>
  </w:abstractNum>
  <w:abstractNum w:abstractNumId="1">
    <w:multiLevelType w:val="hybridMultilevel"/>
    <w:lvl w:ilvl="0">
      <w:start w:val="1"/>
      <w:numFmt w:val="bullet"/>
      <w:lvlText w:val=""/>
      <w:lvlJc w:val="left"/>
      <w:pPr>
        <w:ind w:left="823" w:hanging="361"/>
      </w:pPr>
      <w:rPr>
        <w:rFonts w:hint="default" w:ascii="Wingdings" w:hAnsi="Wingdings" w:eastAsia="Wingdings" w:cs="Wingdings"/>
        <w:w w:val="100"/>
        <w:sz w:val="22"/>
        <w:szCs w:val="22"/>
      </w:rPr>
    </w:lvl>
    <w:lvl w:ilvl="1">
      <w:start w:val="1"/>
      <w:numFmt w:val="bullet"/>
      <w:lvlText w:val="•"/>
      <w:lvlJc w:val="left"/>
      <w:pPr>
        <w:ind w:left="1857" w:hanging="361"/>
      </w:pPr>
      <w:rPr>
        <w:rFonts w:hint="default"/>
      </w:rPr>
    </w:lvl>
    <w:lvl w:ilvl="2">
      <w:start w:val="1"/>
      <w:numFmt w:val="bullet"/>
      <w:lvlText w:val="•"/>
      <w:lvlJc w:val="left"/>
      <w:pPr>
        <w:ind w:left="2895" w:hanging="361"/>
      </w:pPr>
      <w:rPr>
        <w:rFonts w:hint="default"/>
      </w:rPr>
    </w:lvl>
    <w:lvl w:ilvl="3">
      <w:start w:val="1"/>
      <w:numFmt w:val="bullet"/>
      <w:lvlText w:val="•"/>
      <w:lvlJc w:val="left"/>
      <w:pPr>
        <w:ind w:left="3932" w:hanging="361"/>
      </w:pPr>
      <w:rPr>
        <w:rFonts w:hint="default"/>
      </w:rPr>
    </w:lvl>
    <w:lvl w:ilvl="4">
      <w:start w:val="1"/>
      <w:numFmt w:val="bullet"/>
      <w:lvlText w:val="•"/>
      <w:lvlJc w:val="left"/>
      <w:pPr>
        <w:ind w:left="4970" w:hanging="361"/>
      </w:pPr>
      <w:rPr>
        <w:rFonts w:hint="default"/>
      </w:rPr>
    </w:lvl>
    <w:lvl w:ilvl="5">
      <w:start w:val="1"/>
      <w:numFmt w:val="bullet"/>
      <w:lvlText w:val="•"/>
      <w:lvlJc w:val="left"/>
      <w:pPr>
        <w:ind w:left="6008" w:hanging="361"/>
      </w:pPr>
      <w:rPr>
        <w:rFonts w:hint="default"/>
      </w:rPr>
    </w:lvl>
    <w:lvl w:ilvl="6">
      <w:start w:val="1"/>
      <w:numFmt w:val="bullet"/>
      <w:lvlText w:val="•"/>
      <w:lvlJc w:val="left"/>
      <w:pPr>
        <w:ind w:left="7045" w:hanging="361"/>
      </w:pPr>
      <w:rPr>
        <w:rFonts w:hint="default"/>
      </w:rPr>
    </w:lvl>
    <w:lvl w:ilvl="7">
      <w:start w:val="1"/>
      <w:numFmt w:val="bullet"/>
      <w:lvlText w:val="•"/>
      <w:lvlJc w:val="left"/>
      <w:pPr>
        <w:ind w:left="8083" w:hanging="361"/>
      </w:pPr>
      <w:rPr>
        <w:rFonts w:hint="default"/>
      </w:rPr>
    </w:lvl>
    <w:lvl w:ilvl="8">
      <w:start w:val="1"/>
      <w:numFmt w:val="bullet"/>
      <w:lvlText w:val="•"/>
      <w:lvlJc w:val="left"/>
      <w:pPr>
        <w:ind w:left="9120" w:hanging="361"/>
      </w:pPr>
      <w:rPr>
        <w:rFonts w:hint="default"/>
      </w:rPr>
    </w:lvl>
  </w:abstractNum>
  <w:abstractNum w:abstractNumId="0">
    <w:multiLevelType w:val="hybridMultilevel"/>
    <w:lvl w:ilvl="0">
      <w:start w:val="1"/>
      <w:numFmt w:val="decimal"/>
      <w:lvlText w:val="%1."/>
      <w:lvlJc w:val="left"/>
      <w:pPr>
        <w:ind w:left="577" w:hanging="426"/>
        <w:jc w:val="left"/>
      </w:pPr>
      <w:rPr>
        <w:rFonts w:hint="default" w:ascii="Calibri" w:hAnsi="Calibri" w:eastAsia="Calibri" w:cs="Calibri"/>
        <w:b/>
        <w:bCs/>
        <w:w w:val="100"/>
        <w:sz w:val="22"/>
        <w:szCs w:val="22"/>
      </w:rPr>
    </w:lvl>
    <w:lvl w:ilvl="1">
      <w:start w:val="1"/>
      <w:numFmt w:val="bullet"/>
      <w:lvlText w:val="•"/>
      <w:lvlJc w:val="left"/>
      <w:pPr>
        <w:ind w:left="1608" w:hanging="426"/>
      </w:pPr>
      <w:rPr>
        <w:rFonts w:hint="default"/>
      </w:rPr>
    </w:lvl>
    <w:lvl w:ilvl="2">
      <w:start w:val="1"/>
      <w:numFmt w:val="bullet"/>
      <w:lvlText w:val="•"/>
      <w:lvlJc w:val="left"/>
      <w:pPr>
        <w:ind w:left="2636" w:hanging="426"/>
      </w:pPr>
      <w:rPr>
        <w:rFonts w:hint="default"/>
      </w:rPr>
    </w:lvl>
    <w:lvl w:ilvl="3">
      <w:start w:val="1"/>
      <w:numFmt w:val="bullet"/>
      <w:lvlText w:val="•"/>
      <w:lvlJc w:val="left"/>
      <w:pPr>
        <w:ind w:left="3664" w:hanging="426"/>
      </w:pPr>
      <w:rPr>
        <w:rFonts w:hint="default"/>
      </w:rPr>
    </w:lvl>
    <w:lvl w:ilvl="4">
      <w:start w:val="1"/>
      <w:numFmt w:val="bullet"/>
      <w:lvlText w:val="•"/>
      <w:lvlJc w:val="left"/>
      <w:pPr>
        <w:ind w:left="4692" w:hanging="426"/>
      </w:pPr>
      <w:rPr>
        <w:rFonts w:hint="default"/>
      </w:rPr>
    </w:lvl>
    <w:lvl w:ilvl="5">
      <w:start w:val="1"/>
      <w:numFmt w:val="bullet"/>
      <w:lvlText w:val="•"/>
      <w:lvlJc w:val="left"/>
      <w:pPr>
        <w:ind w:left="5720" w:hanging="426"/>
      </w:pPr>
      <w:rPr>
        <w:rFonts w:hint="default"/>
      </w:rPr>
    </w:lvl>
    <w:lvl w:ilvl="6">
      <w:start w:val="1"/>
      <w:numFmt w:val="bullet"/>
      <w:lvlText w:val="•"/>
      <w:lvlJc w:val="left"/>
      <w:pPr>
        <w:ind w:left="6748" w:hanging="426"/>
      </w:pPr>
      <w:rPr>
        <w:rFonts w:hint="default"/>
      </w:rPr>
    </w:lvl>
    <w:lvl w:ilvl="7">
      <w:start w:val="1"/>
      <w:numFmt w:val="bullet"/>
      <w:lvlText w:val="•"/>
      <w:lvlJc w:val="left"/>
      <w:pPr>
        <w:ind w:left="7776" w:hanging="426"/>
      </w:pPr>
      <w:rPr>
        <w:rFonts w:hint="default"/>
      </w:rPr>
    </w:lvl>
    <w:lvl w:ilvl="8">
      <w:start w:val="1"/>
      <w:numFmt w:val="bullet"/>
      <w:lvlText w:val="•"/>
      <w:lvlJc w:val="left"/>
      <w:pPr>
        <w:ind w:left="8804" w:hanging="426"/>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ind w:left="152"/>
      <w:jc w:val="center"/>
      <w:outlineLvl w:val="1"/>
    </w:pPr>
    <w:rPr>
      <w:rFonts w:ascii="Calibri" w:hAnsi="Calibri" w:eastAsia="Calibri" w:cs="Calibri"/>
      <w:b/>
      <w:bCs/>
      <w:sz w:val="22"/>
      <w:szCs w:val="22"/>
    </w:rPr>
  </w:style>
  <w:style w:styleId="ListParagraph" w:type="paragraph">
    <w:name w:val="List Paragraph"/>
    <w:basedOn w:val="Normal"/>
    <w:uiPriority w:val="1"/>
    <w:qFormat/>
    <w:pPr>
      <w:ind w:left="872" w:hanging="360"/>
      <w:jc w:val="both"/>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icbf.gov.co/cargues/avance/docs/ley_1450_2011_pr003.htm#182" TargetMode="External"/><Relationship Id="rId7" Type="http://schemas.openxmlformats.org/officeDocument/2006/relationships/hyperlink" Target="http://www.icbf.gov.co/cargues/avance/docs/ley_1448_2011_pr001.htm#62" TargetMode="External"/><Relationship Id="rId8" Type="http://schemas.openxmlformats.org/officeDocument/2006/relationships/hyperlink" Target="http://www.icbf.gov.co/cargues/avance/docs/ley_1448_2011_pr001.htm#64" TargetMode="External"/><Relationship Id="rId9" Type="http://schemas.openxmlformats.org/officeDocument/2006/relationships/hyperlink" Target="http://www.icbf.gov.co/cargues/avance/docs/ley_1448_2011_pr001.htm#65" TargetMode="External"/><Relationship Id="rId10" Type="http://schemas.openxmlformats.org/officeDocument/2006/relationships/hyperlink" Target="http://www.icbf.gov.co/cargues/avance/docs/ley_1448_2011_pr001.htm#66" TargetMode="External"/><Relationship Id="rId11" Type="http://schemas.openxmlformats.org/officeDocument/2006/relationships/hyperlink" Target="http://www.icbf.gov.co/cargues/avance/docs/ley_1448_2011_pr001.htm#67" TargetMode="External"/><Relationship Id="rId12" Type="http://schemas.openxmlformats.org/officeDocument/2006/relationships/hyperlink" Target="http://www.icbf.gov.co/cargues/avance/docs/ley_1448_2011_pr001.htm#68" TargetMode="External"/><Relationship Id="rId13" Type="http://schemas.openxmlformats.org/officeDocument/2006/relationships/hyperlink" Target="http://www.icbf.gov.co/cargues/avance/docs/decreto_4800_2011.htm#81" TargetMode="External"/><Relationship Id="rId14" Type="http://schemas.openxmlformats.org/officeDocument/2006/relationships/hyperlink" Target="http://www.icbf.gov.co/cargues/avance/docs/decreto_4800_2011.htm#83" TargetMode="External"/><Relationship Id="rId15" Type="http://schemas.openxmlformats.org/officeDocument/2006/relationships/hyperlink" Target="http://www.icbf.gov.co/cargues/avance/docs/decreto_4800_2011_pr002.htm#112" TargetMode="External"/><Relationship Id="rId16" Type="http://schemas.openxmlformats.org/officeDocument/2006/relationships/hyperlink" Target="http://intranet.unidadvictimas.gov.co/images/SIG/procesos_caracterizados/9.%20Procedimiento%20Certificacion" TargetMode="External"/><Relationship Id="rId17" Type="http://schemas.openxmlformats.org/officeDocument/2006/relationships/image" Target="media/image2.png"/><Relationship Id="rId18" Type="http://schemas.openxmlformats.org/officeDocument/2006/relationships/image" Target="media/image3.jpeg"/><Relationship Id="rId19" Type="http://schemas.openxmlformats.org/officeDocument/2006/relationships/image" Target="media/image4.jpe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jpeg"/><Relationship Id="rId23" Type="http://schemas.openxmlformats.org/officeDocument/2006/relationships/image" Target="media/image8.png"/><Relationship Id="rId24" Type="http://schemas.openxmlformats.org/officeDocument/2006/relationships/image" Target="media/image9.jpe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image" Target="media/image16.png"/><Relationship Id="rId32" Type="http://schemas.openxmlformats.org/officeDocument/2006/relationships/image" Target="media/image17.jpe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jpe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2016-04-14T20:12:46Z</dcterms:created>
  <dcterms:modified xsi:type="dcterms:W3CDTF">2016-04-14T20:12:46Z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2016-04-14T00:00:00Z</vt:filetime>
  </property>
  <property fmtid="{D5CDD505-2E9C-101B-9397-08002B2CF9AE}" pid="3" name="Creator">
    <vt:lpwstr>Microsoft® Word 2016</vt:lpwstr>
  </property>
  <property fmtid="{D5CDD505-2E9C-101B-9397-08002B2CF9AE}" pid="4" name="LastSaved">
    <vt:filetime>2016-04-14T00:00:00Z</vt:filetime>
  </property>
</Properties>
</file>