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371"/>
      </w:tblGrid>
      <w:tr w:rsidR="001F7812" w:rsidRPr="00E15E44" w14:paraId="502409F1" w14:textId="77777777" w:rsidTr="009170DA">
        <w:trPr>
          <w:trHeight w:val="784"/>
          <w:tblHeader/>
        </w:trPr>
        <w:tc>
          <w:tcPr>
            <w:tcW w:w="10036" w:type="dxa"/>
            <w:gridSpan w:val="2"/>
            <w:shd w:val="clear" w:color="auto" w:fill="D9D9D9" w:themeFill="background1" w:themeFillShade="D9"/>
            <w:vAlign w:val="center"/>
          </w:tcPr>
          <w:p w14:paraId="206EA7B2" w14:textId="77777777" w:rsidR="00E26CCC" w:rsidRPr="00FA68AD" w:rsidRDefault="68AF5C58" w:rsidP="009170DA">
            <w:pPr>
              <w:pStyle w:val="NormalWeb"/>
              <w:spacing w:before="0" w:beforeAutospacing="0" w:after="0" w:afterAutospacing="0"/>
              <w:jc w:val="center"/>
              <w:rPr>
                <w:rFonts w:ascii="Arial" w:eastAsia="Arial Narrow,Arial" w:hAnsi="Arial" w:cs="Arial"/>
                <w:b/>
                <w:color w:val="auto"/>
                <w:sz w:val="20"/>
                <w:szCs w:val="20"/>
                <w:lang w:val="es-CO"/>
              </w:rPr>
            </w:pPr>
            <w:r w:rsidRPr="00FA68AD">
              <w:rPr>
                <w:rFonts w:ascii="Arial" w:eastAsia="Arial Narrow" w:hAnsi="Arial" w:cs="Arial"/>
                <w:b/>
                <w:color w:val="auto"/>
                <w:sz w:val="20"/>
                <w:szCs w:val="20"/>
                <w:lang w:val="es-CO"/>
              </w:rPr>
              <w:t xml:space="preserve">Proyecto de </w:t>
            </w:r>
            <w:r w:rsidR="003A3963" w:rsidRPr="00FA68AD">
              <w:rPr>
                <w:rFonts w:ascii="Arial" w:eastAsia="Arial Narrow" w:hAnsi="Arial" w:cs="Arial"/>
                <w:b/>
                <w:color w:val="auto"/>
                <w:sz w:val="20"/>
                <w:szCs w:val="20"/>
                <w:lang w:val="es-CO"/>
              </w:rPr>
              <w:t>Resolución</w:t>
            </w:r>
          </w:p>
        </w:tc>
      </w:tr>
      <w:tr w:rsidR="001F7812" w:rsidRPr="00E15E44" w14:paraId="7AAF6D2E" w14:textId="77777777" w:rsidTr="009170DA">
        <w:trPr>
          <w:trHeight w:val="1264"/>
        </w:trPr>
        <w:tc>
          <w:tcPr>
            <w:tcW w:w="2665" w:type="dxa"/>
            <w:vAlign w:val="center"/>
          </w:tcPr>
          <w:p w14:paraId="119E37D3" w14:textId="77777777" w:rsidR="00E26CCC" w:rsidRPr="00FA68AD" w:rsidRDefault="68AF5C58" w:rsidP="00A5414B">
            <w:pPr>
              <w:jc w:val="both"/>
              <w:rPr>
                <w:rFonts w:ascii="Arial" w:eastAsia="Arial Narrow,Arial" w:hAnsi="Arial" w:cs="Arial"/>
                <w:b/>
                <w:bCs/>
                <w:lang w:val="es-CO"/>
              </w:rPr>
            </w:pPr>
            <w:r w:rsidRPr="00FA68AD">
              <w:rPr>
                <w:rFonts w:ascii="Arial" w:eastAsia="Arial Narrow" w:hAnsi="Arial" w:cs="Arial"/>
                <w:b/>
                <w:bCs/>
                <w:lang w:val="es-CO"/>
              </w:rPr>
              <w:t xml:space="preserve">Dependencia que desarrollará el proyecto de Norma </w:t>
            </w:r>
          </w:p>
        </w:tc>
        <w:tc>
          <w:tcPr>
            <w:tcW w:w="7371" w:type="dxa"/>
            <w:vAlign w:val="center"/>
          </w:tcPr>
          <w:p w14:paraId="7DD041E3" w14:textId="77777777" w:rsidR="00617BFD" w:rsidRPr="00FA68AD" w:rsidRDefault="00617BFD" w:rsidP="006C7AFC">
            <w:pPr>
              <w:jc w:val="both"/>
              <w:rPr>
                <w:rFonts w:ascii="Arial" w:eastAsia="Arial Narrow,Arial" w:hAnsi="Arial" w:cs="Arial"/>
                <w:b/>
                <w:lang w:val="es-CO"/>
              </w:rPr>
            </w:pPr>
          </w:p>
          <w:p w14:paraId="397C900F" w14:textId="77777777" w:rsidR="001504F3" w:rsidRPr="00FA68AD" w:rsidRDefault="003E46D6" w:rsidP="006C7AFC">
            <w:pPr>
              <w:jc w:val="both"/>
              <w:rPr>
                <w:rFonts w:ascii="Arial" w:eastAsia="Arial Narrow,Arial" w:hAnsi="Arial" w:cs="Arial"/>
                <w:b/>
                <w:lang w:val="es-CO"/>
              </w:rPr>
            </w:pPr>
            <w:r w:rsidRPr="00FA68AD">
              <w:rPr>
                <w:rFonts w:ascii="Arial" w:eastAsia="Arial Narrow,Arial" w:hAnsi="Arial" w:cs="Arial"/>
                <w:b/>
                <w:lang w:val="es-CO"/>
              </w:rPr>
              <w:t>DIRECCI</w:t>
            </w:r>
            <w:r w:rsidR="00617BFD" w:rsidRPr="00FA68AD">
              <w:rPr>
                <w:rFonts w:ascii="Arial" w:eastAsia="Arial Narrow,Arial" w:hAnsi="Arial" w:cs="Arial"/>
                <w:b/>
                <w:lang w:val="es-CO"/>
              </w:rPr>
              <w:t>Ó</w:t>
            </w:r>
            <w:r w:rsidRPr="00FA68AD">
              <w:rPr>
                <w:rFonts w:ascii="Arial" w:eastAsia="Arial Narrow,Arial" w:hAnsi="Arial" w:cs="Arial"/>
                <w:b/>
                <w:lang w:val="es-CO"/>
              </w:rPr>
              <w:t>N GENERAL – GRUPO DE COOPERACIÓN INTERNACIONAL</w:t>
            </w:r>
          </w:p>
        </w:tc>
      </w:tr>
      <w:tr w:rsidR="00E26CCC" w:rsidRPr="00E15E44" w14:paraId="58BCFE0D" w14:textId="77777777" w:rsidTr="003242E6">
        <w:tc>
          <w:tcPr>
            <w:tcW w:w="2665" w:type="dxa"/>
            <w:vAlign w:val="center"/>
          </w:tcPr>
          <w:p w14:paraId="36FC86D5" w14:textId="77777777" w:rsidR="00E26CCC" w:rsidRPr="00E15E44" w:rsidRDefault="68AF5C58" w:rsidP="68AF5C58">
            <w:pPr>
              <w:rPr>
                <w:rFonts w:ascii="Arial" w:eastAsia="Arial Narrow,Arial" w:hAnsi="Arial" w:cs="Arial"/>
                <w:bCs/>
                <w:lang w:val="es-CO"/>
              </w:rPr>
            </w:pPr>
            <w:r w:rsidRPr="00E15E44">
              <w:rPr>
                <w:rFonts w:ascii="Arial" w:eastAsia="Arial Narrow" w:hAnsi="Arial" w:cs="Arial"/>
                <w:bCs/>
                <w:lang w:val="es-CO"/>
              </w:rPr>
              <w:t>Proyecto de</w:t>
            </w:r>
            <w:r w:rsidRPr="00E15E44">
              <w:rPr>
                <w:rFonts w:ascii="Arial" w:eastAsia="Arial Narrow,Arial" w:hAnsi="Arial" w:cs="Arial"/>
                <w:bCs/>
                <w:lang w:val="es-CO"/>
              </w:rPr>
              <w:t xml:space="preserve"> </w:t>
            </w:r>
            <w:r w:rsidR="00355CD3" w:rsidRPr="00E15E44">
              <w:rPr>
                <w:rFonts w:ascii="Arial" w:eastAsia="Arial Narrow" w:hAnsi="Arial" w:cs="Arial"/>
                <w:bCs/>
                <w:lang w:val="es-CO"/>
              </w:rPr>
              <w:t>Resolución</w:t>
            </w:r>
            <w:r w:rsidRPr="00E15E44">
              <w:rPr>
                <w:rFonts w:ascii="Arial" w:eastAsia="Arial Narrow,Arial" w:hAnsi="Arial" w:cs="Arial"/>
                <w:bCs/>
                <w:lang w:val="es-CO"/>
              </w:rPr>
              <w:t xml:space="preserve">: </w:t>
            </w:r>
          </w:p>
        </w:tc>
        <w:tc>
          <w:tcPr>
            <w:tcW w:w="7371" w:type="dxa"/>
            <w:vAlign w:val="center"/>
          </w:tcPr>
          <w:p w14:paraId="10CD5C71" w14:textId="77777777" w:rsidR="009170DA" w:rsidRDefault="009170DA" w:rsidP="68AF5C58">
            <w:pPr>
              <w:pStyle w:val="Style-2"/>
              <w:jc w:val="both"/>
              <w:rPr>
                <w:rFonts w:ascii="Arial" w:eastAsia="Arial Narrow" w:hAnsi="Arial" w:cs="Arial"/>
                <w:lang w:val="es-CO"/>
              </w:rPr>
            </w:pPr>
          </w:p>
          <w:p w14:paraId="31602455" w14:textId="77777777" w:rsidR="003E46D6" w:rsidRPr="003E46D6" w:rsidRDefault="003E46D6" w:rsidP="003E46D6">
            <w:pPr>
              <w:pStyle w:val="Encabezado"/>
              <w:jc w:val="center"/>
              <w:rPr>
                <w:rFonts w:ascii="Arial" w:hAnsi="Arial" w:cs="Arial"/>
                <w:i/>
                <w:lang w:val="es-CO"/>
              </w:rPr>
            </w:pPr>
            <w:r w:rsidRPr="003E46D6">
              <w:rPr>
                <w:rFonts w:ascii="Arial" w:hAnsi="Arial" w:cs="Arial"/>
                <w:lang w:val="es-CO"/>
              </w:rPr>
              <w:t>Por medio de la cual se realiza una modificación a</w:t>
            </w:r>
            <w:r w:rsidR="00770733">
              <w:rPr>
                <w:rFonts w:ascii="Arial" w:hAnsi="Arial" w:cs="Arial"/>
                <w:lang w:val="es-CO"/>
              </w:rPr>
              <w:t xml:space="preserve">l artículo segundo </w:t>
            </w:r>
            <w:r w:rsidR="00963F74">
              <w:rPr>
                <w:rFonts w:ascii="Arial" w:hAnsi="Arial" w:cs="Arial"/>
                <w:lang w:val="es-CO"/>
              </w:rPr>
              <w:t>(2º )</w:t>
            </w:r>
            <w:r w:rsidR="00770733">
              <w:rPr>
                <w:rFonts w:ascii="Arial" w:hAnsi="Arial" w:cs="Arial"/>
                <w:lang w:val="es-CO"/>
              </w:rPr>
              <w:t>de</w:t>
            </w:r>
            <w:r w:rsidRPr="003E46D6">
              <w:rPr>
                <w:rFonts w:ascii="Arial" w:hAnsi="Arial" w:cs="Arial"/>
                <w:lang w:val="es-CO"/>
              </w:rPr>
              <w:t xml:space="preserve"> la Resolución No. 06420 del 1 de noviembre de 2018 </w:t>
            </w:r>
            <w:r w:rsidRPr="003E46D6">
              <w:rPr>
                <w:rFonts w:ascii="Arial" w:hAnsi="Arial" w:cs="Arial"/>
                <w:i/>
                <w:lang w:val="es-CO"/>
              </w:rPr>
              <w:t>“Por la cual se establecen los Grupo Internos de Trabajo de la Unidad para la Atención y Reparación Integral a las Víctimas, su denominación y funciones, se hacen modificaciones, derogatorias y se dictan otras disposiciones”</w:t>
            </w:r>
          </w:p>
          <w:p w14:paraId="505E9D15" w14:textId="77777777" w:rsidR="009170DA" w:rsidRPr="00385339" w:rsidRDefault="009170DA" w:rsidP="003E46D6">
            <w:pPr>
              <w:pStyle w:val="Style-2"/>
              <w:jc w:val="both"/>
              <w:rPr>
                <w:rFonts w:ascii="Arial" w:eastAsia="Arial Narrow" w:hAnsi="Arial" w:cs="Arial"/>
                <w:lang w:val="es-CO"/>
              </w:rPr>
            </w:pPr>
          </w:p>
        </w:tc>
      </w:tr>
    </w:tbl>
    <w:p w14:paraId="656B273D" w14:textId="77777777" w:rsidR="00B05975" w:rsidRPr="00E15E44" w:rsidRDefault="00B05975" w:rsidP="00ED70D8">
      <w:pPr>
        <w:jc w:val="both"/>
        <w:rPr>
          <w:rFonts w:ascii="Arial" w:hAnsi="Arial"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8334"/>
      </w:tblGrid>
      <w:tr w:rsidR="001F7812" w:rsidRPr="00E15E44" w14:paraId="7B5991FE" w14:textId="77777777" w:rsidTr="00630871">
        <w:tc>
          <w:tcPr>
            <w:tcW w:w="751" w:type="pct"/>
            <w:tcBorders>
              <w:right w:val="single" w:sz="4" w:space="0" w:color="auto"/>
            </w:tcBorders>
            <w:vAlign w:val="center"/>
          </w:tcPr>
          <w:p w14:paraId="5ACD4C4A" w14:textId="77777777" w:rsidR="006D213E" w:rsidRPr="00E15E44" w:rsidRDefault="68AF5C58" w:rsidP="68AF5C58">
            <w:pPr>
              <w:rPr>
                <w:rFonts w:ascii="Arial" w:eastAsia="Arial Narrow,Arial" w:hAnsi="Arial" w:cs="Arial"/>
                <w:bCs/>
                <w:lang w:val="es-CO"/>
              </w:rPr>
            </w:pPr>
            <w:r w:rsidRPr="00E15E44">
              <w:rPr>
                <w:rFonts w:ascii="Arial" w:eastAsia="Arial Narrow" w:hAnsi="Arial" w:cs="Arial"/>
                <w:bCs/>
                <w:lang w:val="es-CO"/>
              </w:rPr>
              <w:t>1. Los antecedentes y las razones de oportunidad y conveniencia que justifican su expedición.</w:t>
            </w:r>
          </w:p>
          <w:p w14:paraId="10F499C3" w14:textId="77777777" w:rsidR="006D213E" w:rsidRPr="00E15E44" w:rsidRDefault="006D213E" w:rsidP="00ED70D8">
            <w:pPr>
              <w:jc w:val="both"/>
              <w:rPr>
                <w:rFonts w:ascii="Arial" w:hAnsi="Arial" w:cs="Arial"/>
                <w:lang w:val="es-CO"/>
              </w:rPr>
            </w:pPr>
          </w:p>
        </w:tc>
        <w:tc>
          <w:tcPr>
            <w:tcW w:w="4249" w:type="pct"/>
            <w:tcBorders>
              <w:top w:val="single" w:sz="4" w:space="0" w:color="auto"/>
              <w:left w:val="single" w:sz="4" w:space="0" w:color="auto"/>
              <w:bottom w:val="single" w:sz="4" w:space="0" w:color="auto"/>
              <w:right w:val="single" w:sz="4" w:space="0" w:color="auto"/>
            </w:tcBorders>
            <w:vAlign w:val="center"/>
          </w:tcPr>
          <w:p w14:paraId="12BB9061" w14:textId="77777777" w:rsidR="00442D45" w:rsidRDefault="00442D45" w:rsidP="003E46D6">
            <w:pPr>
              <w:jc w:val="both"/>
              <w:rPr>
                <w:rFonts w:ascii="Arial" w:hAnsi="Arial" w:cs="Arial"/>
                <w:szCs w:val="22"/>
                <w:lang w:val="es-CO"/>
              </w:rPr>
            </w:pPr>
          </w:p>
          <w:p w14:paraId="409E981A" w14:textId="77777777" w:rsidR="002374CA" w:rsidRPr="002374CA" w:rsidRDefault="00442D45" w:rsidP="002374CA">
            <w:pPr>
              <w:jc w:val="both"/>
              <w:rPr>
                <w:rFonts w:ascii="Arial" w:hAnsi="Arial" w:cs="Arial"/>
              </w:rPr>
            </w:pPr>
            <w:r w:rsidRPr="002374CA">
              <w:rPr>
                <w:rFonts w:ascii="Arial" w:hAnsi="Arial" w:cs="Arial"/>
                <w:lang w:val="es-CO"/>
              </w:rPr>
              <w:t>Con</w:t>
            </w:r>
            <w:r w:rsidRPr="002374CA">
              <w:rPr>
                <w:rFonts w:ascii="Arial" w:hAnsi="Arial" w:cs="Arial"/>
              </w:rPr>
              <w:t xml:space="preserve"> la </w:t>
            </w:r>
            <w:r w:rsidR="00B52897" w:rsidRPr="002374CA">
              <w:rPr>
                <w:rFonts w:ascii="Arial" w:hAnsi="Arial" w:cs="Arial"/>
              </w:rPr>
              <w:t xml:space="preserve">expedición de la Resolución </w:t>
            </w:r>
            <w:r w:rsidR="003E46D6" w:rsidRPr="002374CA">
              <w:rPr>
                <w:rFonts w:ascii="Arial" w:hAnsi="Arial" w:cs="Arial"/>
              </w:rPr>
              <w:t xml:space="preserve">No. </w:t>
            </w:r>
            <w:r w:rsidR="00B52897" w:rsidRPr="002374CA">
              <w:rPr>
                <w:rFonts w:ascii="Arial" w:hAnsi="Arial" w:cs="Arial"/>
              </w:rPr>
              <w:t>06420 de</w:t>
            </w:r>
            <w:r w:rsidR="003E46D6" w:rsidRPr="002374CA">
              <w:rPr>
                <w:rFonts w:ascii="Arial" w:hAnsi="Arial" w:cs="Arial"/>
              </w:rPr>
              <w:t xml:space="preserve"> </w:t>
            </w:r>
            <w:r w:rsidR="00B52897" w:rsidRPr="002374CA">
              <w:rPr>
                <w:rFonts w:ascii="Arial" w:hAnsi="Arial" w:cs="Arial"/>
              </w:rPr>
              <w:t xml:space="preserve"> 2018</w:t>
            </w:r>
            <w:r w:rsidR="003E46D6" w:rsidRPr="002374CA">
              <w:rPr>
                <w:rFonts w:ascii="Arial" w:hAnsi="Arial" w:cs="Arial"/>
              </w:rPr>
              <w:t>,</w:t>
            </w:r>
            <w:r w:rsidR="00B52897" w:rsidRPr="002374CA">
              <w:rPr>
                <w:rFonts w:ascii="Arial" w:hAnsi="Arial" w:cs="Arial"/>
              </w:rPr>
              <w:t xml:space="preserve"> por medio de la cual se define la nueva estructura de la Unidad</w:t>
            </w:r>
            <w:r w:rsidR="00113403" w:rsidRPr="002374CA">
              <w:rPr>
                <w:rFonts w:ascii="Arial" w:hAnsi="Arial" w:cs="Arial"/>
              </w:rPr>
              <w:t xml:space="preserve">, </w:t>
            </w:r>
            <w:r w:rsidRPr="002374CA">
              <w:rPr>
                <w:rFonts w:ascii="Arial" w:hAnsi="Arial" w:cs="Arial"/>
              </w:rPr>
              <w:t xml:space="preserve">se </w:t>
            </w:r>
            <w:r w:rsidR="003E46D6" w:rsidRPr="002374CA">
              <w:rPr>
                <w:rFonts w:ascii="Arial" w:hAnsi="Arial" w:cs="Arial"/>
              </w:rPr>
              <w:t>crea el Grupo de Cooperación Internacional</w:t>
            </w:r>
            <w:r w:rsidRPr="002374CA">
              <w:rPr>
                <w:rFonts w:ascii="Arial" w:hAnsi="Arial" w:cs="Arial"/>
              </w:rPr>
              <w:t xml:space="preserve"> adscrito a la Dirección General </w:t>
            </w:r>
            <w:r w:rsidR="002374CA" w:rsidRPr="002374CA">
              <w:rPr>
                <w:rFonts w:ascii="Arial" w:hAnsi="Arial" w:cs="Arial"/>
              </w:rPr>
              <w:t>y en desarrollo</w:t>
            </w:r>
            <w:r w:rsidRPr="002374CA">
              <w:rPr>
                <w:rFonts w:ascii="Arial" w:hAnsi="Arial" w:cs="Arial"/>
              </w:rPr>
              <w:t xml:space="preserve"> de las actividades que realiza, </w:t>
            </w:r>
            <w:r w:rsidR="00AC6026">
              <w:rPr>
                <w:rFonts w:ascii="Arial" w:hAnsi="Arial" w:cs="Arial"/>
              </w:rPr>
              <w:t>se</w:t>
            </w:r>
            <w:r w:rsidRPr="002374CA">
              <w:rPr>
                <w:rFonts w:ascii="Arial" w:hAnsi="Arial" w:cs="Arial"/>
              </w:rPr>
              <w:t xml:space="preserve"> </w:t>
            </w:r>
            <w:r w:rsidR="00AC6026">
              <w:rPr>
                <w:rFonts w:ascii="Arial" w:hAnsi="Arial" w:cs="Arial"/>
              </w:rPr>
              <w:t>debe</w:t>
            </w:r>
            <w:r w:rsidRPr="002374CA">
              <w:rPr>
                <w:rFonts w:ascii="Arial" w:hAnsi="Arial" w:cs="Arial"/>
              </w:rPr>
              <w:t xml:space="preserve"> actualizar y desarrollar una estrategia de cooperación que recoja </w:t>
            </w:r>
            <w:r w:rsidR="002374CA" w:rsidRPr="002374CA">
              <w:rPr>
                <w:rFonts w:ascii="Arial" w:hAnsi="Arial" w:cs="Arial"/>
              </w:rPr>
              <w:t xml:space="preserve">los lineamientos técnicos y jurídicos establecidos por la </w:t>
            </w:r>
            <w:r w:rsidR="003E46D6" w:rsidRPr="002374CA">
              <w:rPr>
                <w:rFonts w:ascii="Arial" w:hAnsi="Arial" w:cs="Arial"/>
              </w:rPr>
              <w:t xml:space="preserve">APC COLOMBIA, </w:t>
            </w:r>
            <w:r w:rsidR="002374CA" w:rsidRPr="002374CA">
              <w:rPr>
                <w:rFonts w:ascii="Arial" w:hAnsi="Arial" w:cs="Arial"/>
              </w:rPr>
              <w:t>para trabajar con los actores del sistema de cooperación internacional: Oficiales y No Oficiales (Sector Social-Sector Privado), y lograr de este modo, una gestión articulada, eficiente y eficaz al interior de la entidad de acuerdo con las necesi</w:t>
            </w:r>
            <w:r w:rsidR="002374CA">
              <w:rPr>
                <w:rFonts w:ascii="Arial" w:hAnsi="Arial" w:cs="Arial"/>
              </w:rPr>
              <w:t xml:space="preserve">dades de las áreas misionales </w:t>
            </w:r>
            <w:r w:rsidR="002374CA" w:rsidRPr="002374CA">
              <w:rPr>
                <w:rFonts w:ascii="Arial" w:hAnsi="Arial" w:cs="Arial"/>
              </w:rPr>
              <w:t xml:space="preserve">que apoye la implementación de la política pública de víctimas. </w:t>
            </w:r>
          </w:p>
          <w:p w14:paraId="1F3E067F" w14:textId="77777777" w:rsidR="003E46D6" w:rsidRPr="00706718" w:rsidRDefault="003E46D6" w:rsidP="003E46D6">
            <w:pPr>
              <w:jc w:val="both"/>
              <w:rPr>
                <w:rFonts w:ascii="Arial" w:hAnsi="Arial" w:cs="Arial"/>
                <w:sz w:val="24"/>
                <w:szCs w:val="24"/>
              </w:rPr>
            </w:pPr>
          </w:p>
          <w:p w14:paraId="298C02F1" w14:textId="77777777" w:rsidR="009170DA" w:rsidRPr="00516D7F" w:rsidRDefault="009170DA" w:rsidP="00442D45">
            <w:pPr>
              <w:jc w:val="both"/>
              <w:rPr>
                <w:rFonts w:ascii="Arial" w:hAnsi="Arial" w:cs="Arial"/>
                <w:szCs w:val="22"/>
              </w:rPr>
            </w:pPr>
          </w:p>
        </w:tc>
      </w:tr>
      <w:tr w:rsidR="001F7812" w:rsidRPr="00755E9E" w14:paraId="0454F1AB" w14:textId="77777777" w:rsidTr="00630871">
        <w:tc>
          <w:tcPr>
            <w:tcW w:w="751" w:type="pct"/>
            <w:vAlign w:val="center"/>
          </w:tcPr>
          <w:p w14:paraId="3642B130" w14:textId="77777777" w:rsidR="006D213E" w:rsidRPr="00C9182A" w:rsidRDefault="68AF5C58" w:rsidP="68AF5C58">
            <w:pPr>
              <w:rPr>
                <w:rFonts w:ascii="Arial" w:eastAsia="Arial Narrow,Arial" w:hAnsi="Arial" w:cs="Arial"/>
                <w:bCs/>
                <w:lang w:val="es-CO"/>
              </w:rPr>
            </w:pPr>
            <w:r w:rsidRPr="00C9182A">
              <w:rPr>
                <w:rFonts w:ascii="Arial" w:eastAsia="Arial Narrow" w:hAnsi="Arial" w:cs="Arial"/>
                <w:bCs/>
                <w:lang w:val="es-CO"/>
              </w:rPr>
              <w:t>2. El ámbito de aplicación del respectivo acto y los sujetos a quienes va dirigido</w:t>
            </w:r>
          </w:p>
        </w:tc>
        <w:tc>
          <w:tcPr>
            <w:tcW w:w="4249" w:type="pct"/>
            <w:vAlign w:val="center"/>
          </w:tcPr>
          <w:p w14:paraId="37945847" w14:textId="77777777" w:rsidR="009170DA" w:rsidRPr="00C9182A" w:rsidRDefault="009170DA" w:rsidP="00722F1C">
            <w:pPr>
              <w:spacing w:line="276" w:lineRule="auto"/>
              <w:jc w:val="both"/>
              <w:rPr>
                <w:rFonts w:ascii="Arial" w:hAnsi="Arial" w:cs="Arial"/>
              </w:rPr>
            </w:pPr>
          </w:p>
          <w:p w14:paraId="510B6D77" w14:textId="77777777" w:rsidR="00C9182A" w:rsidRPr="00C9182A" w:rsidRDefault="00C9182A" w:rsidP="00C9182A">
            <w:pPr>
              <w:jc w:val="both"/>
              <w:rPr>
                <w:rFonts w:ascii="Arial" w:hAnsi="Arial" w:cs="Arial"/>
              </w:rPr>
            </w:pPr>
            <w:r w:rsidRPr="00C9182A">
              <w:rPr>
                <w:rFonts w:ascii="Arial" w:hAnsi="Arial" w:cs="Arial"/>
              </w:rPr>
              <w:t>En aras de consolidar la estrategia de cooperación de la entidad en el marco de los lineamientos de Cooperación Internacional para el Sector Privado expedido la APC COLOMBIA y la Fundación ANDI,  para la gestión de alianzas estratégicas que desarrolla la Unidad para la Atención y Reparación Integral a las Víctimas , y en tanto que, la función de promover dichas alianzas se encuentra en cabeza de la Dirección General, se hace necesario modificar el artículo 2º de la Resolución No. 06420 del 1 de noviembre de 2018;</w:t>
            </w:r>
          </w:p>
          <w:p w14:paraId="3E73479F" w14:textId="3A62C9F9" w:rsidR="00C9182A" w:rsidRPr="00C9182A" w:rsidRDefault="00C9182A" w:rsidP="00C9182A">
            <w:pPr>
              <w:jc w:val="both"/>
              <w:rPr>
                <w:rFonts w:ascii="Arial" w:hAnsi="Arial" w:cs="Arial"/>
              </w:rPr>
            </w:pPr>
            <w:r w:rsidRPr="00C9182A">
              <w:rPr>
                <w:rFonts w:ascii="Arial" w:hAnsi="Arial" w:cs="Arial"/>
              </w:rPr>
              <w:t xml:space="preserve">ajustando el objetivo del Grupo de Cooperación Internacional; para transversalizar al interior de la </w:t>
            </w:r>
            <w:r w:rsidR="00963F74">
              <w:rPr>
                <w:rFonts w:ascii="Arial" w:hAnsi="Arial" w:cs="Arial"/>
              </w:rPr>
              <w:t>E</w:t>
            </w:r>
            <w:r w:rsidRPr="00C9182A">
              <w:rPr>
                <w:rFonts w:ascii="Arial" w:hAnsi="Arial" w:cs="Arial"/>
              </w:rPr>
              <w:t>ntidad dicha estrategia de cooperación internacional e incluir la función de gestionar las alianzas estratégicas, en cabeza del Grupo de Cooperación Internacional, adscrito a la Dirección General, así como</w:t>
            </w:r>
            <w:r>
              <w:rPr>
                <w:rFonts w:ascii="Arial" w:hAnsi="Arial" w:cs="Arial"/>
              </w:rPr>
              <w:t>,</w:t>
            </w:r>
            <w:r w:rsidRPr="00C9182A">
              <w:rPr>
                <w:rFonts w:ascii="Arial" w:hAnsi="Arial" w:cs="Arial"/>
              </w:rPr>
              <w:t xml:space="preserve"> la de asesorar </w:t>
            </w:r>
            <w:r w:rsidR="00AC6026">
              <w:rPr>
                <w:rFonts w:ascii="Arial" w:hAnsi="Arial" w:cs="Arial"/>
              </w:rPr>
              <w:t xml:space="preserve">en </w:t>
            </w:r>
            <w:r w:rsidRPr="00C9182A">
              <w:rPr>
                <w:rFonts w:ascii="Arial" w:hAnsi="Arial" w:cs="Arial"/>
              </w:rPr>
              <w:t xml:space="preserve">estos asuntos a las diferentes áreas de la entidad de acuerdo con los Lineamientos de Cooperación Internacional para el Sector Privado expedido la APC COLOMBIA y la Fundación ANDI. </w:t>
            </w:r>
          </w:p>
          <w:p w14:paraId="678F6CFC" w14:textId="77777777" w:rsidR="009170DA" w:rsidRPr="00C9182A" w:rsidRDefault="009170DA" w:rsidP="00C9182A">
            <w:pPr>
              <w:spacing w:line="276" w:lineRule="auto"/>
              <w:jc w:val="both"/>
              <w:rPr>
                <w:rFonts w:ascii="Arial" w:hAnsi="Arial" w:cs="Arial"/>
              </w:rPr>
            </w:pPr>
          </w:p>
        </w:tc>
      </w:tr>
      <w:tr w:rsidR="001F7812" w:rsidRPr="00AD4056" w14:paraId="35449758" w14:textId="77777777" w:rsidTr="00630871">
        <w:trPr>
          <w:trHeight w:val="942"/>
        </w:trPr>
        <w:tc>
          <w:tcPr>
            <w:tcW w:w="751" w:type="pct"/>
            <w:shd w:val="clear" w:color="auto" w:fill="auto"/>
            <w:vAlign w:val="center"/>
          </w:tcPr>
          <w:p w14:paraId="49C7D2BC" w14:textId="77777777" w:rsidR="006D213E" w:rsidRPr="00CF0C88" w:rsidRDefault="68AF5C58" w:rsidP="68AF5C58">
            <w:pPr>
              <w:rPr>
                <w:rFonts w:ascii="Arial" w:eastAsia="Arial Narrow,Arial" w:hAnsi="Arial" w:cs="Arial"/>
                <w:bCs/>
                <w:color w:val="000000" w:themeColor="text1"/>
                <w:lang w:val="es-CO"/>
              </w:rPr>
            </w:pPr>
            <w:r w:rsidRPr="00CF0C88">
              <w:rPr>
                <w:rFonts w:ascii="Arial" w:eastAsia="Arial Narrow" w:hAnsi="Arial" w:cs="Arial"/>
                <w:bCs/>
                <w:color w:val="000000" w:themeColor="text1"/>
                <w:lang w:val="es-CO"/>
              </w:rPr>
              <w:t xml:space="preserve">3. La viabilidad jurídica, que deberá contar con el visto bueno de la oficina jurídica de la entidad o la dependencia que haga sus veces </w:t>
            </w:r>
          </w:p>
        </w:tc>
        <w:tc>
          <w:tcPr>
            <w:tcW w:w="4249" w:type="pct"/>
            <w:vAlign w:val="center"/>
          </w:tcPr>
          <w:p w14:paraId="509E1329" w14:textId="77777777" w:rsidR="00392448" w:rsidRDefault="00392448" w:rsidP="00392448">
            <w:pPr>
              <w:jc w:val="both"/>
              <w:rPr>
                <w:rFonts w:ascii="Arial" w:eastAsia="Arial Narrow" w:hAnsi="Arial" w:cs="Arial"/>
                <w:bCs/>
                <w:lang w:val="es-CO"/>
              </w:rPr>
            </w:pPr>
            <w:r w:rsidRPr="00CF0C88">
              <w:rPr>
                <w:rFonts w:ascii="Arial" w:eastAsia="Arial Narrow" w:hAnsi="Arial" w:cs="Arial"/>
                <w:bCs/>
                <w:lang w:val="es-CO"/>
              </w:rPr>
              <w:t xml:space="preserve">Las normas que otorgan la competencia para la expedición del correspondiente acto: </w:t>
            </w:r>
          </w:p>
          <w:p w14:paraId="5B51F1B9" w14:textId="77777777" w:rsidR="00392448" w:rsidRDefault="00392448" w:rsidP="00392448">
            <w:pPr>
              <w:jc w:val="both"/>
              <w:rPr>
                <w:rFonts w:ascii="Arial" w:hAnsi="Arial" w:cs="Arial"/>
              </w:rPr>
            </w:pPr>
          </w:p>
          <w:p w14:paraId="71B31A46" w14:textId="77777777" w:rsidR="00392448" w:rsidRDefault="00392448" w:rsidP="00392448">
            <w:pPr>
              <w:jc w:val="both"/>
              <w:rPr>
                <w:rFonts w:ascii="Arial" w:hAnsi="Arial" w:cs="Arial"/>
              </w:rPr>
            </w:pPr>
            <w:r>
              <w:rPr>
                <w:rFonts w:ascii="Arial" w:hAnsi="Arial" w:cs="Arial"/>
              </w:rPr>
              <w:t>Constitución Política de Colombia</w:t>
            </w:r>
          </w:p>
          <w:p w14:paraId="7F03E7FC" w14:textId="77777777" w:rsidR="00392448" w:rsidRDefault="00392448" w:rsidP="00392448">
            <w:pPr>
              <w:jc w:val="both"/>
              <w:rPr>
                <w:rFonts w:ascii="Arial" w:hAnsi="Arial" w:cs="Arial"/>
              </w:rPr>
            </w:pPr>
            <w:r>
              <w:rPr>
                <w:rFonts w:ascii="Arial" w:hAnsi="Arial" w:cs="Arial"/>
              </w:rPr>
              <w:t>Ley 1448 de 2011</w:t>
            </w:r>
          </w:p>
          <w:p w14:paraId="53E7B8CA" w14:textId="77777777" w:rsidR="00392448" w:rsidRDefault="00392448" w:rsidP="00392448">
            <w:pPr>
              <w:jc w:val="both"/>
              <w:rPr>
                <w:rFonts w:ascii="Arial" w:hAnsi="Arial" w:cs="Arial"/>
              </w:rPr>
            </w:pPr>
            <w:r>
              <w:rPr>
                <w:rFonts w:ascii="Arial" w:hAnsi="Arial" w:cs="Arial"/>
              </w:rPr>
              <w:t xml:space="preserve">Ley </w:t>
            </w:r>
            <w:r w:rsidRPr="005B71D5">
              <w:rPr>
                <w:rFonts w:ascii="Arial" w:hAnsi="Arial" w:cs="Arial"/>
              </w:rPr>
              <w:t>1437 de 2011</w:t>
            </w:r>
          </w:p>
          <w:p w14:paraId="7BA8FC2A" w14:textId="77777777" w:rsidR="00392448" w:rsidRDefault="00392448" w:rsidP="00392448">
            <w:pPr>
              <w:jc w:val="both"/>
              <w:rPr>
                <w:rFonts w:ascii="Arial" w:hAnsi="Arial" w:cs="Arial"/>
              </w:rPr>
            </w:pPr>
            <w:r>
              <w:rPr>
                <w:rFonts w:ascii="Arial" w:hAnsi="Arial" w:cs="Arial"/>
              </w:rPr>
              <w:t>Decreto 4802 de 2011</w:t>
            </w:r>
          </w:p>
          <w:p w14:paraId="2AB20A6A" w14:textId="77777777" w:rsidR="00392448" w:rsidRPr="00CF0C88" w:rsidRDefault="00392448" w:rsidP="00392448">
            <w:pPr>
              <w:jc w:val="both"/>
              <w:rPr>
                <w:rFonts w:ascii="Arial" w:eastAsia="Arial Narrow,Calibri" w:hAnsi="Arial" w:cs="Arial"/>
                <w:color w:val="000000" w:themeColor="text1"/>
                <w:lang w:eastAsia="en-US"/>
              </w:rPr>
            </w:pPr>
          </w:p>
          <w:p w14:paraId="3AA1A102" w14:textId="77777777" w:rsidR="00392448" w:rsidRDefault="00392448" w:rsidP="00392448">
            <w:pPr>
              <w:ind w:right="5"/>
              <w:jc w:val="both"/>
              <w:rPr>
                <w:rFonts w:ascii="Arial" w:eastAsia="Arial Narrow" w:hAnsi="Arial" w:cs="Arial"/>
                <w:bCs/>
                <w:lang w:val="es-CO"/>
              </w:rPr>
            </w:pPr>
            <w:r w:rsidRPr="00CF0C88">
              <w:rPr>
                <w:rFonts w:ascii="Arial" w:eastAsia="Arial Narrow" w:hAnsi="Arial" w:cs="Arial"/>
                <w:bCs/>
                <w:lang w:val="es-CO"/>
              </w:rPr>
              <w:t xml:space="preserve">3.3 Las disposiciones derogadas, subrogadas, modificadas, adicionadas o sustituidas: </w:t>
            </w:r>
          </w:p>
          <w:p w14:paraId="65AA95ED" w14:textId="77777777" w:rsidR="00392448" w:rsidRDefault="00392448" w:rsidP="00392448">
            <w:pPr>
              <w:ind w:right="5"/>
              <w:jc w:val="both"/>
              <w:rPr>
                <w:rFonts w:ascii="Arial" w:eastAsia="Arial Narrow" w:hAnsi="Arial" w:cs="Arial"/>
                <w:bCs/>
              </w:rPr>
            </w:pPr>
          </w:p>
          <w:p w14:paraId="5C469AE2" w14:textId="6F7C9D22" w:rsidR="00392448" w:rsidRPr="004364BC" w:rsidRDefault="00392448" w:rsidP="00392448">
            <w:pPr>
              <w:ind w:right="5"/>
              <w:jc w:val="both"/>
              <w:rPr>
                <w:rFonts w:ascii="Arial" w:eastAsia="Arial Narrow" w:hAnsi="Arial" w:cs="Arial"/>
                <w:bCs/>
              </w:rPr>
            </w:pPr>
            <w:r>
              <w:rPr>
                <w:rFonts w:ascii="Arial" w:eastAsia="Arial Narrow" w:hAnsi="Arial" w:cs="Arial"/>
                <w:bCs/>
              </w:rPr>
              <w:t xml:space="preserve">Resolución </w:t>
            </w:r>
            <w:r>
              <w:rPr>
                <w:rFonts w:ascii="Arial" w:eastAsia="Arial Narrow" w:hAnsi="Arial" w:cs="Arial"/>
                <w:bCs/>
              </w:rPr>
              <w:t>6420 de 2018</w:t>
            </w:r>
          </w:p>
          <w:p w14:paraId="1BB0BEA0" w14:textId="77777777" w:rsidR="00392448" w:rsidRPr="00CF0C88" w:rsidRDefault="00392448" w:rsidP="00392448">
            <w:pPr>
              <w:ind w:right="539"/>
              <w:jc w:val="both"/>
              <w:rPr>
                <w:rFonts w:ascii="Arial" w:eastAsia="Arial Narrow" w:hAnsi="Arial" w:cs="Arial"/>
              </w:rPr>
            </w:pPr>
          </w:p>
          <w:p w14:paraId="43F7354B" w14:textId="77777777" w:rsidR="00392448" w:rsidRDefault="00392448" w:rsidP="00392448">
            <w:pPr>
              <w:spacing w:line="254" w:lineRule="atLeast"/>
              <w:jc w:val="both"/>
              <w:rPr>
                <w:rFonts w:ascii="Arial" w:hAnsi="Arial" w:cs="Arial"/>
                <w:color w:val="000000"/>
                <w:lang w:val="es-CO" w:eastAsia="es-CO"/>
              </w:rPr>
            </w:pPr>
          </w:p>
          <w:p w14:paraId="56813113" w14:textId="62484D60" w:rsidR="00806DF8" w:rsidRPr="00516D7F" w:rsidRDefault="00392448" w:rsidP="00D576C2">
            <w:pPr>
              <w:pStyle w:val="Prrafodelista"/>
              <w:numPr>
                <w:ilvl w:val="0"/>
                <w:numId w:val="40"/>
              </w:numPr>
              <w:jc w:val="both"/>
              <w:rPr>
                <w:rFonts w:ascii="Arial" w:hAnsi="Arial" w:cs="Arial"/>
                <w:sz w:val="20"/>
              </w:rPr>
            </w:pPr>
            <w:r w:rsidRPr="00CF0C88">
              <w:rPr>
                <w:rFonts w:ascii="Arial" w:hAnsi="Arial" w:cs="Arial"/>
                <w:color w:val="000000"/>
                <w:lang w:eastAsia="es-CO"/>
              </w:rPr>
              <w:lastRenderedPageBreak/>
              <w:t>3</w:t>
            </w:r>
            <w:r w:rsidRPr="00CD0272">
              <w:rPr>
                <w:rFonts w:ascii="Arial" w:hAnsi="Arial" w:cs="Arial"/>
                <w:color w:val="000000"/>
                <w:sz w:val="20"/>
                <w:szCs w:val="20"/>
                <w:lang w:eastAsia="es-CO"/>
              </w:rPr>
              <w:t>.5 Se advierte que se debe publicar de conformidad con el artículo 65 de la Ley 1437 de 2011.</w:t>
            </w:r>
          </w:p>
        </w:tc>
      </w:tr>
      <w:tr w:rsidR="001F7812" w:rsidRPr="00AD4056" w14:paraId="24D0DA2F" w14:textId="77777777" w:rsidTr="00630871">
        <w:trPr>
          <w:trHeight w:val="341"/>
        </w:trPr>
        <w:tc>
          <w:tcPr>
            <w:tcW w:w="751" w:type="pct"/>
            <w:shd w:val="clear" w:color="auto" w:fill="auto"/>
            <w:vAlign w:val="center"/>
          </w:tcPr>
          <w:p w14:paraId="236EE4F6" w14:textId="77777777" w:rsidR="006D213E" w:rsidRPr="00CF0C88" w:rsidRDefault="68AF5C58" w:rsidP="004236AF">
            <w:pPr>
              <w:rPr>
                <w:rFonts w:ascii="Arial" w:eastAsia="Arial Narrow,Arial" w:hAnsi="Arial" w:cs="Arial"/>
                <w:bCs/>
                <w:lang w:val="es-CO"/>
              </w:rPr>
            </w:pPr>
            <w:r w:rsidRPr="00CF0C88">
              <w:rPr>
                <w:rFonts w:ascii="Arial" w:eastAsia="Arial Narrow" w:hAnsi="Arial" w:cs="Arial"/>
                <w:bCs/>
                <w:lang w:val="es-CO"/>
              </w:rPr>
              <w:lastRenderedPageBreak/>
              <w:t>4. Impacto económico si fuere el caso</w:t>
            </w:r>
            <w:r w:rsidR="004236AF" w:rsidRPr="00CF0C88">
              <w:rPr>
                <w:rFonts w:ascii="Arial" w:eastAsia="Arial Narrow" w:hAnsi="Arial" w:cs="Arial"/>
                <w:bCs/>
                <w:lang w:val="es-CO"/>
              </w:rPr>
              <w:t>.</w:t>
            </w:r>
            <w:r w:rsidRPr="00CF0C88">
              <w:rPr>
                <w:rFonts w:ascii="Arial" w:eastAsia="Arial Narrow" w:hAnsi="Arial" w:cs="Arial"/>
                <w:bCs/>
                <w:lang w:val="es-CO"/>
              </w:rPr>
              <w:t xml:space="preserve"> </w:t>
            </w:r>
          </w:p>
        </w:tc>
        <w:tc>
          <w:tcPr>
            <w:tcW w:w="4249" w:type="pct"/>
            <w:vAlign w:val="center"/>
          </w:tcPr>
          <w:p w14:paraId="70526A9C" w14:textId="77777777" w:rsidR="00013CEC" w:rsidRPr="00516D7F" w:rsidRDefault="009170DA" w:rsidP="0001106D">
            <w:pPr>
              <w:jc w:val="both"/>
              <w:rPr>
                <w:rFonts w:ascii="Arial" w:hAnsi="Arial" w:cs="Arial"/>
                <w:szCs w:val="22"/>
              </w:rPr>
            </w:pPr>
            <w:r w:rsidRPr="00516D7F">
              <w:rPr>
                <w:rFonts w:ascii="Arial" w:hAnsi="Arial" w:cs="Arial"/>
                <w:szCs w:val="22"/>
              </w:rPr>
              <w:t>NA</w:t>
            </w:r>
          </w:p>
        </w:tc>
      </w:tr>
      <w:tr w:rsidR="001F7812" w:rsidRPr="00AD4056" w14:paraId="2DD2BC7F" w14:textId="77777777" w:rsidTr="00630871">
        <w:trPr>
          <w:trHeight w:val="170"/>
        </w:trPr>
        <w:tc>
          <w:tcPr>
            <w:tcW w:w="751" w:type="pct"/>
            <w:vAlign w:val="center"/>
          </w:tcPr>
          <w:p w14:paraId="7B4F0C1F"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 xml:space="preserve">5. Disponibilidad presupuestal </w:t>
            </w:r>
          </w:p>
        </w:tc>
        <w:tc>
          <w:tcPr>
            <w:tcW w:w="4249" w:type="pct"/>
            <w:vAlign w:val="center"/>
          </w:tcPr>
          <w:p w14:paraId="2290F34E" w14:textId="77777777" w:rsidR="00673B22" w:rsidRPr="00516D7F" w:rsidRDefault="009170DA" w:rsidP="0046357D">
            <w:pPr>
              <w:jc w:val="both"/>
              <w:rPr>
                <w:rFonts w:ascii="Arial" w:hAnsi="Arial" w:cs="Arial"/>
                <w:szCs w:val="22"/>
              </w:rPr>
            </w:pPr>
            <w:r w:rsidRPr="00516D7F">
              <w:rPr>
                <w:rFonts w:ascii="Arial" w:hAnsi="Arial" w:cs="Arial"/>
                <w:szCs w:val="22"/>
              </w:rPr>
              <w:t>NA</w:t>
            </w:r>
          </w:p>
        </w:tc>
      </w:tr>
      <w:tr w:rsidR="001F7812" w:rsidRPr="00AD4056" w14:paraId="64870183" w14:textId="77777777" w:rsidTr="00630871">
        <w:tc>
          <w:tcPr>
            <w:tcW w:w="751" w:type="pct"/>
            <w:vAlign w:val="center"/>
          </w:tcPr>
          <w:p w14:paraId="089620B8"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6. Impacto medioambiental o sobre el patrimonio cultural de la Nación.</w:t>
            </w:r>
          </w:p>
        </w:tc>
        <w:tc>
          <w:tcPr>
            <w:tcW w:w="4249" w:type="pct"/>
            <w:vAlign w:val="center"/>
          </w:tcPr>
          <w:p w14:paraId="0271D863" w14:textId="77777777" w:rsidR="006D213E" w:rsidRPr="00516D7F" w:rsidRDefault="009170DA" w:rsidP="008C2835">
            <w:pPr>
              <w:jc w:val="both"/>
              <w:rPr>
                <w:rFonts w:ascii="Arial" w:hAnsi="Arial" w:cs="Arial"/>
                <w:szCs w:val="22"/>
              </w:rPr>
            </w:pPr>
            <w:r w:rsidRPr="00516D7F">
              <w:rPr>
                <w:rFonts w:ascii="Arial" w:hAnsi="Arial" w:cs="Arial"/>
                <w:szCs w:val="22"/>
              </w:rPr>
              <w:t>NA</w:t>
            </w:r>
          </w:p>
        </w:tc>
      </w:tr>
      <w:tr w:rsidR="006D213E" w:rsidRPr="00AD4056" w14:paraId="48D2534F" w14:textId="77777777" w:rsidTr="00630871">
        <w:trPr>
          <w:trHeight w:val="680"/>
        </w:trPr>
        <w:tc>
          <w:tcPr>
            <w:tcW w:w="751" w:type="pct"/>
            <w:vAlign w:val="center"/>
          </w:tcPr>
          <w:p w14:paraId="2A51FD99"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 xml:space="preserve">7. El cumplimiento de los requisitos de consulta y publicidad </w:t>
            </w:r>
          </w:p>
        </w:tc>
        <w:tc>
          <w:tcPr>
            <w:tcW w:w="4249" w:type="pct"/>
            <w:shd w:val="clear" w:color="auto" w:fill="auto"/>
            <w:vAlign w:val="center"/>
          </w:tcPr>
          <w:p w14:paraId="267A9C7E" w14:textId="5D6DFC94" w:rsidR="002549F5" w:rsidRPr="00516D7F" w:rsidRDefault="009170DA" w:rsidP="00CD0272">
            <w:pPr>
              <w:jc w:val="both"/>
              <w:rPr>
                <w:rFonts w:ascii="Arial" w:hAnsi="Arial" w:cs="Arial"/>
                <w:szCs w:val="22"/>
              </w:rPr>
            </w:pPr>
            <w:r w:rsidRPr="00516D7F">
              <w:rPr>
                <w:rFonts w:ascii="Arial" w:hAnsi="Arial" w:cs="Arial"/>
                <w:szCs w:val="22"/>
              </w:rPr>
              <w:t>La presente resolución deberá p</w:t>
            </w:r>
            <w:r w:rsidR="00B52897" w:rsidRPr="00516D7F">
              <w:rPr>
                <w:rFonts w:ascii="Arial" w:hAnsi="Arial" w:cs="Arial"/>
                <w:szCs w:val="22"/>
              </w:rPr>
              <w:t>ublica</w:t>
            </w:r>
            <w:r w:rsidRPr="00516D7F">
              <w:rPr>
                <w:rFonts w:ascii="Arial" w:hAnsi="Arial" w:cs="Arial"/>
                <w:szCs w:val="22"/>
              </w:rPr>
              <w:t>se</w:t>
            </w:r>
            <w:r w:rsidR="00B52897" w:rsidRPr="00516D7F">
              <w:rPr>
                <w:rFonts w:ascii="Arial" w:hAnsi="Arial" w:cs="Arial"/>
                <w:szCs w:val="22"/>
              </w:rPr>
              <w:t xml:space="preserve"> por 15 días </w:t>
            </w:r>
            <w:r w:rsidRPr="00516D7F">
              <w:rPr>
                <w:rFonts w:ascii="Arial" w:hAnsi="Arial" w:cs="Arial"/>
                <w:szCs w:val="22"/>
              </w:rPr>
              <w:t xml:space="preserve">calendario </w:t>
            </w:r>
            <w:r w:rsidR="00B52897" w:rsidRPr="00516D7F">
              <w:rPr>
                <w:rFonts w:ascii="Arial" w:hAnsi="Arial" w:cs="Arial"/>
                <w:szCs w:val="22"/>
              </w:rPr>
              <w:t xml:space="preserve">para efectos de consultas y observaciones </w:t>
            </w:r>
            <w:bookmarkStart w:id="0" w:name="_GoBack"/>
            <w:bookmarkEnd w:id="0"/>
            <w:r w:rsidR="00CD0272">
              <w:fldChar w:fldCharType="begin"/>
            </w:r>
            <w:r w:rsidR="00CD0272">
              <w:instrText xml:space="preserve"> HYPERLINK "mailto:</w:instrText>
            </w:r>
            <w:r w:rsidR="00CD0272" w:rsidRPr="00CD0272">
              <w:instrText>Johanna.Alfonso@unidadvictimas.gov.co</w:instrText>
            </w:r>
            <w:r w:rsidR="00CD0272">
              <w:instrText xml:space="preserve">" </w:instrText>
            </w:r>
            <w:r w:rsidR="00CD0272">
              <w:fldChar w:fldCharType="separate"/>
            </w:r>
            <w:r w:rsidR="00CD0272" w:rsidRPr="00D85B28">
              <w:rPr>
                <w:rStyle w:val="Hipervnculo"/>
              </w:rPr>
              <w:t>Johanna.Alfonso@unidadvictimas.gov.co</w:t>
            </w:r>
            <w:r w:rsidR="00CD0272">
              <w:fldChar w:fldCharType="end"/>
            </w:r>
            <w:r w:rsidR="00CD0272">
              <w:t xml:space="preserve"> </w:t>
            </w:r>
          </w:p>
        </w:tc>
      </w:tr>
      <w:tr w:rsidR="008212CE" w:rsidRPr="00CF0C88" w14:paraId="67DA02B7" w14:textId="77777777" w:rsidTr="00630871">
        <w:trPr>
          <w:trHeight w:val="739"/>
        </w:trPr>
        <w:tc>
          <w:tcPr>
            <w:tcW w:w="5000" w:type="pct"/>
            <w:gridSpan w:val="2"/>
            <w:vAlign w:val="center"/>
          </w:tcPr>
          <w:p w14:paraId="47D2C6C1" w14:textId="77777777" w:rsidR="008212CE" w:rsidRPr="00CF0C88" w:rsidRDefault="00755E9E" w:rsidP="68AF5C58">
            <w:pPr>
              <w:jc w:val="both"/>
              <w:rPr>
                <w:rFonts w:ascii="Arial" w:eastAsia="Arial Narrow,Arial" w:hAnsi="Arial" w:cs="Arial"/>
                <w:lang w:val="es-CO"/>
              </w:rPr>
            </w:pPr>
            <w:r w:rsidRPr="00CF0C88">
              <w:rPr>
                <w:rFonts w:ascii="Arial" w:eastAsia="Arial Narrow" w:hAnsi="Arial" w:cs="Arial"/>
                <w:bCs/>
                <w:lang w:val="es-CO"/>
              </w:rPr>
              <w:t>8</w:t>
            </w:r>
            <w:r w:rsidR="68AF5C58" w:rsidRPr="00CF0C88">
              <w:rPr>
                <w:rFonts w:ascii="Arial" w:eastAsia="Arial Narrow" w:hAnsi="Arial" w:cs="Arial"/>
                <w:bCs/>
                <w:lang w:val="es-CO"/>
              </w:rPr>
              <w:t>. Seguridad Jurídica:</w:t>
            </w:r>
            <w:r w:rsidR="68AF5C58" w:rsidRPr="00CF0C88">
              <w:rPr>
                <w:rFonts w:ascii="Arial" w:eastAsia="Arial Narrow" w:hAnsi="Arial" w:cs="Arial"/>
                <w:lang w:val="es-CO"/>
              </w:rPr>
              <w:t xml:space="preserve"> Dentro del año inmediatamente anterior ya se había reglamentado la misma materia: </w:t>
            </w:r>
          </w:p>
          <w:p w14:paraId="7C1FB7C5" w14:textId="77777777" w:rsidR="008212CE" w:rsidRPr="00CF0C88" w:rsidRDefault="68AF5C58" w:rsidP="00875D6F">
            <w:pPr>
              <w:jc w:val="both"/>
              <w:rPr>
                <w:rFonts w:ascii="Arial" w:eastAsia="Arial Narrow,Arial" w:hAnsi="Arial" w:cs="Arial"/>
                <w:lang w:val="es-CO"/>
              </w:rPr>
            </w:pPr>
            <w:r w:rsidRPr="00CF0C88">
              <w:rPr>
                <w:rFonts w:ascii="Arial" w:eastAsia="Arial Narrow" w:hAnsi="Arial" w:cs="Arial"/>
                <w:lang w:val="es-CO"/>
              </w:rPr>
              <w:t xml:space="preserve">SI: </w:t>
            </w:r>
            <w:r w:rsidRPr="00CF0C88">
              <w:rPr>
                <w:rFonts w:ascii="Arial" w:eastAsia="Arial Narrow,Arial" w:hAnsi="Arial" w:cs="Arial"/>
                <w:bCs/>
                <w:lang w:val="es-CO"/>
              </w:rPr>
              <w:t>_</w:t>
            </w:r>
            <w:r w:rsidR="00B52897" w:rsidRPr="002D71BD">
              <w:rPr>
                <w:rFonts w:ascii="Arial" w:eastAsia="Arial Narrow,Arial" w:hAnsi="Arial" w:cs="Arial"/>
                <w:b/>
                <w:bCs/>
              </w:rPr>
              <w:t xml:space="preserve"> X</w:t>
            </w:r>
            <w:r w:rsidR="00B52897" w:rsidRPr="00CF0C88">
              <w:rPr>
                <w:rFonts w:ascii="Arial" w:eastAsia="Arial Narrow,Arial" w:hAnsi="Arial" w:cs="Arial"/>
                <w:bCs/>
                <w:lang w:val="es-CO"/>
              </w:rPr>
              <w:t xml:space="preserve"> </w:t>
            </w:r>
            <w:r w:rsidRPr="00CF0C88">
              <w:rPr>
                <w:rFonts w:ascii="Arial" w:eastAsia="Arial Narrow,Arial" w:hAnsi="Arial" w:cs="Arial"/>
                <w:bCs/>
                <w:lang w:val="es-CO"/>
              </w:rPr>
              <w:t>_</w:t>
            </w:r>
            <w:r w:rsidRPr="00CF0C88">
              <w:rPr>
                <w:rFonts w:ascii="Arial" w:eastAsia="Arial Narrow,Arial" w:hAnsi="Arial" w:cs="Arial"/>
                <w:lang w:val="es-CO"/>
              </w:rPr>
              <w:t xml:space="preserve">                   </w:t>
            </w:r>
            <w:r w:rsidRPr="00CF0C88">
              <w:rPr>
                <w:rFonts w:ascii="Arial" w:eastAsia="Arial Narrow" w:hAnsi="Arial" w:cs="Arial"/>
                <w:bCs/>
                <w:lang w:val="es-CO"/>
              </w:rPr>
              <w:t xml:space="preserve">NO: </w:t>
            </w:r>
            <w:r w:rsidRPr="00CF0C88">
              <w:rPr>
                <w:rFonts w:ascii="Arial" w:eastAsia="Arial Narrow,Arial" w:hAnsi="Arial" w:cs="Arial"/>
                <w:bCs/>
              </w:rPr>
              <w:t>__</w:t>
            </w:r>
          </w:p>
        </w:tc>
      </w:tr>
    </w:tbl>
    <w:p w14:paraId="31A713F4" w14:textId="77777777" w:rsidR="00B05975" w:rsidRPr="00CF0C88" w:rsidRDefault="00B05975" w:rsidP="00ED70D8">
      <w:pPr>
        <w:jc w:val="both"/>
        <w:rPr>
          <w:rFonts w:ascii="Arial" w:hAnsi="Arial" w:cs="Arial"/>
          <w:lang w:val="es-CO"/>
        </w:rPr>
      </w:pPr>
    </w:p>
    <w:p w14:paraId="71B53993" w14:textId="77777777" w:rsidR="00B05975" w:rsidRPr="00CF0C88" w:rsidRDefault="00B05975" w:rsidP="00ED70D8">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CF0C88" w14:paraId="687312C7" w14:textId="77777777" w:rsidTr="68AF5C58">
        <w:trPr>
          <w:trHeight w:val="3858"/>
        </w:trPr>
        <w:tc>
          <w:tcPr>
            <w:tcW w:w="9923" w:type="dxa"/>
          </w:tcPr>
          <w:p w14:paraId="506EB69C" w14:textId="77777777" w:rsidR="009170DA" w:rsidRDefault="009170DA" w:rsidP="68AF5C58">
            <w:pPr>
              <w:jc w:val="both"/>
              <w:rPr>
                <w:rFonts w:ascii="Arial" w:eastAsia="Arial Narrow" w:hAnsi="Arial" w:cs="Arial"/>
                <w:lang w:val="es-CO"/>
              </w:rPr>
            </w:pPr>
          </w:p>
          <w:p w14:paraId="42606267" w14:textId="77777777" w:rsidR="00B05975" w:rsidRPr="009170DA" w:rsidRDefault="68AF5C58" w:rsidP="68AF5C58">
            <w:pPr>
              <w:jc w:val="both"/>
              <w:rPr>
                <w:rFonts w:ascii="Arial" w:eastAsia="Arial Narrow" w:hAnsi="Arial" w:cs="Arial"/>
                <w:lang w:val="es-CO"/>
              </w:rPr>
            </w:pPr>
            <w:r w:rsidRPr="00CF0C88">
              <w:rPr>
                <w:rFonts w:ascii="Arial" w:eastAsia="Arial Narrow" w:hAnsi="Arial" w:cs="Arial"/>
                <w:lang w:val="es-CO"/>
              </w:rPr>
              <w:t>EL PROYECTO CUMPLE CON LAS DIRECTRICES DE TECNICA NORMATIVA PREVISTAS EN EL TITULO 2 DE LA PARTE 1 DEL LIBRO 2 DEL DECRETO No. 1081 de 2015</w:t>
            </w:r>
            <w:r w:rsidRPr="00CF0C88">
              <w:rPr>
                <w:rFonts w:ascii="Arial" w:eastAsia="Arial Narrow,Arial" w:hAnsi="Arial" w:cs="Arial"/>
                <w:lang w:val="es-CO"/>
              </w:rPr>
              <w:t>:</w:t>
            </w:r>
            <w:r w:rsidRPr="00CF0C88">
              <w:rPr>
                <w:rFonts w:ascii="Arial" w:eastAsia="Arial Narrow" w:hAnsi="Arial" w:cs="Arial"/>
                <w:bCs/>
                <w:lang w:val="es-CO"/>
              </w:rPr>
              <w:t xml:space="preserve"> SI </w:t>
            </w:r>
            <w:r w:rsidRPr="00CF0C88">
              <w:rPr>
                <w:rFonts w:ascii="Arial" w:eastAsia="Arial Narrow,Arial" w:hAnsi="Arial" w:cs="Arial"/>
                <w:bCs/>
              </w:rPr>
              <w:t>__</w:t>
            </w:r>
            <w:r w:rsidRPr="002D71BD">
              <w:rPr>
                <w:rFonts w:ascii="Arial" w:eastAsia="Arial Narrow" w:hAnsi="Arial" w:cs="Arial"/>
                <w:b/>
                <w:bCs/>
              </w:rPr>
              <w:t>X</w:t>
            </w:r>
            <w:r w:rsidRPr="00CF0C88">
              <w:rPr>
                <w:rFonts w:ascii="Arial" w:eastAsia="Arial Narrow" w:hAnsi="Arial" w:cs="Arial"/>
                <w:bCs/>
              </w:rPr>
              <w:t>_</w:t>
            </w:r>
            <w:r w:rsidRPr="00CF0C88">
              <w:rPr>
                <w:rFonts w:ascii="Arial" w:eastAsia="Arial Narrow,Arial" w:hAnsi="Arial" w:cs="Arial"/>
                <w:bCs/>
              </w:rPr>
              <w:t xml:space="preserve">_      </w:t>
            </w:r>
            <w:r w:rsidRPr="00CF0C88">
              <w:rPr>
                <w:rFonts w:ascii="Arial" w:eastAsia="Arial Narrow" w:hAnsi="Arial" w:cs="Arial"/>
              </w:rPr>
              <w:t>NO ____</w:t>
            </w:r>
          </w:p>
          <w:p w14:paraId="06ABDA32" w14:textId="77777777" w:rsidR="00D41974" w:rsidRPr="00CF0C88" w:rsidRDefault="00D41974" w:rsidP="00ED70D8">
            <w:pPr>
              <w:jc w:val="both"/>
              <w:rPr>
                <w:rFonts w:ascii="Arial" w:hAnsi="Arial" w:cs="Arial"/>
              </w:rPr>
            </w:pPr>
          </w:p>
          <w:p w14:paraId="09DE5C4D" w14:textId="77777777" w:rsidR="00913F49" w:rsidRDefault="00913F49" w:rsidP="00ED70D8">
            <w:pPr>
              <w:jc w:val="both"/>
              <w:rPr>
                <w:rFonts w:ascii="Arial" w:hAnsi="Arial" w:cs="Arial"/>
              </w:rPr>
            </w:pPr>
          </w:p>
          <w:p w14:paraId="3287A8ED" w14:textId="77777777" w:rsidR="009170DA" w:rsidRDefault="009170DA" w:rsidP="00ED70D8">
            <w:pPr>
              <w:jc w:val="both"/>
              <w:rPr>
                <w:rFonts w:ascii="Arial" w:hAnsi="Arial" w:cs="Arial"/>
              </w:rPr>
            </w:pPr>
          </w:p>
          <w:p w14:paraId="1968535B" w14:textId="77777777" w:rsidR="009170DA" w:rsidRPr="00CF0C88" w:rsidRDefault="009170DA" w:rsidP="00ED70D8">
            <w:pPr>
              <w:jc w:val="both"/>
              <w:rPr>
                <w:rFonts w:ascii="Arial" w:hAnsi="Arial" w:cs="Arial"/>
              </w:rPr>
            </w:pPr>
          </w:p>
          <w:p w14:paraId="525299EE" w14:textId="77777777" w:rsidR="002D71BD" w:rsidRPr="00CF0C88" w:rsidRDefault="002D71BD" w:rsidP="68AF5C58">
            <w:pPr>
              <w:jc w:val="both"/>
              <w:rPr>
                <w:rFonts w:ascii="Arial" w:eastAsia="Arial Narrow,Arial" w:hAnsi="Arial" w:cs="Arial"/>
              </w:rPr>
            </w:pPr>
          </w:p>
          <w:p w14:paraId="45E8316D" w14:textId="77777777" w:rsidR="00852CAB" w:rsidRPr="000A2115" w:rsidRDefault="002D71BD" w:rsidP="00852CAB">
            <w:pPr>
              <w:jc w:val="both"/>
              <w:rPr>
                <w:rFonts w:ascii="Arial" w:hAnsi="Arial" w:cs="Arial"/>
                <w:b/>
              </w:rPr>
            </w:pPr>
            <w:r w:rsidRPr="000A2115">
              <w:rPr>
                <w:rFonts w:ascii="Arial" w:hAnsi="Arial" w:cs="Arial"/>
                <w:b/>
              </w:rPr>
              <w:t>_________________________</w:t>
            </w:r>
            <w:r w:rsidR="00012D9F" w:rsidRPr="000A2115">
              <w:rPr>
                <w:rFonts w:ascii="Arial" w:hAnsi="Arial" w:cs="Arial"/>
                <w:b/>
              </w:rPr>
              <w:t>_____________</w:t>
            </w:r>
          </w:p>
          <w:p w14:paraId="77BD0700" w14:textId="77777777" w:rsidR="00012D9F" w:rsidRDefault="00012D9F" w:rsidP="00852CAB">
            <w:pPr>
              <w:jc w:val="both"/>
              <w:rPr>
                <w:rFonts w:ascii="Arial" w:hAnsi="Arial" w:cs="Arial"/>
                <w:b/>
              </w:rPr>
            </w:pPr>
            <w:r w:rsidRPr="000A2115">
              <w:rPr>
                <w:rFonts w:ascii="Arial" w:hAnsi="Arial" w:cs="Arial"/>
                <w:b/>
              </w:rPr>
              <w:t xml:space="preserve">NICOLAS FERNANDEZ DE SOTO CAMACHO </w:t>
            </w:r>
          </w:p>
          <w:p w14:paraId="29C27420" w14:textId="77777777" w:rsidR="000A2115" w:rsidRPr="000A2115" w:rsidRDefault="000A2115" w:rsidP="00852CAB">
            <w:pPr>
              <w:jc w:val="both"/>
              <w:rPr>
                <w:rFonts w:ascii="Arial" w:hAnsi="Arial" w:cs="Arial"/>
                <w:b/>
              </w:rPr>
            </w:pPr>
            <w:r>
              <w:rPr>
                <w:rFonts w:ascii="Arial" w:hAnsi="Arial" w:cs="Arial"/>
                <w:b/>
              </w:rPr>
              <w:t xml:space="preserve">Coordinador Grupo de Cooperación Internacional </w:t>
            </w:r>
          </w:p>
          <w:p w14:paraId="23EDC379" w14:textId="77777777" w:rsidR="000A2115" w:rsidRDefault="000A2115" w:rsidP="00012D9F">
            <w:pPr>
              <w:jc w:val="both"/>
              <w:rPr>
                <w:rFonts w:ascii="Arial" w:eastAsia="Arial Narrow" w:hAnsi="Arial" w:cs="Arial"/>
                <w:sz w:val="16"/>
                <w:szCs w:val="16"/>
              </w:rPr>
            </w:pPr>
          </w:p>
          <w:p w14:paraId="7370B63F" w14:textId="77777777" w:rsidR="00012D9F" w:rsidRDefault="00012D9F" w:rsidP="00012D9F">
            <w:pPr>
              <w:jc w:val="both"/>
              <w:rPr>
                <w:rFonts w:ascii="Arial" w:eastAsia="Arial Narrow" w:hAnsi="Arial" w:cs="Arial"/>
                <w:sz w:val="16"/>
                <w:szCs w:val="16"/>
              </w:rPr>
            </w:pPr>
            <w:r>
              <w:rPr>
                <w:rFonts w:ascii="Arial" w:eastAsia="Arial Narrow" w:hAnsi="Arial" w:cs="Arial"/>
                <w:sz w:val="16"/>
                <w:szCs w:val="16"/>
              </w:rPr>
              <w:t>Johanna Alfonso  Grupo Cooperaci</w:t>
            </w:r>
            <w:r w:rsidR="000A2115">
              <w:rPr>
                <w:rFonts w:ascii="Arial" w:eastAsia="Arial Narrow" w:hAnsi="Arial" w:cs="Arial"/>
                <w:sz w:val="16"/>
                <w:szCs w:val="16"/>
              </w:rPr>
              <w:t>ó</w:t>
            </w:r>
            <w:r>
              <w:rPr>
                <w:rFonts w:ascii="Arial" w:eastAsia="Arial Narrow" w:hAnsi="Arial" w:cs="Arial"/>
                <w:sz w:val="16"/>
                <w:szCs w:val="16"/>
              </w:rPr>
              <w:t xml:space="preserve">n Internacional </w:t>
            </w:r>
          </w:p>
          <w:p w14:paraId="460C7F0E" w14:textId="77777777" w:rsidR="00C669A7" w:rsidRPr="00CF0C88" w:rsidRDefault="00852CAB" w:rsidP="00012D9F">
            <w:pPr>
              <w:jc w:val="both"/>
              <w:rPr>
                <w:rFonts w:ascii="Arial" w:eastAsia="Arial Narrow,Arial" w:hAnsi="Arial" w:cs="Arial"/>
                <w:bCs/>
                <w:lang w:val="es-CO"/>
              </w:rPr>
            </w:pPr>
            <w:r w:rsidRPr="00977A6B">
              <w:rPr>
                <w:rFonts w:ascii="Arial" w:eastAsia="Arial Narrow" w:hAnsi="Arial" w:cs="Arial"/>
                <w:sz w:val="16"/>
                <w:szCs w:val="16"/>
              </w:rPr>
              <w:t>Vo. Bo Vladimir Martin Ramos</w:t>
            </w:r>
            <w:r w:rsidR="002D71BD">
              <w:rPr>
                <w:rFonts w:ascii="Arial" w:eastAsia="Arial Narrow" w:hAnsi="Arial" w:cs="Arial"/>
                <w:sz w:val="16"/>
                <w:szCs w:val="16"/>
              </w:rPr>
              <w:t xml:space="preserve"> - </w:t>
            </w:r>
            <w:r w:rsidRPr="00977A6B">
              <w:rPr>
                <w:rFonts w:ascii="Arial" w:eastAsia="Arial Narrow" w:hAnsi="Arial" w:cs="Arial"/>
                <w:sz w:val="16"/>
                <w:szCs w:val="16"/>
              </w:rPr>
              <w:t>Jefe Oficina Asesora Jurídica</w:t>
            </w:r>
          </w:p>
        </w:tc>
      </w:tr>
    </w:tbl>
    <w:p w14:paraId="21A43C34" w14:textId="77777777" w:rsidR="00452D10" w:rsidRPr="00755E9E" w:rsidRDefault="00452D10" w:rsidP="00AD55B5">
      <w:pPr>
        <w:jc w:val="both"/>
        <w:rPr>
          <w:rFonts w:ascii="Century" w:hAnsi="Century" w:cs="Arial"/>
        </w:rPr>
      </w:pPr>
    </w:p>
    <w:sectPr w:rsidR="00452D10" w:rsidRPr="00755E9E" w:rsidSect="006D213E">
      <w:headerReference w:type="default" r:id="rId11"/>
      <w:footerReference w:type="even" r:id="rId12"/>
      <w:footerReference w:type="default" r:id="rId13"/>
      <w:footerReference w:type="first" r:id="rId14"/>
      <w:pgSz w:w="12240" w:h="15840" w:code="1"/>
      <w:pgMar w:top="567" w:right="1134" w:bottom="567" w:left="1134" w:header="567"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CD06D" w14:textId="77777777" w:rsidR="00C247D3" w:rsidRDefault="00C247D3">
      <w:r>
        <w:separator/>
      </w:r>
    </w:p>
  </w:endnote>
  <w:endnote w:type="continuationSeparator" w:id="0">
    <w:p w14:paraId="3BCB07B5" w14:textId="77777777" w:rsidR="00C247D3" w:rsidRDefault="00C247D3">
      <w:r>
        <w:continuationSeparator/>
      </w:r>
    </w:p>
  </w:endnote>
  <w:endnote w:type="continuationNotice" w:id="1">
    <w:p w14:paraId="74CB6890" w14:textId="77777777" w:rsidR="00C247D3" w:rsidRDefault="00C247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Arial">
    <w:altName w:val="Arial Narrow"/>
    <w:panose1 w:val="00000000000000000000"/>
    <w:charset w:val="00"/>
    <w:family w:val="roman"/>
    <w:notTrueType/>
    <w:pitch w:val="default"/>
  </w:font>
  <w:font w:name="Arial Narrow,Calibri">
    <w:altName w:val="Arial Narrow"/>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AAA1D" w14:textId="77777777" w:rsidR="00EA781E" w:rsidRDefault="00346444">
    <w:pPr>
      <w:pStyle w:val="Piedepgina"/>
      <w:framePr w:wrap="around" w:vAnchor="text" w:hAnchor="margin" w:xAlign="right" w:y="1"/>
      <w:rPr>
        <w:rStyle w:val="Nmerodepgina"/>
      </w:rPr>
    </w:pPr>
    <w:r>
      <w:rPr>
        <w:rStyle w:val="Nmerodepgina"/>
      </w:rPr>
      <w:fldChar w:fldCharType="begin"/>
    </w:r>
    <w:r w:rsidR="00EA781E">
      <w:rPr>
        <w:rStyle w:val="Nmerodepgina"/>
      </w:rPr>
      <w:instrText xml:space="preserve">PAGE  </w:instrText>
    </w:r>
    <w:r>
      <w:rPr>
        <w:rStyle w:val="Nmerodepgina"/>
      </w:rPr>
      <w:fldChar w:fldCharType="end"/>
    </w:r>
  </w:p>
  <w:p w14:paraId="7CAD13FE" w14:textId="77777777" w:rsidR="00EA781E" w:rsidRDefault="00EA78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DDA1B" w14:textId="77777777" w:rsidR="00EA781E" w:rsidRDefault="005D3A74" w:rsidP="68AF5C58">
    <w:pPr>
      <w:pStyle w:val="Piedepgina"/>
      <w:ind w:right="-24"/>
      <w:jc w:val="right"/>
      <w:rPr>
        <w:rFonts w:ascii="Arial" w:eastAsia="Arial" w:hAnsi="Arial" w:cs="Arial"/>
        <w:sz w:val="16"/>
        <w:szCs w:val="16"/>
      </w:rPr>
    </w:pPr>
    <w:r>
      <w:rPr>
        <w:rFonts w:ascii="Arial" w:hAnsi="Arial"/>
        <w:noProof/>
        <w:sz w:val="16"/>
      </w:rPr>
      <mc:AlternateContent>
        <mc:Choice Requires="wps">
          <w:drawing>
            <wp:anchor distT="0" distB="0" distL="114300" distR="114300" simplePos="0" relativeHeight="251658242" behindDoc="0" locked="0" layoutInCell="0" allowOverlap="1" wp14:anchorId="041DB82E" wp14:editId="032F5ECF">
              <wp:simplePos x="0" y="0"/>
              <wp:positionH relativeFrom="column">
                <wp:posOffset>-97155</wp:posOffset>
              </wp:positionH>
              <wp:positionV relativeFrom="paragraph">
                <wp:posOffset>-13335</wp:posOffset>
              </wp:positionV>
              <wp:extent cx="6515100" cy="3175"/>
              <wp:effectExtent l="0" t="0" r="0"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C399C"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00EA781E" w:rsidRPr="073AE5F6">
      <w:rPr>
        <w:rStyle w:val="Nmerodepgina"/>
        <w:rFonts w:ascii="Arial" w:eastAsia="Arial" w:hAnsi="Arial" w:cs="Arial"/>
        <w:sz w:val="16"/>
        <w:szCs w:val="16"/>
      </w:rPr>
      <w:t xml:space="preserve">Página </w:t>
    </w:r>
    <w:r w:rsidR="00346444" w:rsidRPr="68AF5C58">
      <w:rPr>
        <w:rStyle w:val="Nmerodepgina"/>
        <w:noProof/>
        <w:sz w:val="16"/>
        <w:szCs w:val="16"/>
      </w:rPr>
      <w:fldChar w:fldCharType="begin"/>
    </w:r>
    <w:r w:rsidR="00EA781E">
      <w:rPr>
        <w:rStyle w:val="Nmerodepgina"/>
        <w:sz w:val="16"/>
      </w:rPr>
      <w:instrText xml:space="preserve"> PAGE </w:instrText>
    </w:r>
    <w:r w:rsidR="00346444" w:rsidRPr="68AF5C58">
      <w:rPr>
        <w:rStyle w:val="Nmerodepgina"/>
        <w:sz w:val="16"/>
      </w:rPr>
      <w:fldChar w:fldCharType="separate"/>
    </w:r>
    <w:r w:rsidR="00CD0272">
      <w:rPr>
        <w:rStyle w:val="Nmerodepgina"/>
        <w:noProof/>
        <w:sz w:val="16"/>
      </w:rPr>
      <w:t>2</w:t>
    </w:r>
    <w:r w:rsidR="00346444" w:rsidRPr="68AF5C58">
      <w:rPr>
        <w:rStyle w:val="Nmerodepgina"/>
        <w:noProof/>
        <w:sz w:val="16"/>
        <w:szCs w:val="16"/>
      </w:rPr>
      <w:fldChar w:fldCharType="end"/>
    </w:r>
    <w:r w:rsidR="00EA781E" w:rsidRPr="073AE5F6">
      <w:rPr>
        <w:rStyle w:val="Nmerodepgina"/>
        <w:sz w:val="16"/>
        <w:szCs w:val="16"/>
      </w:rPr>
      <w:t xml:space="preserve"> </w:t>
    </w:r>
    <w:r w:rsidR="00EA781E" w:rsidRPr="073AE5F6">
      <w:rPr>
        <w:rStyle w:val="Nmerodepgina"/>
        <w:rFonts w:ascii="Arial" w:eastAsia="Arial" w:hAnsi="Arial" w:cs="Arial"/>
        <w:sz w:val="16"/>
        <w:szCs w:val="16"/>
      </w:rPr>
      <w:t>de</w:t>
    </w:r>
    <w:r w:rsidR="00346444" w:rsidRPr="68AF5C58">
      <w:rPr>
        <w:rStyle w:val="Nmerodepgina"/>
        <w:rFonts w:ascii="Arial" w:eastAsia="Arial" w:hAnsi="Arial" w:cs="Arial"/>
        <w:noProof/>
        <w:sz w:val="16"/>
        <w:szCs w:val="16"/>
      </w:rPr>
      <w:fldChar w:fldCharType="begin"/>
    </w:r>
    <w:r w:rsidR="00EA781E">
      <w:rPr>
        <w:rStyle w:val="Nmerodepgina"/>
        <w:rFonts w:ascii="Arial" w:hAnsi="Arial"/>
        <w:sz w:val="16"/>
      </w:rPr>
      <w:instrText xml:space="preserve"> NUMPAGES </w:instrText>
    </w:r>
    <w:r w:rsidR="00346444" w:rsidRPr="68AF5C58">
      <w:rPr>
        <w:rStyle w:val="Nmerodepgina"/>
        <w:rFonts w:ascii="Arial" w:hAnsi="Arial"/>
        <w:sz w:val="16"/>
      </w:rPr>
      <w:fldChar w:fldCharType="separate"/>
    </w:r>
    <w:r w:rsidR="00CD0272">
      <w:rPr>
        <w:rStyle w:val="Nmerodepgina"/>
        <w:rFonts w:ascii="Arial" w:hAnsi="Arial"/>
        <w:noProof/>
        <w:sz w:val="16"/>
      </w:rPr>
      <w:t>2</w:t>
    </w:r>
    <w:r w:rsidR="00346444"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D76CA" w14:textId="77777777" w:rsidR="00EA781E" w:rsidRDefault="00EA781E"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DDD7FB" w14:textId="77777777" w:rsidR="00C247D3" w:rsidRDefault="00C247D3">
      <w:r>
        <w:separator/>
      </w:r>
    </w:p>
  </w:footnote>
  <w:footnote w:type="continuationSeparator" w:id="0">
    <w:p w14:paraId="3D9FDCC0" w14:textId="77777777" w:rsidR="00C247D3" w:rsidRDefault="00C247D3">
      <w:r>
        <w:continuationSeparator/>
      </w:r>
    </w:p>
  </w:footnote>
  <w:footnote w:type="continuationNotice" w:id="1">
    <w:p w14:paraId="34BA5B49" w14:textId="77777777" w:rsidR="00C247D3" w:rsidRDefault="00C247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446F1" w14:textId="77777777" w:rsidR="00590AF4" w:rsidRDefault="00F6625B">
    <w:pPr>
      <w:pStyle w:val="Encabezado"/>
      <w:rPr>
        <w:noProof/>
      </w:rPr>
    </w:pPr>
    <w:r>
      <w:rPr>
        <w:noProof/>
      </w:rPr>
      <w:drawing>
        <wp:anchor distT="0" distB="0" distL="114300" distR="114300" simplePos="0" relativeHeight="251660290" behindDoc="0" locked="0" layoutInCell="1" allowOverlap="1" wp14:anchorId="3F60E6D5" wp14:editId="0384437D">
          <wp:simplePos x="0" y="0"/>
          <wp:positionH relativeFrom="margin">
            <wp:posOffset>346</wp:posOffset>
          </wp:positionH>
          <wp:positionV relativeFrom="paragraph">
            <wp:posOffset>173</wp:posOffset>
          </wp:positionV>
          <wp:extent cx="3237230" cy="689369"/>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257" t="21221" r="54743" b="70829"/>
                  <a:stretch/>
                </pic:blipFill>
                <pic:spPr bwMode="auto">
                  <a:xfrm>
                    <a:off x="0" y="0"/>
                    <a:ext cx="3237230" cy="689369"/>
                  </a:xfrm>
                  <a:prstGeom prst="rect">
                    <a:avLst/>
                  </a:prstGeom>
                  <a:ln>
                    <a:noFill/>
                  </a:ln>
                  <a:extLst>
                    <a:ext uri="{53640926-AAD7-44D8-BBD7-CCE9431645EC}">
                      <a14:shadowObscured xmlns:a14="http://schemas.microsoft.com/office/drawing/2010/main"/>
                    </a:ext>
                  </a:extLst>
                </pic:spPr>
              </pic:pic>
            </a:graphicData>
          </a:graphic>
        </wp:anchor>
      </w:drawing>
    </w:r>
  </w:p>
  <w:p w14:paraId="02525788" w14:textId="77777777" w:rsidR="00F6625B" w:rsidRDefault="00F6625B">
    <w:pPr>
      <w:pStyle w:val="Encabezado"/>
      <w:rPr>
        <w:noProof/>
      </w:rPr>
    </w:pPr>
  </w:p>
  <w:p w14:paraId="2BF4B6ED" w14:textId="77777777" w:rsidR="00F6625B" w:rsidRDefault="00F6625B">
    <w:pPr>
      <w:pStyle w:val="Encabezado"/>
      <w:rPr>
        <w:noProof/>
      </w:rPr>
    </w:pPr>
  </w:p>
  <w:p w14:paraId="661A769E" w14:textId="77777777" w:rsidR="00F6625B" w:rsidRDefault="00F6625B">
    <w:pPr>
      <w:pStyle w:val="Encabezado"/>
      <w:rPr>
        <w:noProof/>
      </w:rPr>
    </w:pPr>
  </w:p>
  <w:p w14:paraId="2045780C" w14:textId="77777777" w:rsidR="00F6625B" w:rsidRDefault="00F6625B">
    <w:pPr>
      <w:pStyle w:val="Encabezado"/>
      <w:rPr>
        <w:noProof/>
      </w:rPr>
    </w:pPr>
  </w:p>
  <w:p w14:paraId="241B2660" w14:textId="77777777" w:rsidR="00F6625B" w:rsidRDefault="00F6625B">
    <w:pPr>
      <w:pStyle w:val="Encabezado"/>
    </w:pPr>
  </w:p>
  <w:p w14:paraId="409BE553" w14:textId="77777777" w:rsidR="00590AF4" w:rsidRDefault="00590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68C7"/>
    <w:multiLevelType w:val="multilevel"/>
    <w:tmpl w:val="EB5018B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4556B"/>
    <w:multiLevelType w:val="multilevel"/>
    <w:tmpl w:val="87EE181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775E06"/>
    <w:multiLevelType w:val="hybridMultilevel"/>
    <w:tmpl w:val="DC6CC968"/>
    <w:lvl w:ilvl="0" w:tplc="240A0003">
      <w:start w:val="1"/>
      <w:numFmt w:val="bullet"/>
      <w:lvlText w:val="o"/>
      <w:lvlJc w:val="left"/>
      <w:pPr>
        <w:ind w:left="1500" w:hanging="360"/>
      </w:pPr>
      <w:rPr>
        <w:rFonts w:ascii="Courier New" w:hAnsi="Courier New" w:cs="Courier New"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1CDD0E30"/>
    <w:multiLevelType w:val="multilevel"/>
    <w:tmpl w:val="F558ECEA"/>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DE7626B"/>
    <w:multiLevelType w:val="hybridMultilevel"/>
    <w:tmpl w:val="D35064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0127C4"/>
    <w:multiLevelType w:val="hybridMultilevel"/>
    <w:tmpl w:val="6B2AACB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15:restartNumberingAfterBreak="0">
    <w:nsid w:val="20603592"/>
    <w:multiLevelType w:val="hybridMultilevel"/>
    <w:tmpl w:val="F6F6F30A"/>
    <w:lvl w:ilvl="0" w:tplc="4C04A1B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163345"/>
    <w:multiLevelType w:val="hybridMultilevel"/>
    <w:tmpl w:val="B70606B6"/>
    <w:lvl w:ilvl="0" w:tplc="240A0001">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EC4D87"/>
    <w:multiLevelType w:val="multilevel"/>
    <w:tmpl w:val="E8943142"/>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8E6242"/>
    <w:multiLevelType w:val="hybridMultilevel"/>
    <w:tmpl w:val="5D469F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88D33AD"/>
    <w:multiLevelType w:val="multilevel"/>
    <w:tmpl w:val="86AC08BC"/>
    <w:lvl w:ilvl="0">
      <w:start w:val="1"/>
      <w:numFmt w:val="decimal"/>
      <w:lvlText w:val="%1"/>
      <w:lvlJc w:val="left"/>
      <w:pPr>
        <w:ind w:left="375" w:hanging="375"/>
      </w:pPr>
      <w:rPr>
        <w:rFonts w:hint="default"/>
        <w:b/>
      </w:rPr>
    </w:lvl>
    <w:lvl w:ilvl="1">
      <w:start w:val="2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9012A06"/>
    <w:multiLevelType w:val="hybridMultilevel"/>
    <w:tmpl w:val="A85681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082850"/>
    <w:multiLevelType w:val="hybridMultilevel"/>
    <w:tmpl w:val="5F00E74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81D3994"/>
    <w:multiLevelType w:val="hybridMultilevel"/>
    <w:tmpl w:val="463CDB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9A21142"/>
    <w:multiLevelType w:val="hybridMultilevel"/>
    <w:tmpl w:val="C74650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CA5291C"/>
    <w:multiLevelType w:val="multilevel"/>
    <w:tmpl w:val="81344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B5660"/>
    <w:multiLevelType w:val="hybridMultilevel"/>
    <w:tmpl w:val="E084A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997784"/>
    <w:multiLevelType w:val="hybridMultilevel"/>
    <w:tmpl w:val="8D962CB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DB5BC9"/>
    <w:multiLevelType w:val="hybridMultilevel"/>
    <w:tmpl w:val="EE1C4100"/>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2B71F1C"/>
    <w:multiLevelType w:val="hybridMultilevel"/>
    <w:tmpl w:val="CB6A47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15:restartNumberingAfterBreak="0">
    <w:nsid w:val="74E71EB7"/>
    <w:multiLevelType w:val="hybridMultilevel"/>
    <w:tmpl w:val="0A7205AE"/>
    <w:lvl w:ilvl="0" w:tplc="240A000D">
      <w:start w:val="1"/>
      <w:numFmt w:val="bullet"/>
      <w:lvlText w:val=""/>
      <w:lvlJc w:val="left"/>
      <w:pPr>
        <w:ind w:left="435" w:hanging="435"/>
      </w:pPr>
      <w:rPr>
        <w:rFonts w:ascii="Wingdings" w:hAnsi="Wingdings" w:hint="default"/>
        <w:b/>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8425461"/>
    <w:multiLevelType w:val="multilevel"/>
    <w:tmpl w:val="BD5E334A"/>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9" w15:restartNumberingAfterBreak="0">
    <w:nsid w:val="7B4676EF"/>
    <w:multiLevelType w:val="hybridMultilevel"/>
    <w:tmpl w:val="1C58B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7"/>
  </w:num>
  <w:num w:numId="4">
    <w:abstractNumId w:val="0"/>
  </w:num>
  <w:num w:numId="5">
    <w:abstractNumId w:val="17"/>
  </w:num>
  <w:num w:numId="6">
    <w:abstractNumId w:val="28"/>
  </w:num>
  <w:num w:numId="7">
    <w:abstractNumId w:val="29"/>
  </w:num>
  <w:num w:numId="8">
    <w:abstractNumId w:val="11"/>
  </w:num>
  <w:num w:numId="9">
    <w:abstractNumId w:val="30"/>
  </w:num>
  <w:num w:numId="10">
    <w:abstractNumId w:val="35"/>
  </w:num>
  <w:num w:numId="11">
    <w:abstractNumId w:val="3"/>
  </w:num>
  <w:num w:numId="12">
    <w:abstractNumId w:val="12"/>
  </w:num>
  <w:num w:numId="13">
    <w:abstractNumId w:val="24"/>
  </w:num>
  <w:num w:numId="14">
    <w:abstractNumId w:val="18"/>
  </w:num>
  <w:num w:numId="15">
    <w:abstractNumId w:val="2"/>
  </w:num>
  <w:num w:numId="16">
    <w:abstractNumId w:val="33"/>
  </w:num>
  <w:num w:numId="17">
    <w:abstractNumId w:val="14"/>
  </w:num>
  <w:num w:numId="18">
    <w:abstractNumId w:val="9"/>
  </w:num>
  <w:num w:numId="19">
    <w:abstractNumId w:val="22"/>
  </w:num>
  <w:num w:numId="20">
    <w:abstractNumId w:val="27"/>
  </w:num>
  <w:num w:numId="21">
    <w:abstractNumId w:val="8"/>
  </w:num>
  <w:num w:numId="22">
    <w:abstractNumId w:val="32"/>
  </w:num>
  <w:num w:numId="23">
    <w:abstractNumId w:val="39"/>
  </w:num>
  <w:num w:numId="24">
    <w:abstractNumId w:val="13"/>
  </w:num>
  <w:num w:numId="25">
    <w:abstractNumId w:val="16"/>
  </w:num>
  <w:num w:numId="26">
    <w:abstractNumId w:val="36"/>
  </w:num>
  <w:num w:numId="27">
    <w:abstractNumId w:val="7"/>
  </w:num>
  <w:num w:numId="28">
    <w:abstractNumId w:val="34"/>
  </w:num>
  <w:num w:numId="29">
    <w:abstractNumId w:val="23"/>
  </w:num>
  <w:num w:numId="30">
    <w:abstractNumId w:val="6"/>
  </w:num>
  <w:num w:numId="31">
    <w:abstractNumId w:val="20"/>
  </w:num>
  <w:num w:numId="32">
    <w:abstractNumId w:val="21"/>
  </w:num>
  <w:num w:numId="33">
    <w:abstractNumId w:val="25"/>
  </w:num>
  <w:num w:numId="34">
    <w:abstractNumId w:val="1"/>
  </w:num>
  <w:num w:numId="35">
    <w:abstractNumId w:val="38"/>
  </w:num>
  <w:num w:numId="36">
    <w:abstractNumId w:val="19"/>
  </w:num>
  <w:num w:numId="37">
    <w:abstractNumId w:val="15"/>
  </w:num>
  <w:num w:numId="38">
    <w:abstractNumId w:val="5"/>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5"/>
    <w:rsid w:val="00001C4B"/>
    <w:rsid w:val="000042E4"/>
    <w:rsid w:val="00005FFF"/>
    <w:rsid w:val="00010B42"/>
    <w:rsid w:val="0001106D"/>
    <w:rsid w:val="000110E3"/>
    <w:rsid w:val="0001134B"/>
    <w:rsid w:val="00012D9F"/>
    <w:rsid w:val="00013CEC"/>
    <w:rsid w:val="0001466E"/>
    <w:rsid w:val="00022ED1"/>
    <w:rsid w:val="000237EB"/>
    <w:rsid w:val="00025247"/>
    <w:rsid w:val="000302BE"/>
    <w:rsid w:val="00035DE7"/>
    <w:rsid w:val="00046E28"/>
    <w:rsid w:val="00047646"/>
    <w:rsid w:val="000501E7"/>
    <w:rsid w:val="00052454"/>
    <w:rsid w:val="00053049"/>
    <w:rsid w:val="00053C38"/>
    <w:rsid w:val="00054D16"/>
    <w:rsid w:val="00055805"/>
    <w:rsid w:val="0005638A"/>
    <w:rsid w:val="000579F5"/>
    <w:rsid w:val="00057F80"/>
    <w:rsid w:val="00062B5D"/>
    <w:rsid w:val="0006352E"/>
    <w:rsid w:val="00067FA5"/>
    <w:rsid w:val="00071E57"/>
    <w:rsid w:val="00072D09"/>
    <w:rsid w:val="00072DCC"/>
    <w:rsid w:val="00074AD0"/>
    <w:rsid w:val="0007670C"/>
    <w:rsid w:val="000811AF"/>
    <w:rsid w:val="000832E7"/>
    <w:rsid w:val="0009025D"/>
    <w:rsid w:val="000905B4"/>
    <w:rsid w:val="00092E04"/>
    <w:rsid w:val="00095AD1"/>
    <w:rsid w:val="00097626"/>
    <w:rsid w:val="000A1A04"/>
    <w:rsid w:val="000A1EB6"/>
    <w:rsid w:val="000A2115"/>
    <w:rsid w:val="000A65E9"/>
    <w:rsid w:val="000B20BC"/>
    <w:rsid w:val="000B261A"/>
    <w:rsid w:val="000B2AEB"/>
    <w:rsid w:val="000C2E92"/>
    <w:rsid w:val="000C36DE"/>
    <w:rsid w:val="000C64E7"/>
    <w:rsid w:val="000C7671"/>
    <w:rsid w:val="000D099F"/>
    <w:rsid w:val="000D1EB3"/>
    <w:rsid w:val="000D39F9"/>
    <w:rsid w:val="000D422E"/>
    <w:rsid w:val="000D7EDB"/>
    <w:rsid w:val="000E54BD"/>
    <w:rsid w:val="000F309E"/>
    <w:rsid w:val="001009D8"/>
    <w:rsid w:val="00101425"/>
    <w:rsid w:val="00101D94"/>
    <w:rsid w:val="0010646F"/>
    <w:rsid w:val="00106A2F"/>
    <w:rsid w:val="00107EB9"/>
    <w:rsid w:val="00110470"/>
    <w:rsid w:val="001130E9"/>
    <w:rsid w:val="00113403"/>
    <w:rsid w:val="00113C93"/>
    <w:rsid w:val="001142F1"/>
    <w:rsid w:val="00115F83"/>
    <w:rsid w:val="00126F34"/>
    <w:rsid w:val="00127EE3"/>
    <w:rsid w:val="001351CC"/>
    <w:rsid w:val="00137A96"/>
    <w:rsid w:val="00137D8B"/>
    <w:rsid w:val="0014189C"/>
    <w:rsid w:val="00147228"/>
    <w:rsid w:val="00147267"/>
    <w:rsid w:val="001504F3"/>
    <w:rsid w:val="00154A8B"/>
    <w:rsid w:val="001558A2"/>
    <w:rsid w:val="00157204"/>
    <w:rsid w:val="00160F81"/>
    <w:rsid w:val="00162FC7"/>
    <w:rsid w:val="00171226"/>
    <w:rsid w:val="00172F71"/>
    <w:rsid w:val="00184F1B"/>
    <w:rsid w:val="001857A5"/>
    <w:rsid w:val="00186370"/>
    <w:rsid w:val="00186601"/>
    <w:rsid w:val="00187E94"/>
    <w:rsid w:val="00191F4A"/>
    <w:rsid w:val="00197A06"/>
    <w:rsid w:val="001A15D6"/>
    <w:rsid w:val="001A7115"/>
    <w:rsid w:val="001A7B74"/>
    <w:rsid w:val="001B2637"/>
    <w:rsid w:val="001B7365"/>
    <w:rsid w:val="001C00C7"/>
    <w:rsid w:val="001C143C"/>
    <w:rsid w:val="001C311D"/>
    <w:rsid w:val="001D0382"/>
    <w:rsid w:val="001D5A9A"/>
    <w:rsid w:val="001D5CB4"/>
    <w:rsid w:val="001D7268"/>
    <w:rsid w:val="001E0B40"/>
    <w:rsid w:val="001E1A98"/>
    <w:rsid w:val="001E3625"/>
    <w:rsid w:val="001E62CD"/>
    <w:rsid w:val="001E66A3"/>
    <w:rsid w:val="001E6E31"/>
    <w:rsid w:val="001F08BD"/>
    <w:rsid w:val="001F1084"/>
    <w:rsid w:val="001F7812"/>
    <w:rsid w:val="00200568"/>
    <w:rsid w:val="00201C81"/>
    <w:rsid w:val="00203E75"/>
    <w:rsid w:val="002044DA"/>
    <w:rsid w:val="00207491"/>
    <w:rsid w:val="0021445C"/>
    <w:rsid w:val="0021714D"/>
    <w:rsid w:val="002179AD"/>
    <w:rsid w:val="00217BB7"/>
    <w:rsid w:val="00217F32"/>
    <w:rsid w:val="0022020B"/>
    <w:rsid w:val="002214EB"/>
    <w:rsid w:val="002246C5"/>
    <w:rsid w:val="002247C9"/>
    <w:rsid w:val="002272F0"/>
    <w:rsid w:val="00230AF6"/>
    <w:rsid w:val="002323AB"/>
    <w:rsid w:val="00233FB4"/>
    <w:rsid w:val="0023676E"/>
    <w:rsid w:val="002374CA"/>
    <w:rsid w:val="002403BB"/>
    <w:rsid w:val="0024253C"/>
    <w:rsid w:val="00253468"/>
    <w:rsid w:val="00254036"/>
    <w:rsid w:val="002549F5"/>
    <w:rsid w:val="002600AC"/>
    <w:rsid w:val="0026061E"/>
    <w:rsid w:val="002634CA"/>
    <w:rsid w:val="002643A5"/>
    <w:rsid w:val="0026449E"/>
    <w:rsid w:val="00267BEA"/>
    <w:rsid w:val="0027186D"/>
    <w:rsid w:val="0027296A"/>
    <w:rsid w:val="00276D14"/>
    <w:rsid w:val="00281FE1"/>
    <w:rsid w:val="00284DDC"/>
    <w:rsid w:val="0028627A"/>
    <w:rsid w:val="00286D62"/>
    <w:rsid w:val="00287550"/>
    <w:rsid w:val="00294C05"/>
    <w:rsid w:val="00297B9C"/>
    <w:rsid w:val="002A31C8"/>
    <w:rsid w:val="002A338C"/>
    <w:rsid w:val="002A3FE3"/>
    <w:rsid w:val="002A4458"/>
    <w:rsid w:val="002A4549"/>
    <w:rsid w:val="002A46FA"/>
    <w:rsid w:val="002A6154"/>
    <w:rsid w:val="002B26E3"/>
    <w:rsid w:val="002B3B90"/>
    <w:rsid w:val="002B4C13"/>
    <w:rsid w:val="002B66FE"/>
    <w:rsid w:val="002C0A1F"/>
    <w:rsid w:val="002C35A1"/>
    <w:rsid w:val="002C4CAE"/>
    <w:rsid w:val="002D31E6"/>
    <w:rsid w:val="002D4CBD"/>
    <w:rsid w:val="002D71BD"/>
    <w:rsid w:val="002E3A67"/>
    <w:rsid w:val="002F42E8"/>
    <w:rsid w:val="002F594D"/>
    <w:rsid w:val="00301178"/>
    <w:rsid w:val="003047C4"/>
    <w:rsid w:val="0030582B"/>
    <w:rsid w:val="00305B62"/>
    <w:rsid w:val="00310ED4"/>
    <w:rsid w:val="00314863"/>
    <w:rsid w:val="0031604B"/>
    <w:rsid w:val="003171E0"/>
    <w:rsid w:val="00317CEC"/>
    <w:rsid w:val="0032214F"/>
    <w:rsid w:val="003242E6"/>
    <w:rsid w:val="003251F5"/>
    <w:rsid w:val="00333D97"/>
    <w:rsid w:val="00335C68"/>
    <w:rsid w:val="00335D63"/>
    <w:rsid w:val="00337279"/>
    <w:rsid w:val="00344313"/>
    <w:rsid w:val="00345D69"/>
    <w:rsid w:val="00346444"/>
    <w:rsid w:val="00350610"/>
    <w:rsid w:val="003513B2"/>
    <w:rsid w:val="00351EF3"/>
    <w:rsid w:val="003520D3"/>
    <w:rsid w:val="00352EB0"/>
    <w:rsid w:val="00353A06"/>
    <w:rsid w:val="00355CD3"/>
    <w:rsid w:val="00357705"/>
    <w:rsid w:val="003611FF"/>
    <w:rsid w:val="00366E76"/>
    <w:rsid w:val="00367CDF"/>
    <w:rsid w:val="00372D96"/>
    <w:rsid w:val="00373BA9"/>
    <w:rsid w:val="00374D55"/>
    <w:rsid w:val="003804D0"/>
    <w:rsid w:val="0038286D"/>
    <w:rsid w:val="003835CD"/>
    <w:rsid w:val="00385339"/>
    <w:rsid w:val="003861A1"/>
    <w:rsid w:val="00390DD0"/>
    <w:rsid w:val="00392448"/>
    <w:rsid w:val="00392CC6"/>
    <w:rsid w:val="0039367F"/>
    <w:rsid w:val="0039514A"/>
    <w:rsid w:val="00395305"/>
    <w:rsid w:val="003A1143"/>
    <w:rsid w:val="003A3963"/>
    <w:rsid w:val="003A4DC7"/>
    <w:rsid w:val="003A706B"/>
    <w:rsid w:val="003C4F70"/>
    <w:rsid w:val="003C5059"/>
    <w:rsid w:val="003C587E"/>
    <w:rsid w:val="003C68CC"/>
    <w:rsid w:val="003D0BA4"/>
    <w:rsid w:val="003D2DF8"/>
    <w:rsid w:val="003D4594"/>
    <w:rsid w:val="003D45C5"/>
    <w:rsid w:val="003D6179"/>
    <w:rsid w:val="003E46D6"/>
    <w:rsid w:val="003E50E0"/>
    <w:rsid w:val="003E524C"/>
    <w:rsid w:val="003E540F"/>
    <w:rsid w:val="003F10E5"/>
    <w:rsid w:val="003F1E38"/>
    <w:rsid w:val="003F3016"/>
    <w:rsid w:val="00402E79"/>
    <w:rsid w:val="0040476F"/>
    <w:rsid w:val="00404E59"/>
    <w:rsid w:val="004103BD"/>
    <w:rsid w:val="0041360F"/>
    <w:rsid w:val="00413C06"/>
    <w:rsid w:val="004236AF"/>
    <w:rsid w:val="004244C0"/>
    <w:rsid w:val="00425D57"/>
    <w:rsid w:val="00427F7B"/>
    <w:rsid w:val="00431B0F"/>
    <w:rsid w:val="004332E1"/>
    <w:rsid w:val="004364BC"/>
    <w:rsid w:val="00437546"/>
    <w:rsid w:val="00442D45"/>
    <w:rsid w:val="00452D10"/>
    <w:rsid w:val="004557C0"/>
    <w:rsid w:val="00460593"/>
    <w:rsid w:val="0046357D"/>
    <w:rsid w:val="00465CCA"/>
    <w:rsid w:val="00467269"/>
    <w:rsid w:val="00470680"/>
    <w:rsid w:val="004708D9"/>
    <w:rsid w:val="004710DC"/>
    <w:rsid w:val="0047383E"/>
    <w:rsid w:val="00475A5E"/>
    <w:rsid w:val="0048021A"/>
    <w:rsid w:val="004805E7"/>
    <w:rsid w:val="00480E1B"/>
    <w:rsid w:val="0048256A"/>
    <w:rsid w:val="0048698D"/>
    <w:rsid w:val="004878BB"/>
    <w:rsid w:val="004936FD"/>
    <w:rsid w:val="00493A66"/>
    <w:rsid w:val="0049584D"/>
    <w:rsid w:val="004A16E0"/>
    <w:rsid w:val="004A1F43"/>
    <w:rsid w:val="004A37C8"/>
    <w:rsid w:val="004A6A3C"/>
    <w:rsid w:val="004B00A9"/>
    <w:rsid w:val="004B155C"/>
    <w:rsid w:val="004B4F83"/>
    <w:rsid w:val="004B5A85"/>
    <w:rsid w:val="004B6405"/>
    <w:rsid w:val="004C58E5"/>
    <w:rsid w:val="004C6717"/>
    <w:rsid w:val="004D1229"/>
    <w:rsid w:val="004D45D9"/>
    <w:rsid w:val="004D4FDD"/>
    <w:rsid w:val="004D5DF6"/>
    <w:rsid w:val="004D667A"/>
    <w:rsid w:val="004E6065"/>
    <w:rsid w:val="004E7EA0"/>
    <w:rsid w:val="004F1779"/>
    <w:rsid w:val="004F2C7C"/>
    <w:rsid w:val="004F3F8A"/>
    <w:rsid w:val="004F6637"/>
    <w:rsid w:val="0050198B"/>
    <w:rsid w:val="00503807"/>
    <w:rsid w:val="00511033"/>
    <w:rsid w:val="00515BCE"/>
    <w:rsid w:val="00515BF1"/>
    <w:rsid w:val="00516D7F"/>
    <w:rsid w:val="00522711"/>
    <w:rsid w:val="0052272B"/>
    <w:rsid w:val="00522D60"/>
    <w:rsid w:val="005258C8"/>
    <w:rsid w:val="00525F1B"/>
    <w:rsid w:val="005317C9"/>
    <w:rsid w:val="00535E93"/>
    <w:rsid w:val="00536EDB"/>
    <w:rsid w:val="00537570"/>
    <w:rsid w:val="00537812"/>
    <w:rsid w:val="005403D8"/>
    <w:rsid w:val="00541BE9"/>
    <w:rsid w:val="005457DE"/>
    <w:rsid w:val="00553A86"/>
    <w:rsid w:val="0055740B"/>
    <w:rsid w:val="00562663"/>
    <w:rsid w:val="00563046"/>
    <w:rsid w:val="00565D28"/>
    <w:rsid w:val="005775EC"/>
    <w:rsid w:val="0058100B"/>
    <w:rsid w:val="00583D8E"/>
    <w:rsid w:val="00584721"/>
    <w:rsid w:val="00585D80"/>
    <w:rsid w:val="00586489"/>
    <w:rsid w:val="00587BF0"/>
    <w:rsid w:val="00590AF4"/>
    <w:rsid w:val="005944FA"/>
    <w:rsid w:val="00595655"/>
    <w:rsid w:val="00596D75"/>
    <w:rsid w:val="00597733"/>
    <w:rsid w:val="005A3866"/>
    <w:rsid w:val="005A38BA"/>
    <w:rsid w:val="005A3B4A"/>
    <w:rsid w:val="005A6580"/>
    <w:rsid w:val="005A7205"/>
    <w:rsid w:val="005B3D3C"/>
    <w:rsid w:val="005B4A08"/>
    <w:rsid w:val="005B5BEF"/>
    <w:rsid w:val="005C221A"/>
    <w:rsid w:val="005C325E"/>
    <w:rsid w:val="005C3A47"/>
    <w:rsid w:val="005D0752"/>
    <w:rsid w:val="005D3A74"/>
    <w:rsid w:val="005E7B50"/>
    <w:rsid w:val="005F2119"/>
    <w:rsid w:val="005F3A61"/>
    <w:rsid w:val="005F3FD3"/>
    <w:rsid w:val="005F42D6"/>
    <w:rsid w:val="00600A66"/>
    <w:rsid w:val="00604905"/>
    <w:rsid w:val="0060631B"/>
    <w:rsid w:val="00610321"/>
    <w:rsid w:val="00613B8B"/>
    <w:rsid w:val="00617BFD"/>
    <w:rsid w:val="0062289C"/>
    <w:rsid w:val="00630086"/>
    <w:rsid w:val="00630871"/>
    <w:rsid w:val="00632624"/>
    <w:rsid w:val="006359FE"/>
    <w:rsid w:val="00635D85"/>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857C9"/>
    <w:rsid w:val="006905A4"/>
    <w:rsid w:val="00690A5C"/>
    <w:rsid w:val="006A01CC"/>
    <w:rsid w:val="006A20BA"/>
    <w:rsid w:val="006A2C9E"/>
    <w:rsid w:val="006A7A7C"/>
    <w:rsid w:val="006B1FD8"/>
    <w:rsid w:val="006B4C81"/>
    <w:rsid w:val="006C2A34"/>
    <w:rsid w:val="006C58FA"/>
    <w:rsid w:val="006C7AFC"/>
    <w:rsid w:val="006D213E"/>
    <w:rsid w:val="006D6500"/>
    <w:rsid w:val="006D7514"/>
    <w:rsid w:val="006E169B"/>
    <w:rsid w:val="006E1A67"/>
    <w:rsid w:val="006E3883"/>
    <w:rsid w:val="006E3A3F"/>
    <w:rsid w:val="006F0969"/>
    <w:rsid w:val="006F4DFB"/>
    <w:rsid w:val="007007F0"/>
    <w:rsid w:val="007011B5"/>
    <w:rsid w:val="00707AD2"/>
    <w:rsid w:val="007111C1"/>
    <w:rsid w:val="007114E1"/>
    <w:rsid w:val="0071349D"/>
    <w:rsid w:val="00713583"/>
    <w:rsid w:val="00715F42"/>
    <w:rsid w:val="00721D18"/>
    <w:rsid w:val="00722696"/>
    <w:rsid w:val="00722F1C"/>
    <w:rsid w:val="00722F9E"/>
    <w:rsid w:val="007247ED"/>
    <w:rsid w:val="00724EB2"/>
    <w:rsid w:val="007260CB"/>
    <w:rsid w:val="00726546"/>
    <w:rsid w:val="00730A30"/>
    <w:rsid w:val="007332C9"/>
    <w:rsid w:val="00733621"/>
    <w:rsid w:val="00734961"/>
    <w:rsid w:val="00737218"/>
    <w:rsid w:val="007400D1"/>
    <w:rsid w:val="00744A24"/>
    <w:rsid w:val="00744CD2"/>
    <w:rsid w:val="0074680E"/>
    <w:rsid w:val="0074771C"/>
    <w:rsid w:val="00751080"/>
    <w:rsid w:val="007534C7"/>
    <w:rsid w:val="00755E9E"/>
    <w:rsid w:val="007601E3"/>
    <w:rsid w:val="00760BDA"/>
    <w:rsid w:val="007616D4"/>
    <w:rsid w:val="007618DC"/>
    <w:rsid w:val="00761C46"/>
    <w:rsid w:val="00763279"/>
    <w:rsid w:val="0076377A"/>
    <w:rsid w:val="00764A1A"/>
    <w:rsid w:val="0076549E"/>
    <w:rsid w:val="00767624"/>
    <w:rsid w:val="007678E4"/>
    <w:rsid w:val="00770733"/>
    <w:rsid w:val="00772901"/>
    <w:rsid w:val="00783FDF"/>
    <w:rsid w:val="007862E1"/>
    <w:rsid w:val="00786416"/>
    <w:rsid w:val="007903C6"/>
    <w:rsid w:val="00791047"/>
    <w:rsid w:val="007957AE"/>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59BD"/>
    <w:rsid w:val="007D5D64"/>
    <w:rsid w:val="007E2AC3"/>
    <w:rsid w:val="007E3D65"/>
    <w:rsid w:val="007E4139"/>
    <w:rsid w:val="007E534B"/>
    <w:rsid w:val="007F0A4A"/>
    <w:rsid w:val="007F0B67"/>
    <w:rsid w:val="007F129A"/>
    <w:rsid w:val="007F298D"/>
    <w:rsid w:val="007F2D7D"/>
    <w:rsid w:val="007F2DA2"/>
    <w:rsid w:val="007F32E9"/>
    <w:rsid w:val="007F4C69"/>
    <w:rsid w:val="007F5C20"/>
    <w:rsid w:val="007F5D3C"/>
    <w:rsid w:val="00803136"/>
    <w:rsid w:val="0080466D"/>
    <w:rsid w:val="008053FB"/>
    <w:rsid w:val="00806DF8"/>
    <w:rsid w:val="00807AF0"/>
    <w:rsid w:val="008143AC"/>
    <w:rsid w:val="008147C8"/>
    <w:rsid w:val="008212CE"/>
    <w:rsid w:val="00821615"/>
    <w:rsid w:val="008300FC"/>
    <w:rsid w:val="008319E9"/>
    <w:rsid w:val="00834668"/>
    <w:rsid w:val="00837BF7"/>
    <w:rsid w:val="00840891"/>
    <w:rsid w:val="00841635"/>
    <w:rsid w:val="008430D7"/>
    <w:rsid w:val="008433E6"/>
    <w:rsid w:val="008479D2"/>
    <w:rsid w:val="00847C94"/>
    <w:rsid w:val="00851C7A"/>
    <w:rsid w:val="008527E9"/>
    <w:rsid w:val="00852CAB"/>
    <w:rsid w:val="00852D8C"/>
    <w:rsid w:val="00853E09"/>
    <w:rsid w:val="00856BC9"/>
    <w:rsid w:val="008629D9"/>
    <w:rsid w:val="00865CC3"/>
    <w:rsid w:val="00871791"/>
    <w:rsid w:val="0087571D"/>
    <w:rsid w:val="00875D6F"/>
    <w:rsid w:val="00877289"/>
    <w:rsid w:val="0088158C"/>
    <w:rsid w:val="00882178"/>
    <w:rsid w:val="0088578B"/>
    <w:rsid w:val="00886F37"/>
    <w:rsid w:val="008921DA"/>
    <w:rsid w:val="00894480"/>
    <w:rsid w:val="00895068"/>
    <w:rsid w:val="00895FF2"/>
    <w:rsid w:val="008976A2"/>
    <w:rsid w:val="008A00D6"/>
    <w:rsid w:val="008A299B"/>
    <w:rsid w:val="008A4B03"/>
    <w:rsid w:val="008A6331"/>
    <w:rsid w:val="008B109E"/>
    <w:rsid w:val="008B2082"/>
    <w:rsid w:val="008B2CFA"/>
    <w:rsid w:val="008B5647"/>
    <w:rsid w:val="008B6351"/>
    <w:rsid w:val="008C0B49"/>
    <w:rsid w:val="008C0B7D"/>
    <w:rsid w:val="008C15D8"/>
    <w:rsid w:val="008C2835"/>
    <w:rsid w:val="008C4949"/>
    <w:rsid w:val="008C6A45"/>
    <w:rsid w:val="008D3DE1"/>
    <w:rsid w:val="008D6063"/>
    <w:rsid w:val="008E2913"/>
    <w:rsid w:val="008E5EFC"/>
    <w:rsid w:val="008F1F2A"/>
    <w:rsid w:val="008F2EDD"/>
    <w:rsid w:val="008F4A87"/>
    <w:rsid w:val="008F4CE4"/>
    <w:rsid w:val="008F4DC5"/>
    <w:rsid w:val="008F50C8"/>
    <w:rsid w:val="008F56E1"/>
    <w:rsid w:val="008F6B9A"/>
    <w:rsid w:val="008F7C56"/>
    <w:rsid w:val="00906369"/>
    <w:rsid w:val="009077E1"/>
    <w:rsid w:val="00910A56"/>
    <w:rsid w:val="00910A8E"/>
    <w:rsid w:val="00913F49"/>
    <w:rsid w:val="00915938"/>
    <w:rsid w:val="00916187"/>
    <w:rsid w:val="009170DA"/>
    <w:rsid w:val="00917DFE"/>
    <w:rsid w:val="00920774"/>
    <w:rsid w:val="009213C3"/>
    <w:rsid w:val="00923533"/>
    <w:rsid w:val="00924687"/>
    <w:rsid w:val="009271FA"/>
    <w:rsid w:val="0092774C"/>
    <w:rsid w:val="009278D6"/>
    <w:rsid w:val="009309DD"/>
    <w:rsid w:val="009339ED"/>
    <w:rsid w:val="009341FB"/>
    <w:rsid w:val="00937056"/>
    <w:rsid w:val="00937AD9"/>
    <w:rsid w:val="009400EE"/>
    <w:rsid w:val="00942384"/>
    <w:rsid w:val="00950C6E"/>
    <w:rsid w:val="009516A8"/>
    <w:rsid w:val="00955466"/>
    <w:rsid w:val="00962C0D"/>
    <w:rsid w:val="00963F74"/>
    <w:rsid w:val="009645C9"/>
    <w:rsid w:val="00964C1B"/>
    <w:rsid w:val="009761ED"/>
    <w:rsid w:val="00981F6D"/>
    <w:rsid w:val="00986CB3"/>
    <w:rsid w:val="00986FFB"/>
    <w:rsid w:val="00990AE3"/>
    <w:rsid w:val="00990C55"/>
    <w:rsid w:val="0099263E"/>
    <w:rsid w:val="00996752"/>
    <w:rsid w:val="00997350"/>
    <w:rsid w:val="009A1DC6"/>
    <w:rsid w:val="009A242B"/>
    <w:rsid w:val="009A283C"/>
    <w:rsid w:val="009A2C5B"/>
    <w:rsid w:val="009A5EB7"/>
    <w:rsid w:val="009A6ADF"/>
    <w:rsid w:val="009B7E48"/>
    <w:rsid w:val="009C07D6"/>
    <w:rsid w:val="009C554B"/>
    <w:rsid w:val="009C5AA9"/>
    <w:rsid w:val="009D58C1"/>
    <w:rsid w:val="009E1FE2"/>
    <w:rsid w:val="009E3E36"/>
    <w:rsid w:val="009E4913"/>
    <w:rsid w:val="009E5647"/>
    <w:rsid w:val="009F082F"/>
    <w:rsid w:val="009F444F"/>
    <w:rsid w:val="009F505B"/>
    <w:rsid w:val="009F5FEB"/>
    <w:rsid w:val="009F66CE"/>
    <w:rsid w:val="009F7B1B"/>
    <w:rsid w:val="00A0035B"/>
    <w:rsid w:val="00A009E3"/>
    <w:rsid w:val="00A02093"/>
    <w:rsid w:val="00A02233"/>
    <w:rsid w:val="00A02EE2"/>
    <w:rsid w:val="00A03061"/>
    <w:rsid w:val="00A04917"/>
    <w:rsid w:val="00A06633"/>
    <w:rsid w:val="00A10235"/>
    <w:rsid w:val="00A11A53"/>
    <w:rsid w:val="00A1332C"/>
    <w:rsid w:val="00A13CBB"/>
    <w:rsid w:val="00A149BF"/>
    <w:rsid w:val="00A20CC7"/>
    <w:rsid w:val="00A21CEC"/>
    <w:rsid w:val="00A22CED"/>
    <w:rsid w:val="00A26DDE"/>
    <w:rsid w:val="00A309FC"/>
    <w:rsid w:val="00A37769"/>
    <w:rsid w:val="00A41636"/>
    <w:rsid w:val="00A422A6"/>
    <w:rsid w:val="00A42483"/>
    <w:rsid w:val="00A4307E"/>
    <w:rsid w:val="00A442D1"/>
    <w:rsid w:val="00A462E7"/>
    <w:rsid w:val="00A5414B"/>
    <w:rsid w:val="00A57521"/>
    <w:rsid w:val="00A63DA0"/>
    <w:rsid w:val="00A659E1"/>
    <w:rsid w:val="00A67AFA"/>
    <w:rsid w:val="00A724FF"/>
    <w:rsid w:val="00A7657B"/>
    <w:rsid w:val="00A777B9"/>
    <w:rsid w:val="00A8622B"/>
    <w:rsid w:val="00A91C12"/>
    <w:rsid w:val="00A94497"/>
    <w:rsid w:val="00A948BF"/>
    <w:rsid w:val="00A95921"/>
    <w:rsid w:val="00A969CE"/>
    <w:rsid w:val="00A96AD5"/>
    <w:rsid w:val="00A9790B"/>
    <w:rsid w:val="00AA1DB0"/>
    <w:rsid w:val="00AA787E"/>
    <w:rsid w:val="00AB2086"/>
    <w:rsid w:val="00AB25E3"/>
    <w:rsid w:val="00AB2D5A"/>
    <w:rsid w:val="00AB4822"/>
    <w:rsid w:val="00AB69C6"/>
    <w:rsid w:val="00AB78CF"/>
    <w:rsid w:val="00AC00EC"/>
    <w:rsid w:val="00AC0F06"/>
    <w:rsid w:val="00AC39A2"/>
    <w:rsid w:val="00AC55DA"/>
    <w:rsid w:val="00AC5AD5"/>
    <w:rsid w:val="00AC5B82"/>
    <w:rsid w:val="00AC6026"/>
    <w:rsid w:val="00AC6EB4"/>
    <w:rsid w:val="00AC7CAD"/>
    <w:rsid w:val="00AD1D94"/>
    <w:rsid w:val="00AD4056"/>
    <w:rsid w:val="00AD55B5"/>
    <w:rsid w:val="00AD61F4"/>
    <w:rsid w:val="00AD78F8"/>
    <w:rsid w:val="00AE6EE8"/>
    <w:rsid w:val="00AF0DBB"/>
    <w:rsid w:val="00B00AB0"/>
    <w:rsid w:val="00B01827"/>
    <w:rsid w:val="00B018D4"/>
    <w:rsid w:val="00B01F9D"/>
    <w:rsid w:val="00B02B68"/>
    <w:rsid w:val="00B03578"/>
    <w:rsid w:val="00B05975"/>
    <w:rsid w:val="00B13645"/>
    <w:rsid w:val="00B13766"/>
    <w:rsid w:val="00B16426"/>
    <w:rsid w:val="00B21EC8"/>
    <w:rsid w:val="00B25F0D"/>
    <w:rsid w:val="00B31C4D"/>
    <w:rsid w:val="00B32A75"/>
    <w:rsid w:val="00B33366"/>
    <w:rsid w:val="00B33477"/>
    <w:rsid w:val="00B366FB"/>
    <w:rsid w:val="00B36705"/>
    <w:rsid w:val="00B51E07"/>
    <w:rsid w:val="00B52897"/>
    <w:rsid w:val="00B535FC"/>
    <w:rsid w:val="00B5414B"/>
    <w:rsid w:val="00B571DE"/>
    <w:rsid w:val="00B60486"/>
    <w:rsid w:val="00B6231B"/>
    <w:rsid w:val="00B674BF"/>
    <w:rsid w:val="00B717EF"/>
    <w:rsid w:val="00B749D9"/>
    <w:rsid w:val="00B75839"/>
    <w:rsid w:val="00B7631F"/>
    <w:rsid w:val="00B77A03"/>
    <w:rsid w:val="00B9013A"/>
    <w:rsid w:val="00B90DD6"/>
    <w:rsid w:val="00B94A56"/>
    <w:rsid w:val="00B95EB9"/>
    <w:rsid w:val="00B97E97"/>
    <w:rsid w:val="00BA1012"/>
    <w:rsid w:val="00BA1BCF"/>
    <w:rsid w:val="00BA344B"/>
    <w:rsid w:val="00BA494A"/>
    <w:rsid w:val="00BA4FCC"/>
    <w:rsid w:val="00BA58BB"/>
    <w:rsid w:val="00BA74D5"/>
    <w:rsid w:val="00BB159E"/>
    <w:rsid w:val="00BB198A"/>
    <w:rsid w:val="00BB1B4A"/>
    <w:rsid w:val="00BB3388"/>
    <w:rsid w:val="00BB49E0"/>
    <w:rsid w:val="00BC0AC6"/>
    <w:rsid w:val="00BC0B3B"/>
    <w:rsid w:val="00BC2C82"/>
    <w:rsid w:val="00BC2D5D"/>
    <w:rsid w:val="00BC7798"/>
    <w:rsid w:val="00BD16E3"/>
    <w:rsid w:val="00BD5B6F"/>
    <w:rsid w:val="00BE115C"/>
    <w:rsid w:val="00BE135C"/>
    <w:rsid w:val="00BE6EAB"/>
    <w:rsid w:val="00BE765A"/>
    <w:rsid w:val="00BF3148"/>
    <w:rsid w:val="00BF778E"/>
    <w:rsid w:val="00BF7D58"/>
    <w:rsid w:val="00C02E1B"/>
    <w:rsid w:val="00C06535"/>
    <w:rsid w:val="00C13087"/>
    <w:rsid w:val="00C13B0F"/>
    <w:rsid w:val="00C14C04"/>
    <w:rsid w:val="00C170A6"/>
    <w:rsid w:val="00C171A9"/>
    <w:rsid w:val="00C17CAD"/>
    <w:rsid w:val="00C23EEB"/>
    <w:rsid w:val="00C247D3"/>
    <w:rsid w:val="00C24DCF"/>
    <w:rsid w:val="00C25A37"/>
    <w:rsid w:val="00C31831"/>
    <w:rsid w:val="00C328CB"/>
    <w:rsid w:val="00C335BE"/>
    <w:rsid w:val="00C36E68"/>
    <w:rsid w:val="00C41669"/>
    <w:rsid w:val="00C43766"/>
    <w:rsid w:val="00C46096"/>
    <w:rsid w:val="00C477C4"/>
    <w:rsid w:val="00C5147E"/>
    <w:rsid w:val="00C5150F"/>
    <w:rsid w:val="00C554CB"/>
    <w:rsid w:val="00C56371"/>
    <w:rsid w:val="00C569D1"/>
    <w:rsid w:val="00C57B14"/>
    <w:rsid w:val="00C60EE8"/>
    <w:rsid w:val="00C6198F"/>
    <w:rsid w:val="00C620BC"/>
    <w:rsid w:val="00C634CB"/>
    <w:rsid w:val="00C64798"/>
    <w:rsid w:val="00C669A7"/>
    <w:rsid w:val="00C71E7C"/>
    <w:rsid w:val="00C73C25"/>
    <w:rsid w:val="00C77C4F"/>
    <w:rsid w:val="00C80A87"/>
    <w:rsid w:val="00C81036"/>
    <w:rsid w:val="00C84E48"/>
    <w:rsid w:val="00C875F4"/>
    <w:rsid w:val="00C87716"/>
    <w:rsid w:val="00C9182A"/>
    <w:rsid w:val="00C91D77"/>
    <w:rsid w:val="00C9251D"/>
    <w:rsid w:val="00C92E1B"/>
    <w:rsid w:val="00C94947"/>
    <w:rsid w:val="00C9579D"/>
    <w:rsid w:val="00C96ADD"/>
    <w:rsid w:val="00CA0F26"/>
    <w:rsid w:val="00CA3641"/>
    <w:rsid w:val="00CB122C"/>
    <w:rsid w:val="00CB68E5"/>
    <w:rsid w:val="00CB77F2"/>
    <w:rsid w:val="00CD0116"/>
    <w:rsid w:val="00CD0272"/>
    <w:rsid w:val="00CD3E81"/>
    <w:rsid w:val="00CD51A1"/>
    <w:rsid w:val="00CD5F45"/>
    <w:rsid w:val="00CD6DB6"/>
    <w:rsid w:val="00CD774B"/>
    <w:rsid w:val="00CE2CE8"/>
    <w:rsid w:val="00CE32F8"/>
    <w:rsid w:val="00CE34DD"/>
    <w:rsid w:val="00CE3E03"/>
    <w:rsid w:val="00CE57F6"/>
    <w:rsid w:val="00CE7106"/>
    <w:rsid w:val="00CF0C88"/>
    <w:rsid w:val="00CF257B"/>
    <w:rsid w:val="00CF4618"/>
    <w:rsid w:val="00CF618E"/>
    <w:rsid w:val="00D05149"/>
    <w:rsid w:val="00D05C7B"/>
    <w:rsid w:val="00D06365"/>
    <w:rsid w:val="00D06EAA"/>
    <w:rsid w:val="00D07B4F"/>
    <w:rsid w:val="00D10FD1"/>
    <w:rsid w:val="00D15B45"/>
    <w:rsid w:val="00D15E10"/>
    <w:rsid w:val="00D168DC"/>
    <w:rsid w:val="00D21876"/>
    <w:rsid w:val="00D222FA"/>
    <w:rsid w:val="00D23899"/>
    <w:rsid w:val="00D245B3"/>
    <w:rsid w:val="00D27420"/>
    <w:rsid w:val="00D3330A"/>
    <w:rsid w:val="00D33E13"/>
    <w:rsid w:val="00D3480A"/>
    <w:rsid w:val="00D367E6"/>
    <w:rsid w:val="00D36915"/>
    <w:rsid w:val="00D372F6"/>
    <w:rsid w:val="00D40A7B"/>
    <w:rsid w:val="00D40BC1"/>
    <w:rsid w:val="00D40DC1"/>
    <w:rsid w:val="00D41974"/>
    <w:rsid w:val="00D421BB"/>
    <w:rsid w:val="00D47384"/>
    <w:rsid w:val="00D47FE8"/>
    <w:rsid w:val="00D52416"/>
    <w:rsid w:val="00D53C7F"/>
    <w:rsid w:val="00D576C2"/>
    <w:rsid w:val="00D57F8E"/>
    <w:rsid w:val="00D615F0"/>
    <w:rsid w:val="00D631BE"/>
    <w:rsid w:val="00D6594D"/>
    <w:rsid w:val="00D66773"/>
    <w:rsid w:val="00D67624"/>
    <w:rsid w:val="00D70A1C"/>
    <w:rsid w:val="00D714E4"/>
    <w:rsid w:val="00D746A7"/>
    <w:rsid w:val="00D74FF6"/>
    <w:rsid w:val="00D77255"/>
    <w:rsid w:val="00D83D41"/>
    <w:rsid w:val="00D87D6D"/>
    <w:rsid w:val="00DA3111"/>
    <w:rsid w:val="00DA3C92"/>
    <w:rsid w:val="00DB0F86"/>
    <w:rsid w:val="00DB2139"/>
    <w:rsid w:val="00DB61DD"/>
    <w:rsid w:val="00DB6984"/>
    <w:rsid w:val="00DB7A01"/>
    <w:rsid w:val="00DC60D2"/>
    <w:rsid w:val="00DC647D"/>
    <w:rsid w:val="00DD14FF"/>
    <w:rsid w:val="00DD5A7D"/>
    <w:rsid w:val="00DE1329"/>
    <w:rsid w:val="00DE3948"/>
    <w:rsid w:val="00DE578E"/>
    <w:rsid w:val="00DE67EB"/>
    <w:rsid w:val="00DF29C2"/>
    <w:rsid w:val="00DF2B06"/>
    <w:rsid w:val="00E046CD"/>
    <w:rsid w:val="00E07A59"/>
    <w:rsid w:val="00E11387"/>
    <w:rsid w:val="00E11A1B"/>
    <w:rsid w:val="00E11D38"/>
    <w:rsid w:val="00E12007"/>
    <w:rsid w:val="00E124DF"/>
    <w:rsid w:val="00E14155"/>
    <w:rsid w:val="00E1495F"/>
    <w:rsid w:val="00E15E44"/>
    <w:rsid w:val="00E17B0F"/>
    <w:rsid w:val="00E202E4"/>
    <w:rsid w:val="00E23D8E"/>
    <w:rsid w:val="00E25FA7"/>
    <w:rsid w:val="00E26CCC"/>
    <w:rsid w:val="00E26D1D"/>
    <w:rsid w:val="00E26D37"/>
    <w:rsid w:val="00E31B82"/>
    <w:rsid w:val="00E3434A"/>
    <w:rsid w:val="00E36B38"/>
    <w:rsid w:val="00E36C32"/>
    <w:rsid w:val="00E41769"/>
    <w:rsid w:val="00E421C0"/>
    <w:rsid w:val="00E437CD"/>
    <w:rsid w:val="00E442EF"/>
    <w:rsid w:val="00E45FFF"/>
    <w:rsid w:val="00E47596"/>
    <w:rsid w:val="00E4778F"/>
    <w:rsid w:val="00E50319"/>
    <w:rsid w:val="00E511F4"/>
    <w:rsid w:val="00E5262F"/>
    <w:rsid w:val="00E550F9"/>
    <w:rsid w:val="00E55474"/>
    <w:rsid w:val="00E565DB"/>
    <w:rsid w:val="00E64748"/>
    <w:rsid w:val="00E64D2C"/>
    <w:rsid w:val="00E67ADA"/>
    <w:rsid w:val="00E708EC"/>
    <w:rsid w:val="00E70E9A"/>
    <w:rsid w:val="00E7114D"/>
    <w:rsid w:val="00E71469"/>
    <w:rsid w:val="00E71A49"/>
    <w:rsid w:val="00E71FC3"/>
    <w:rsid w:val="00E72A87"/>
    <w:rsid w:val="00E73050"/>
    <w:rsid w:val="00E7733C"/>
    <w:rsid w:val="00E85733"/>
    <w:rsid w:val="00E90863"/>
    <w:rsid w:val="00E9232D"/>
    <w:rsid w:val="00E92405"/>
    <w:rsid w:val="00E930B9"/>
    <w:rsid w:val="00E93509"/>
    <w:rsid w:val="00E961F1"/>
    <w:rsid w:val="00EA0A4E"/>
    <w:rsid w:val="00EA0F6E"/>
    <w:rsid w:val="00EA5788"/>
    <w:rsid w:val="00EA6602"/>
    <w:rsid w:val="00EA781E"/>
    <w:rsid w:val="00EB631C"/>
    <w:rsid w:val="00EC54AF"/>
    <w:rsid w:val="00EC6636"/>
    <w:rsid w:val="00EC69DA"/>
    <w:rsid w:val="00ED70D8"/>
    <w:rsid w:val="00EE1957"/>
    <w:rsid w:val="00EE3C5F"/>
    <w:rsid w:val="00EE5A90"/>
    <w:rsid w:val="00EF237E"/>
    <w:rsid w:val="00EF48D1"/>
    <w:rsid w:val="00EF66BB"/>
    <w:rsid w:val="00EF7DA8"/>
    <w:rsid w:val="00F00823"/>
    <w:rsid w:val="00F015B7"/>
    <w:rsid w:val="00F03100"/>
    <w:rsid w:val="00F05FDA"/>
    <w:rsid w:val="00F0756A"/>
    <w:rsid w:val="00F0775A"/>
    <w:rsid w:val="00F1156A"/>
    <w:rsid w:val="00F11721"/>
    <w:rsid w:val="00F11939"/>
    <w:rsid w:val="00F1266D"/>
    <w:rsid w:val="00F134B9"/>
    <w:rsid w:val="00F15A0A"/>
    <w:rsid w:val="00F2459E"/>
    <w:rsid w:val="00F269BC"/>
    <w:rsid w:val="00F27D3D"/>
    <w:rsid w:val="00F300ED"/>
    <w:rsid w:val="00F34DC0"/>
    <w:rsid w:val="00F367E4"/>
    <w:rsid w:val="00F36F8E"/>
    <w:rsid w:val="00F42E61"/>
    <w:rsid w:val="00F43FCD"/>
    <w:rsid w:val="00F467AF"/>
    <w:rsid w:val="00F5639B"/>
    <w:rsid w:val="00F6238F"/>
    <w:rsid w:val="00F64975"/>
    <w:rsid w:val="00F64AB2"/>
    <w:rsid w:val="00F6625B"/>
    <w:rsid w:val="00F700DE"/>
    <w:rsid w:val="00F733A7"/>
    <w:rsid w:val="00F740EF"/>
    <w:rsid w:val="00F81BDE"/>
    <w:rsid w:val="00F85920"/>
    <w:rsid w:val="00F86F12"/>
    <w:rsid w:val="00F87817"/>
    <w:rsid w:val="00F90C46"/>
    <w:rsid w:val="00F91E7A"/>
    <w:rsid w:val="00F93DAC"/>
    <w:rsid w:val="00FA1C36"/>
    <w:rsid w:val="00FA3630"/>
    <w:rsid w:val="00FA68AD"/>
    <w:rsid w:val="00FA7A61"/>
    <w:rsid w:val="00FB2969"/>
    <w:rsid w:val="00FB2BD4"/>
    <w:rsid w:val="00FB44DC"/>
    <w:rsid w:val="00FB5348"/>
    <w:rsid w:val="00FB789B"/>
    <w:rsid w:val="00FC08BF"/>
    <w:rsid w:val="00FC0D46"/>
    <w:rsid w:val="00FC1AA1"/>
    <w:rsid w:val="00FC1CE6"/>
    <w:rsid w:val="00FC3240"/>
    <w:rsid w:val="00FC33FB"/>
    <w:rsid w:val="00FD0459"/>
    <w:rsid w:val="00FD4FC9"/>
    <w:rsid w:val="00FE3566"/>
    <w:rsid w:val="00FE456C"/>
    <w:rsid w:val="00FE4805"/>
    <w:rsid w:val="00FE4DED"/>
    <w:rsid w:val="00FE682B"/>
    <w:rsid w:val="00FE70E3"/>
    <w:rsid w:val="00FE7109"/>
    <w:rsid w:val="00FF069D"/>
    <w:rsid w:val="00FF5711"/>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71BEF"/>
  <w15:docId w15:val="{59AB582C-5E21-4939-8D8A-35A46419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aliases w:val="List Paragraph,titulo 3,Ha,Párrafo de lista2,Bullets,Lista vistosa - Énfasis 11,List,Cuadrícula clara - Énfasis 31"/>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Footnote Text Cha"/>
    <w:basedOn w:val="Normal"/>
    <w:link w:val="TextonotapieCar"/>
    <w:uiPriority w:val="99"/>
    <w:unhideWhenUsed/>
    <w:qFormat/>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287550"/>
    <w:rPr>
      <w:color w:val="000000"/>
      <w:lang w:val="es-ES_tradnl" w:eastAsia="es-CO"/>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Ref"/>
    <w:basedOn w:val="Fuentedeprrafopredeter"/>
    <w:uiPriority w:val="99"/>
    <w:qFormat/>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aliases w:val="List Paragraph Car,titulo 3 Car,Ha Car,Párrafo de lista2 Car,Bullets Car,Lista vistosa - Énfasis 11 Car,List Car,Cuadrícula clara - Énfasis 31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uiPriority w:val="99"/>
    <w:unhideWhenUsed/>
    <w:rsid w:val="0040476F"/>
    <w:rPr>
      <w:sz w:val="16"/>
      <w:szCs w:val="16"/>
    </w:rPr>
  </w:style>
  <w:style w:type="paragraph" w:styleId="Textocomentario">
    <w:name w:val="annotation text"/>
    <w:basedOn w:val="Normal"/>
    <w:link w:val="TextocomentarioCar"/>
    <w:uiPriority w:val="99"/>
    <w:unhideWhenUsed/>
    <w:rsid w:val="0040476F"/>
  </w:style>
  <w:style w:type="character" w:customStyle="1" w:styleId="TextocomentarioCar">
    <w:name w:val="Texto comentario Car"/>
    <w:basedOn w:val="Fuentedeprrafopredeter"/>
    <w:link w:val="Textocomentario"/>
    <w:uiPriority w:val="99"/>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 w:type="character" w:customStyle="1" w:styleId="EncabezadoCar">
    <w:name w:val="Encabezado Car"/>
    <w:aliases w:val="h Car,h8 Car,h9 Car,h10 Car,h18 Car"/>
    <w:basedOn w:val="Fuentedeprrafopredeter"/>
    <w:link w:val="Encabezado"/>
    <w:uiPriority w:val="99"/>
    <w:rsid w:val="00DE3948"/>
    <w:rPr>
      <w:lang w:val="es-ES" w:eastAsia="es-ES"/>
    </w:rPr>
  </w:style>
  <w:style w:type="paragraph" w:customStyle="1" w:styleId="CM43">
    <w:name w:val="CM43"/>
    <w:basedOn w:val="Default"/>
    <w:next w:val="Default"/>
    <w:uiPriority w:val="99"/>
    <w:rsid w:val="006C7AFC"/>
    <w:pPr>
      <w:widowControl w:val="0"/>
      <w:spacing w:after="598"/>
    </w:pPr>
    <w:rPr>
      <w:rFonts w:eastAsia="Times New Roman"/>
      <w:color w:val="auto"/>
      <w:lang w:val="es-ES" w:eastAsia="es-ES"/>
    </w:rPr>
  </w:style>
  <w:style w:type="character" w:styleId="Hipervnculo">
    <w:name w:val="Hyperlink"/>
    <w:basedOn w:val="Fuentedeprrafopredeter"/>
    <w:unhideWhenUsed/>
    <w:rsid w:val="00B52897"/>
    <w:rPr>
      <w:color w:val="0000FF" w:themeColor="hyperlink"/>
      <w:u w:val="single"/>
    </w:rPr>
  </w:style>
  <w:style w:type="character" w:customStyle="1" w:styleId="Mencinsinresolver1">
    <w:name w:val="Mención sin resolver1"/>
    <w:basedOn w:val="Fuentedeprrafopredeter"/>
    <w:uiPriority w:val="99"/>
    <w:semiHidden/>
    <w:unhideWhenUsed/>
    <w:rsid w:val="00B52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7798">
      <w:bodyDiv w:val="1"/>
      <w:marLeft w:val="0"/>
      <w:marRight w:val="0"/>
      <w:marTop w:val="0"/>
      <w:marBottom w:val="0"/>
      <w:divBdr>
        <w:top w:val="none" w:sz="0" w:space="0" w:color="auto"/>
        <w:left w:val="none" w:sz="0" w:space="0" w:color="auto"/>
        <w:bottom w:val="none" w:sz="0" w:space="0" w:color="auto"/>
        <w:right w:val="none" w:sz="0" w:space="0" w:color="auto"/>
      </w:divBdr>
    </w:div>
    <w:div w:id="126821482">
      <w:bodyDiv w:val="1"/>
      <w:marLeft w:val="0"/>
      <w:marRight w:val="0"/>
      <w:marTop w:val="0"/>
      <w:marBottom w:val="0"/>
      <w:divBdr>
        <w:top w:val="none" w:sz="0" w:space="0" w:color="auto"/>
        <w:left w:val="none" w:sz="0" w:space="0" w:color="auto"/>
        <w:bottom w:val="none" w:sz="0" w:space="0" w:color="auto"/>
        <w:right w:val="none" w:sz="0" w:space="0" w:color="auto"/>
      </w:divBdr>
    </w:div>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420570599">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858660138">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031372599">
      <w:bodyDiv w:val="1"/>
      <w:marLeft w:val="0"/>
      <w:marRight w:val="0"/>
      <w:marTop w:val="0"/>
      <w:marBottom w:val="0"/>
      <w:divBdr>
        <w:top w:val="none" w:sz="0" w:space="0" w:color="auto"/>
        <w:left w:val="none" w:sz="0" w:space="0" w:color="auto"/>
        <w:bottom w:val="none" w:sz="0" w:space="0" w:color="auto"/>
        <w:right w:val="none" w:sz="0" w:space="0" w:color="auto"/>
      </w:divBdr>
    </w:div>
    <w:div w:id="1145316589">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25868035">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819767286">
      <w:bodyDiv w:val="1"/>
      <w:marLeft w:val="0"/>
      <w:marRight w:val="0"/>
      <w:marTop w:val="0"/>
      <w:marBottom w:val="0"/>
      <w:divBdr>
        <w:top w:val="none" w:sz="0" w:space="0" w:color="auto"/>
        <w:left w:val="none" w:sz="0" w:space="0" w:color="auto"/>
        <w:bottom w:val="none" w:sz="0" w:space="0" w:color="auto"/>
        <w:right w:val="none" w:sz="0" w:space="0" w:color="auto"/>
      </w:divBdr>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1957517847">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B941CD9003CC47BD18AD712D95C33A" ma:contentTypeVersion="2" ma:contentTypeDescription="Crear nuevo documento." ma:contentTypeScope="" ma:versionID="259454c4de9531777205bb728e47c613">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6978-8A9D-4872-AF20-A7E7F2F41F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36BE7A-D038-4C63-B373-546569DEDF0F}">
  <ds:schemaRefs>
    <ds:schemaRef ds:uri="http://schemas.microsoft.com/sharepoint/v3/contenttype/forms"/>
  </ds:schemaRefs>
</ds:datastoreItem>
</file>

<file path=customXml/itemProps3.xml><?xml version="1.0" encoding="utf-8"?>
<ds:datastoreItem xmlns:ds="http://schemas.openxmlformats.org/officeDocument/2006/customXml" ds:itemID="{E53246D2-EF7A-4FB1-BE93-55500E0B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CEF4A3-C721-4D74-9BDF-BC08CABE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3948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Gina Maria Torres Nieto</cp:lastModifiedBy>
  <cp:revision>2</cp:revision>
  <cp:lastPrinted>2019-02-13T19:42:00Z</cp:lastPrinted>
  <dcterms:created xsi:type="dcterms:W3CDTF">2019-05-10T23:09:00Z</dcterms:created>
  <dcterms:modified xsi:type="dcterms:W3CDTF">2019-05-10T23:09:00Z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0x010100C2B941CD9003CC47BD18AD712D95C33A</vt:lpwstr>
  </property>
</Properties>
</file>