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7A60" w14:textId="6DBF884C" w:rsidR="00D66A18" w:rsidRPr="00D66A18" w:rsidRDefault="00D66A18" w:rsidP="00D66A18">
      <w:pPr>
        <w:shd w:val="clear" w:color="auto" w:fill="FFFFFF"/>
        <w:spacing w:after="0" w:line="240" w:lineRule="auto"/>
        <w:jc w:val="both"/>
        <w:rPr>
          <w:rFonts w:ascii="Arial" w:eastAsia="Times New Roman" w:hAnsi="Arial" w:cs="Arial"/>
          <w:b/>
          <w:bCs/>
          <w:color w:val="444444"/>
          <w:sz w:val="24"/>
          <w:szCs w:val="24"/>
          <w:bdr w:val="none" w:sz="0" w:space="0" w:color="auto" w:frame="1"/>
          <w:lang w:eastAsia="es-CO"/>
        </w:rPr>
      </w:pPr>
      <w:r>
        <w:rPr>
          <w:rFonts w:ascii="Arial" w:eastAsia="Times New Roman" w:hAnsi="Arial" w:cs="Arial"/>
          <w:b/>
          <w:bCs/>
          <w:color w:val="444444"/>
          <w:sz w:val="24"/>
          <w:szCs w:val="24"/>
          <w:bdr w:val="none" w:sz="0" w:space="0" w:color="auto" w:frame="1"/>
          <w:lang w:eastAsia="es-CO"/>
        </w:rPr>
        <w:t>Resumen Auto 894/22</w:t>
      </w:r>
    </w:p>
    <w:p w14:paraId="55878FD0" w14:textId="77777777" w:rsidR="00D66A18" w:rsidRDefault="00D66A18" w:rsidP="00D66A18">
      <w:pPr>
        <w:shd w:val="clear" w:color="auto" w:fill="FFFFFF"/>
        <w:spacing w:after="0" w:line="240" w:lineRule="auto"/>
        <w:jc w:val="both"/>
        <w:rPr>
          <w:rFonts w:ascii="Arial" w:eastAsia="Times New Roman" w:hAnsi="Arial" w:cs="Arial"/>
          <w:color w:val="444444"/>
          <w:sz w:val="24"/>
          <w:szCs w:val="24"/>
          <w:bdr w:val="none" w:sz="0" w:space="0" w:color="auto" w:frame="1"/>
          <w:lang w:eastAsia="es-CO"/>
        </w:rPr>
      </w:pPr>
    </w:p>
    <w:p w14:paraId="6FE440B9" w14:textId="67DCAAB1" w:rsidR="00D66A18" w:rsidRDefault="00D66A18" w:rsidP="00D66A18">
      <w:pPr>
        <w:shd w:val="clear" w:color="auto" w:fill="FFFFFF"/>
        <w:spacing w:after="0" w:line="240" w:lineRule="auto"/>
        <w:jc w:val="both"/>
        <w:rPr>
          <w:rFonts w:ascii="Arial" w:eastAsia="Times New Roman" w:hAnsi="Arial" w:cs="Arial"/>
          <w:color w:val="444444"/>
          <w:sz w:val="24"/>
          <w:szCs w:val="24"/>
          <w:bdr w:val="none" w:sz="0" w:space="0" w:color="auto" w:frame="1"/>
          <w:lang w:eastAsia="es-CO"/>
        </w:rPr>
      </w:pPr>
      <w:r w:rsidRPr="00D66A18">
        <w:rPr>
          <w:rFonts w:ascii="Arial" w:eastAsia="Times New Roman" w:hAnsi="Arial" w:cs="Arial"/>
          <w:color w:val="444444"/>
          <w:sz w:val="24"/>
          <w:szCs w:val="24"/>
          <w:bdr w:val="none" w:sz="0" w:space="0" w:color="auto" w:frame="1"/>
          <w:lang w:eastAsia="es-CO"/>
        </w:rPr>
        <w:t>La Corte Constitucional ordenó al Gobierno Nacional implementar siete planes de choque para cada una de las regiones identificadas por la Defensoría del Pueblo como zonas con emergencias humanitarias recurrente. También, deberá presentar un informe de los resultados de la implementación de cada plan en los departamentos de Antioquia, Chocó, Valle del Cauca, Cauca, Nariño, Córdoba, y Norte de Santander.</w:t>
      </w:r>
    </w:p>
    <w:p w14:paraId="178D3579" w14:textId="77777777" w:rsidR="00D66A18" w:rsidRPr="00D66A18" w:rsidRDefault="00D66A18" w:rsidP="00D66A18">
      <w:pPr>
        <w:shd w:val="clear" w:color="auto" w:fill="FFFFFF"/>
        <w:spacing w:after="0" w:line="240" w:lineRule="auto"/>
        <w:jc w:val="both"/>
        <w:rPr>
          <w:rFonts w:ascii="Nunito" w:eastAsia="Times New Roman" w:hAnsi="Nunito" w:cs="Times New Roman"/>
          <w:color w:val="444444"/>
          <w:sz w:val="26"/>
          <w:szCs w:val="26"/>
          <w:lang w:eastAsia="es-CO"/>
        </w:rPr>
      </w:pPr>
    </w:p>
    <w:p w14:paraId="2293E87A" w14:textId="352FDA9E" w:rsidR="00D66A18" w:rsidRDefault="00D66A18" w:rsidP="00D66A18">
      <w:pPr>
        <w:shd w:val="clear" w:color="auto" w:fill="FFFFFF"/>
        <w:spacing w:after="0" w:line="240" w:lineRule="auto"/>
        <w:jc w:val="both"/>
        <w:rPr>
          <w:rFonts w:ascii="Arial" w:eastAsia="Times New Roman" w:hAnsi="Arial" w:cs="Arial"/>
          <w:color w:val="444444"/>
          <w:sz w:val="24"/>
          <w:szCs w:val="24"/>
          <w:bdr w:val="none" w:sz="0" w:space="0" w:color="auto" w:frame="1"/>
          <w:lang w:eastAsia="es-CO"/>
        </w:rPr>
      </w:pPr>
      <w:r w:rsidRPr="00D66A18">
        <w:rPr>
          <w:rFonts w:ascii="Arial" w:eastAsia="Times New Roman" w:hAnsi="Arial" w:cs="Arial"/>
          <w:color w:val="444444"/>
          <w:sz w:val="24"/>
          <w:szCs w:val="24"/>
          <w:bdr w:val="none" w:sz="0" w:space="0" w:color="auto" w:frame="1"/>
          <w:lang w:eastAsia="es-CO"/>
        </w:rPr>
        <w:t>La Sala Especial de Seguimiento, con ponencia de la Magistrada Gloria Stella Ortiz Delgado, constató que persiste el Estado de Cosas Inconstitucional en materia de prevención del desplazamiento y protección de la población víctima de dicho flagelo. A esta conclusión llegó luego de realizar un análisis de los resultados de la política pública y de la respuesta institucional ante la existencia de falencias estructurales identificadas en el Auto 373 de 2016.</w:t>
      </w:r>
    </w:p>
    <w:p w14:paraId="07E2B74B" w14:textId="77777777" w:rsidR="00D66A18" w:rsidRPr="00D66A18" w:rsidRDefault="00D66A18" w:rsidP="00D66A18">
      <w:pPr>
        <w:shd w:val="clear" w:color="auto" w:fill="FFFFFF"/>
        <w:spacing w:after="0" w:line="240" w:lineRule="auto"/>
        <w:jc w:val="both"/>
        <w:rPr>
          <w:rFonts w:ascii="Nunito" w:eastAsia="Times New Roman" w:hAnsi="Nunito" w:cs="Times New Roman"/>
          <w:color w:val="444444"/>
          <w:sz w:val="26"/>
          <w:szCs w:val="26"/>
          <w:lang w:eastAsia="es-CO"/>
        </w:rPr>
      </w:pPr>
    </w:p>
    <w:p w14:paraId="1F4A601F" w14:textId="1F492F63" w:rsidR="00D66A18" w:rsidRDefault="00D66A18" w:rsidP="00D66A18">
      <w:pPr>
        <w:shd w:val="clear" w:color="auto" w:fill="FFFFFF"/>
        <w:spacing w:after="0" w:line="240" w:lineRule="auto"/>
        <w:jc w:val="both"/>
        <w:rPr>
          <w:rFonts w:ascii="Arial" w:eastAsia="Times New Roman" w:hAnsi="Arial" w:cs="Arial"/>
          <w:color w:val="444444"/>
          <w:sz w:val="24"/>
          <w:szCs w:val="24"/>
          <w:bdr w:val="none" w:sz="0" w:space="0" w:color="auto" w:frame="1"/>
          <w:lang w:eastAsia="es-CO"/>
        </w:rPr>
      </w:pPr>
      <w:r w:rsidRPr="00D66A18">
        <w:rPr>
          <w:rFonts w:ascii="Arial" w:eastAsia="Times New Roman" w:hAnsi="Arial" w:cs="Arial"/>
          <w:b/>
          <w:bCs/>
          <w:color w:val="444444"/>
          <w:sz w:val="24"/>
          <w:szCs w:val="24"/>
          <w:bdr w:val="none" w:sz="0" w:space="0" w:color="auto" w:frame="1"/>
          <w:lang w:eastAsia="es-CO"/>
        </w:rPr>
        <w:t>En relación con los resultados de la política pública</w:t>
      </w:r>
      <w:r w:rsidRPr="00D66A18">
        <w:rPr>
          <w:rFonts w:ascii="Arial" w:eastAsia="Times New Roman" w:hAnsi="Arial" w:cs="Arial"/>
          <w:color w:val="444444"/>
          <w:sz w:val="24"/>
          <w:szCs w:val="24"/>
          <w:bdr w:val="none" w:sz="0" w:space="0" w:color="auto" w:frame="1"/>
          <w:lang w:eastAsia="es-CO"/>
        </w:rPr>
        <w:t>, la Sala estableció que los indicadores expuestos por la Unidad para las Víctimas reflejaban un retroceso en la garantía de los derechos a la vida, la seguridad, la libertad y la integridad de la población en situación de desplazamiento forzado. Lo expuesto, como consecuencia de: la agudización del conflicto armado en los departamentos mencionados; la expansión de este hacia otros departamentos; el aumento de la violencia generalizada en el país; y, el crecimiento sostenido de desplazamientos masivos y confinamientos.</w:t>
      </w:r>
    </w:p>
    <w:p w14:paraId="55ABA6EE" w14:textId="77777777" w:rsidR="00D66A18" w:rsidRPr="00D66A18" w:rsidRDefault="00D66A18" w:rsidP="00D66A18">
      <w:pPr>
        <w:shd w:val="clear" w:color="auto" w:fill="FFFFFF"/>
        <w:spacing w:after="0" w:line="240" w:lineRule="auto"/>
        <w:jc w:val="both"/>
        <w:rPr>
          <w:rFonts w:ascii="Nunito" w:eastAsia="Times New Roman" w:hAnsi="Nunito" w:cs="Times New Roman"/>
          <w:color w:val="444444"/>
          <w:sz w:val="26"/>
          <w:szCs w:val="26"/>
          <w:lang w:eastAsia="es-CO"/>
        </w:rPr>
      </w:pPr>
    </w:p>
    <w:p w14:paraId="035649E6" w14:textId="77777777" w:rsidR="00D66A18" w:rsidRPr="00D66A18" w:rsidRDefault="00D66A18" w:rsidP="00D66A18">
      <w:pPr>
        <w:shd w:val="clear" w:color="auto" w:fill="FFFFFF"/>
        <w:spacing w:after="0" w:line="240" w:lineRule="auto"/>
        <w:jc w:val="both"/>
        <w:rPr>
          <w:rFonts w:ascii="Nunito" w:eastAsia="Times New Roman" w:hAnsi="Nunito" w:cs="Times New Roman"/>
          <w:color w:val="444444"/>
          <w:sz w:val="26"/>
          <w:szCs w:val="26"/>
          <w:lang w:eastAsia="es-CO"/>
        </w:rPr>
      </w:pPr>
      <w:r w:rsidRPr="00D66A18">
        <w:rPr>
          <w:rFonts w:ascii="Arial" w:eastAsia="Times New Roman" w:hAnsi="Arial" w:cs="Arial"/>
          <w:color w:val="444444"/>
          <w:sz w:val="24"/>
          <w:szCs w:val="24"/>
          <w:bdr w:val="none" w:sz="0" w:space="0" w:color="auto" w:frame="1"/>
          <w:lang w:eastAsia="es-CO"/>
        </w:rPr>
        <w:t>De acuerdo con el diagnóstico de la Corte, este contexto se agravó como consecuencia de la transformación y continuidad de cuatro factores: (i) la presencia de cultivos para usos ilícitos; (</w:t>
      </w:r>
      <w:proofErr w:type="spellStart"/>
      <w:r w:rsidRPr="00D66A18">
        <w:rPr>
          <w:rFonts w:ascii="Arial" w:eastAsia="Times New Roman" w:hAnsi="Arial" w:cs="Arial"/>
          <w:color w:val="444444"/>
          <w:sz w:val="24"/>
          <w:szCs w:val="24"/>
          <w:bdr w:val="none" w:sz="0" w:space="0" w:color="auto" w:frame="1"/>
          <w:lang w:eastAsia="es-CO"/>
        </w:rPr>
        <w:t>ii</w:t>
      </w:r>
      <w:proofErr w:type="spellEnd"/>
      <w:r w:rsidRPr="00D66A18">
        <w:rPr>
          <w:rFonts w:ascii="Arial" w:eastAsia="Times New Roman" w:hAnsi="Arial" w:cs="Arial"/>
          <w:color w:val="444444"/>
          <w:sz w:val="24"/>
          <w:szCs w:val="24"/>
          <w:bdr w:val="none" w:sz="0" w:space="0" w:color="auto" w:frame="1"/>
          <w:lang w:eastAsia="es-CO"/>
        </w:rPr>
        <w:t>) el reclutamiento, uso y utilización de menores de edad por actores armados; (</w:t>
      </w:r>
      <w:proofErr w:type="spellStart"/>
      <w:r w:rsidRPr="00D66A18">
        <w:rPr>
          <w:rFonts w:ascii="Arial" w:eastAsia="Times New Roman" w:hAnsi="Arial" w:cs="Arial"/>
          <w:color w:val="444444"/>
          <w:sz w:val="24"/>
          <w:szCs w:val="24"/>
          <w:bdr w:val="none" w:sz="0" w:space="0" w:color="auto" w:frame="1"/>
          <w:lang w:eastAsia="es-CO"/>
        </w:rPr>
        <w:t>iii</w:t>
      </w:r>
      <w:proofErr w:type="spellEnd"/>
      <w:r w:rsidRPr="00D66A18">
        <w:rPr>
          <w:rFonts w:ascii="Arial" w:eastAsia="Times New Roman" w:hAnsi="Arial" w:cs="Arial"/>
          <w:color w:val="444444"/>
          <w:sz w:val="24"/>
          <w:szCs w:val="24"/>
          <w:bdr w:val="none" w:sz="0" w:space="0" w:color="auto" w:frame="1"/>
          <w:lang w:eastAsia="es-CO"/>
        </w:rPr>
        <w:t>) las minas antipersonales y municiones sin explosionar; y, (</w:t>
      </w:r>
      <w:proofErr w:type="spellStart"/>
      <w:r w:rsidRPr="00D66A18">
        <w:rPr>
          <w:rFonts w:ascii="Arial" w:eastAsia="Times New Roman" w:hAnsi="Arial" w:cs="Arial"/>
          <w:color w:val="444444"/>
          <w:sz w:val="24"/>
          <w:szCs w:val="24"/>
          <w:bdr w:val="none" w:sz="0" w:space="0" w:color="auto" w:frame="1"/>
          <w:lang w:eastAsia="es-CO"/>
        </w:rPr>
        <w:t>iv</w:t>
      </w:r>
      <w:proofErr w:type="spellEnd"/>
      <w:r w:rsidRPr="00D66A18">
        <w:rPr>
          <w:rFonts w:ascii="Arial" w:eastAsia="Times New Roman" w:hAnsi="Arial" w:cs="Arial"/>
          <w:color w:val="444444"/>
          <w:sz w:val="24"/>
          <w:szCs w:val="24"/>
          <w:bdr w:val="none" w:sz="0" w:space="0" w:color="auto" w:frame="1"/>
          <w:lang w:eastAsia="es-CO"/>
        </w:rPr>
        <w:t>) los riesgos en contra de líderes, lideresas y autoridades étnicas.</w:t>
      </w:r>
    </w:p>
    <w:p w14:paraId="205DBEB8" w14:textId="77777777" w:rsidR="00D66A18" w:rsidRPr="00D66A18" w:rsidRDefault="00D66A18" w:rsidP="00D66A18">
      <w:pPr>
        <w:shd w:val="clear" w:color="auto" w:fill="FFFFFF"/>
        <w:spacing w:after="0" w:line="240" w:lineRule="auto"/>
        <w:jc w:val="both"/>
        <w:rPr>
          <w:rFonts w:ascii="Nunito" w:eastAsia="Times New Roman" w:hAnsi="Nunito" w:cs="Times New Roman"/>
          <w:color w:val="444444"/>
          <w:sz w:val="26"/>
          <w:szCs w:val="26"/>
          <w:lang w:eastAsia="es-CO"/>
        </w:rPr>
      </w:pPr>
      <w:r w:rsidRPr="00D66A18">
        <w:rPr>
          <w:rFonts w:ascii="Arial" w:eastAsia="Times New Roman" w:hAnsi="Arial" w:cs="Arial"/>
          <w:b/>
          <w:bCs/>
          <w:color w:val="444444"/>
          <w:sz w:val="24"/>
          <w:szCs w:val="24"/>
          <w:bdr w:val="none" w:sz="0" w:space="0" w:color="auto" w:frame="1"/>
          <w:lang w:eastAsia="es-CO"/>
        </w:rPr>
        <w:t>En torno corrección de las falencias estructurales</w:t>
      </w:r>
      <w:r w:rsidRPr="00D66A18">
        <w:rPr>
          <w:rFonts w:ascii="Arial" w:eastAsia="Times New Roman" w:hAnsi="Arial" w:cs="Arial"/>
          <w:color w:val="444444"/>
          <w:sz w:val="24"/>
          <w:szCs w:val="24"/>
          <w:bdr w:val="none" w:sz="0" w:space="0" w:color="auto" w:frame="1"/>
          <w:lang w:eastAsia="es-CO"/>
        </w:rPr>
        <w:t>, la Corte concluyó que el Gobierno Nacional superó el bloqueo institucional identificado en el Auto 373 de 2016 derivado de la falta de una política pública en materia de prevención. Sin embargo, la Sala estableció la presencia de cuatro problemas estructurales en materia de prevención y protección:</w:t>
      </w:r>
    </w:p>
    <w:p w14:paraId="476A5B3B" w14:textId="77777777" w:rsidR="00D66A18" w:rsidRPr="00D66A18" w:rsidRDefault="00D66A18" w:rsidP="00D66A18">
      <w:pPr>
        <w:shd w:val="clear" w:color="auto" w:fill="FFFFFF"/>
        <w:spacing w:after="0" w:line="240" w:lineRule="auto"/>
        <w:jc w:val="both"/>
        <w:rPr>
          <w:rFonts w:ascii="Nunito" w:eastAsia="Times New Roman" w:hAnsi="Nunito" w:cs="Times New Roman"/>
          <w:color w:val="444444"/>
          <w:sz w:val="26"/>
          <w:szCs w:val="26"/>
          <w:lang w:eastAsia="es-CO"/>
        </w:rPr>
      </w:pPr>
      <w:r w:rsidRPr="00D66A18">
        <w:rPr>
          <w:rFonts w:ascii="Arial" w:eastAsia="Times New Roman" w:hAnsi="Arial" w:cs="Arial"/>
          <w:color w:val="444444"/>
          <w:sz w:val="26"/>
          <w:szCs w:val="26"/>
          <w:bdr w:val="none" w:sz="0" w:space="0" w:color="auto" w:frame="1"/>
          <w:lang w:eastAsia="es-CO"/>
        </w:rPr>
        <w:t> </w:t>
      </w:r>
    </w:p>
    <w:p w14:paraId="563ABDB9" w14:textId="77777777" w:rsidR="00D66A18" w:rsidRPr="00D66A18" w:rsidRDefault="00D66A18" w:rsidP="00D66A18">
      <w:pPr>
        <w:numPr>
          <w:ilvl w:val="0"/>
          <w:numId w:val="1"/>
        </w:numPr>
        <w:shd w:val="clear" w:color="auto" w:fill="FFFFFF"/>
        <w:spacing w:beforeAutospacing="1" w:after="0" w:afterAutospacing="1" w:line="240" w:lineRule="auto"/>
        <w:jc w:val="both"/>
        <w:rPr>
          <w:rFonts w:ascii="Nunito" w:eastAsia="Times New Roman" w:hAnsi="Nunito" w:cs="Times New Roman"/>
          <w:color w:val="444444"/>
          <w:sz w:val="21"/>
          <w:szCs w:val="21"/>
          <w:lang w:eastAsia="es-CO"/>
        </w:rPr>
      </w:pPr>
      <w:r w:rsidRPr="00D66A18">
        <w:rPr>
          <w:rFonts w:ascii="Arial" w:eastAsia="Times New Roman" w:hAnsi="Arial" w:cs="Arial"/>
          <w:color w:val="444444"/>
          <w:sz w:val="24"/>
          <w:szCs w:val="24"/>
          <w:bdr w:val="none" w:sz="0" w:space="0" w:color="auto" w:frame="1"/>
          <w:lang w:eastAsia="es-CO"/>
        </w:rPr>
        <w:t>Un </w:t>
      </w:r>
      <w:r w:rsidRPr="00D66A18">
        <w:rPr>
          <w:rFonts w:ascii="Arial" w:eastAsia="Times New Roman" w:hAnsi="Arial" w:cs="Arial"/>
          <w:b/>
          <w:bCs/>
          <w:color w:val="444444"/>
          <w:sz w:val="24"/>
          <w:szCs w:val="24"/>
          <w:bdr w:val="none" w:sz="0" w:space="0" w:color="auto" w:frame="1"/>
          <w:lang w:eastAsia="es-CO"/>
        </w:rPr>
        <w:t>bloqueo institucional en materia de prevención. </w:t>
      </w:r>
      <w:r w:rsidRPr="00D66A18">
        <w:rPr>
          <w:rFonts w:ascii="Arial" w:eastAsia="Times New Roman" w:hAnsi="Arial" w:cs="Arial"/>
          <w:color w:val="444444"/>
          <w:sz w:val="24"/>
          <w:szCs w:val="24"/>
          <w:bdr w:val="none" w:sz="0" w:space="0" w:color="auto" w:frame="1"/>
          <w:lang w:eastAsia="es-CO"/>
        </w:rPr>
        <w:t>Lo expuesto, por el incumplimiento de parámetros constitucionales mínimos en la formulación de la política pública; la ausencia de resultados en la mitigación de los riesgos y vulnerabilidades de la población ante el desplazamiento; y, la persistencia de fallas y problemas en el diseño y gestión de la respuesta estatal.</w:t>
      </w:r>
    </w:p>
    <w:p w14:paraId="268D5380" w14:textId="77777777" w:rsidR="00D66A18" w:rsidRPr="00D66A18" w:rsidRDefault="00D66A18" w:rsidP="00D66A18">
      <w:pPr>
        <w:numPr>
          <w:ilvl w:val="0"/>
          <w:numId w:val="1"/>
        </w:numPr>
        <w:shd w:val="clear" w:color="auto" w:fill="FFFFFF"/>
        <w:spacing w:beforeAutospacing="1" w:after="0" w:afterAutospacing="1" w:line="240" w:lineRule="auto"/>
        <w:jc w:val="both"/>
        <w:rPr>
          <w:rFonts w:ascii="Nunito" w:eastAsia="Times New Roman" w:hAnsi="Nunito" w:cs="Times New Roman"/>
          <w:color w:val="444444"/>
          <w:sz w:val="21"/>
          <w:szCs w:val="21"/>
          <w:lang w:eastAsia="es-CO"/>
        </w:rPr>
      </w:pPr>
      <w:r w:rsidRPr="00D66A18">
        <w:rPr>
          <w:rFonts w:ascii="Arial" w:eastAsia="Times New Roman" w:hAnsi="Arial" w:cs="Arial"/>
          <w:b/>
          <w:bCs/>
          <w:color w:val="444444"/>
          <w:sz w:val="24"/>
          <w:szCs w:val="24"/>
          <w:bdr w:val="none" w:sz="0" w:space="0" w:color="auto" w:frame="1"/>
          <w:lang w:eastAsia="es-CO"/>
        </w:rPr>
        <w:t>Prácticas inconstitucionales en materia de coordinación</w:t>
      </w:r>
      <w:r w:rsidRPr="00D66A18">
        <w:rPr>
          <w:rFonts w:ascii="Arial" w:eastAsia="Times New Roman" w:hAnsi="Arial" w:cs="Arial"/>
          <w:color w:val="444444"/>
          <w:sz w:val="24"/>
          <w:szCs w:val="24"/>
          <w:bdr w:val="none" w:sz="0" w:space="0" w:color="auto" w:frame="1"/>
          <w:lang w:eastAsia="es-CO"/>
        </w:rPr>
        <w:t> entre la Nación, los departamentos y los municipios para la prevención del desplazamiento forzado.</w:t>
      </w:r>
    </w:p>
    <w:p w14:paraId="16C9218E" w14:textId="77777777" w:rsidR="00D66A18" w:rsidRPr="00D66A18" w:rsidRDefault="00D66A18" w:rsidP="00D66A18">
      <w:pPr>
        <w:numPr>
          <w:ilvl w:val="0"/>
          <w:numId w:val="1"/>
        </w:numPr>
        <w:shd w:val="clear" w:color="auto" w:fill="FFFFFF"/>
        <w:spacing w:beforeAutospacing="1" w:after="0" w:afterAutospacing="1" w:line="240" w:lineRule="auto"/>
        <w:jc w:val="both"/>
        <w:rPr>
          <w:rFonts w:ascii="Nunito" w:eastAsia="Times New Roman" w:hAnsi="Nunito" w:cs="Times New Roman"/>
          <w:color w:val="444444"/>
          <w:sz w:val="21"/>
          <w:szCs w:val="21"/>
          <w:lang w:eastAsia="es-CO"/>
        </w:rPr>
      </w:pPr>
      <w:r w:rsidRPr="00D66A18">
        <w:rPr>
          <w:rFonts w:ascii="Arial" w:eastAsia="Times New Roman" w:hAnsi="Arial" w:cs="Arial"/>
          <w:color w:val="444444"/>
          <w:sz w:val="24"/>
          <w:szCs w:val="24"/>
          <w:bdr w:val="none" w:sz="0" w:space="0" w:color="auto" w:frame="1"/>
          <w:lang w:eastAsia="es-CO"/>
        </w:rPr>
        <w:lastRenderedPageBreak/>
        <w:t>Aumento sostenido de las solicitudes de protección y</w:t>
      </w:r>
      <w:r w:rsidRPr="00D66A18">
        <w:rPr>
          <w:rFonts w:ascii="Arial" w:eastAsia="Times New Roman" w:hAnsi="Arial" w:cs="Arial"/>
          <w:b/>
          <w:bCs/>
          <w:color w:val="444444"/>
          <w:sz w:val="24"/>
          <w:szCs w:val="24"/>
          <w:bdr w:val="none" w:sz="0" w:space="0" w:color="auto" w:frame="1"/>
          <w:lang w:eastAsia="es-CO"/>
        </w:rPr>
        <w:t> problemas en la respuesta de la Unidad Nacional de Protección</w:t>
      </w:r>
      <w:r w:rsidRPr="00D66A18">
        <w:rPr>
          <w:rFonts w:ascii="Arial" w:eastAsia="Times New Roman" w:hAnsi="Arial" w:cs="Arial"/>
          <w:color w:val="444444"/>
          <w:sz w:val="24"/>
          <w:szCs w:val="24"/>
          <w:bdr w:val="none" w:sz="0" w:space="0" w:color="auto" w:frame="1"/>
          <w:lang w:eastAsia="es-CO"/>
        </w:rPr>
        <w:t>. Estos últimos, se relacionan con la adecuación de las medidas y, con la cobertura material, seguimiento y sostenibilidad del programa nacional de protección.</w:t>
      </w:r>
    </w:p>
    <w:p w14:paraId="3D190613" w14:textId="77777777" w:rsidR="00D66A18" w:rsidRPr="00D66A18" w:rsidRDefault="00D66A18" w:rsidP="00D66A18">
      <w:pPr>
        <w:numPr>
          <w:ilvl w:val="0"/>
          <w:numId w:val="1"/>
        </w:numPr>
        <w:shd w:val="clear" w:color="auto" w:fill="FFFFFF"/>
        <w:spacing w:beforeAutospacing="1" w:after="0" w:afterAutospacing="1" w:line="240" w:lineRule="auto"/>
        <w:jc w:val="both"/>
        <w:rPr>
          <w:rFonts w:ascii="Nunito" w:eastAsia="Times New Roman" w:hAnsi="Nunito" w:cs="Times New Roman"/>
          <w:color w:val="444444"/>
          <w:sz w:val="21"/>
          <w:szCs w:val="21"/>
          <w:lang w:eastAsia="es-CO"/>
        </w:rPr>
      </w:pPr>
      <w:r w:rsidRPr="00D66A18">
        <w:rPr>
          <w:rFonts w:ascii="Arial" w:eastAsia="Times New Roman" w:hAnsi="Arial" w:cs="Arial"/>
          <w:b/>
          <w:bCs/>
          <w:color w:val="444444"/>
          <w:sz w:val="24"/>
          <w:szCs w:val="24"/>
          <w:bdr w:val="none" w:sz="0" w:space="0" w:color="auto" w:frame="1"/>
          <w:lang w:eastAsia="es-CO"/>
        </w:rPr>
        <w:t>Falta de continuidad de la respuesta institucional en el marco de la pandemia por el COVID-19</w:t>
      </w:r>
      <w:r w:rsidRPr="00D66A18">
        <w:rPr>
          <w:rFonts w:ascii="Arial" w:eastAsia="Times New Roman" w:hAnsi="Arial" w:cs="Arial"/>
          <w:color w:val="444444"/>
          <w:sz w:val="24"/>
          <w:szCs w:val="24"/>
          <w:bdr w:val="none" w:sz="0" w:space="0" w:color="auto" w:frame="1"/>
          <w:lang w:eastAsia="es-CO"/>
        </w:rPr>
        <w:t>. Esto, debido a que los planes diseñados para prevenir el desplazamiento no se adaptaron y, fueron insuficientes para mitigar los riesgos que se acentuaron por la pandemia.</w:t>
      </w:r>
      <w:r w:rsidRPr="00D66A18">
        <w:rPr>
          <w:rFonts w:ascii="Nunito" w:eastAsia="Times New Roman" w:hAnsi="Nunito" w:cs="Times New Roman"/>
          <w:color w:val="444444"/>
          <w:sz w:val="21"/>
          <w:szCs w:val="21"/>
          <w:lang w:eastAsia="es-CO"/>
        </w:rPr>
        <w:t> </w:t>
      </w:r>
    </w:p>
    <w:p w14:paraId="040AD74E" w14:textId="1F9E6E32" w:rsidR="00D66A18" w:rsidRDefault="00D66A18" w:rsidP="00D66A18">
      <w:pPr>
        <w:shd w:val="clear" w:color="auto" w:fill="FFFFFF"/>
        <w:spacing w:after="0" w:line="240" w:lineRule="auto"/>
        <w:jc w:val="both"/>
        <w:rPr>
          <w:rFonts w:ascii="Arial" w:eastAsia="Times New Roman" w:hAnsi="Arial" w:cs="Arial"/>
          <w:color w:val="444444"/>
          <w:sz w:val="24"/>
          <w:szCs w:val="24"/>
          <w:bdr w:val="none" w:sz="0" w:space="0" w:color="auto" w:frame="1"/>
          <w:lang w:eastAsia="es-CO"/>
        </w:rPr>
      </w:pPr>
      <w:r w:rsidRPr="00D66A18">
        <w:rPr>
          <w:rFonts w:ascii="Arial" w:eastAsia="Times New Roman" w:hAnsi="Arial" w:cs="Arial"/>
          <w:color w:val="444444"/>
          <w:sz w:val="24"/>
          <w:szCs w:val="24"/>
          <w:bdr w:val="none" w:sz="0" w:space="0" w:color="auto" w:frame="1"/>
          <w:lang w:eastAsia="es-CO"/>
        </w:rPr>
        <w:t>Por estas razones, la Corte concluyó que no era posible acceder a la solicitud del Gobierno Nacional de declarar un avance en la superación del ECI respecto a los componentes de prevención y protección. En consecuencia, la Sala Especial adoptó 21 medidas dirigidas al Ejecutivo y a los organismos de control, entre las que se encuentran las siguientes:</w:t>
      </w:r>
    </w:p>
    <w:p w14:paraId="1BF6459D" w14:textId="77777777" w:rsidR="00D66A18" w:rsidRPr="00D66A18" w:rsidRDefault="00D66A18" w:rsidP="00D66A18">
      <w:pPr>
        <w:shd w:val="clear" w:color="auto" w:fill="FFFFFF"/>
        <w:spacing w:after="0" w:line="240" w:lineRule="auto"/>
        <w:jc w:val="both"/>
        <w:rPr>
          <w:rFonts w:ascii="Nunito" w:eastAsia="Times New Roman" w:hAnsi="Nunito" w:cs="Times New Roman"/>
          <w:color w:val="444444"/>
          <w:sz w:val="26"/>
          <w:szCs w:val="26"/>
          <w:lang w:eastAsia="es-CO"/>
        </w:rPr>
      </w:pPr>
    </w:p>
    <w:p w14:paraId="2EF27AFE" w14:textId="77777777" w:rsidR="00D66A18" w:rsidRPr="00D66A18" w:rsidRDefault="00D66A18" w:rsidP="00D66A18">
      <w:pPr>
        <w:shd w:val="clear" w:color="auto" w:fill="FFFFFF"/>
        <w:spacing w:after="0" w:line="240" w:lineRule="auto"/>
        <w:jc w:val="both"/>
        <w:rPr>
          <w:rFonts w:ascii="Nunito" w:eastAsia="Times New Roman" w:hAnsi="Nunito" w:cs="Times New Roman"/>
          <w:color w:val="444444"/>
          <w:sz w:val="26"/>
          <w:szCs w:val="26"/>
          <w:lang w:eastAsia="es-CO"/>
        </w:rPr>
      </w:pPr>
      <w:r w:rsidRPr="00D66A18">
        <w:rPr>
          <w:rFonts w:ascii="Arial" w:eastAsia="Times New Roman" w:hAnsi="Arial" w:cs="Arial"/>
          <w:color w:val="444444"/>
          <w:sz w:val="24"/>
          <w:szCs w:val="24"/>
          <w:bdr w:val="none" w:sz="0" w:space="0" w:color="auto" w:frame="1"/>
          <w:lang w:eastAsia="es-CO"/>
        </w:rPr>
        <w:t>- Ordenar al Gobierno Nacional formular una estrategia de articulación y racionalización de la política pública de prevención de conformidad con los parámetros dispuestos en el auto y presentarla a la Sala.</w:t>
      </w:r>
    </w:p>
    <w:p w14:paraId="276529D5" w14:textId="77777777" w:rsidR="00D66A18" w:rsidRPr="00D66A18" w:rsidRDefault="00D66A18" w:rsidP="00D66A18">
      <w:pPr>
        <w:shd w:val="clear" w:color="auto" w:fill="FFFFFF"/>
        <w:spacing w:after="0" w:line="240" w:lineRule="auto"/>
        <w:jc w:val="both"/>
        <w:rPr>
          <w:rFonts w:ascii="Nunito" w:eastAsia="Times New Roman" w:hAnsi="Nunito" w:cs="Times New Roman"/>
          <w:color w:val="444444"/>
          <w:sz w:val="26"/>
          <w:szCs w:val="26"/>
          <w:lang w:eastAsia="es-CO"/>
        </w:rPr>
      </w:pPr>
      <w:r w:rsidRPr="00D66A18">
        <w:rPr>
          <w:rFonts w:ascii="Arial" w:eastAsia="Times New Roman" w:hAnsi="Arial" w:cs="Arial"/>
          <w:color w:val="444444"/>
          <w:sz w:val="24"/>
          <w:szCs w:val="24"/>
          <w:bdr w:val="none" w:sz="0" w:space="0" w:color="auto" w:frame="1"/>
          <w:lang w:eastAsia="es-CO"/>
        </w:rPr>
        <w:t>- Ordenar a la Procuradora General de la Nación realizar un seguimiento especial al cumplimiento de las recomendaciones dispuestas en las Alertas Tempranas.</w:t>
      </w:r>
    </w:p>
    <w:p w14:paraId="6F0295C3" w14:textId="77777777" w:rsidR="00D66A18" w:rsidRPr="00D66A18" w:rsidRDefault="00D66A18" w:rsidP="00D66A18">
      <w:pPr>
        <w:shd w:val="clear" w:color="auto" w:fill="FFFFFF"/>
        <w:spacing w:after="0" w:line="240" w:lineRule="auto"/>
        <w:jc w:val="both"/>
        <w:rPr>
          <w:rFonts w:ascii="Nunito" w:eastAsia="Times New Roman" w:hAnsi="Nunito" w:cs="Times New Roman"/>
          <w:color w:val="444444"/>
          <w:sz w:val="26"/>
          <w:szCs w:val="26"/>
          <w:lang w:eastAsia="es-CO"/>
        </w:rPr>
      </w:pPr>
      <w:r w:rsidRPr="00D66A18">
        <w:rPr>
          <w:rFonts w:ascii="Arial" w:eastAsia="Times New Roman" w:hAnsi="Arial" w:cs="Arial"/>
          <w:color w:val="444444"/>
          <w:sz w:val="24"/>
          <w:szCs w:val="24"/>
          <w:bdr w:val="none" w:sz="0" w:space="0" w:color="auto" w:frame="1"/>
          <w:lang w:eastAsia="es-CO"/>
        </w:rPr>
        <w:t>- Ordenar al Gobierno Nacional formular un plan de fortalecimiento del programa de protección dirigido a corregir los problemas identificados en materia de adecuación de las medidas y de cobertura material, seguimiento y sostenibilidad del programa.</w:t>
      </w:r>
    </w:p>
    <w:p w14:paraId="51383B52" w14:textId="77777777" w:rsidR="00D66A18" w:rsidRPr="00D66A18" w:rsidRDefault="00D66A18" w:rsidP="00D66A18">
      <w:pPr>
        <w:shd w:val="clear" w:color="auto" w:fill="FFFFFF"/>
        <w:spacing w:after="0" w:line="240" w:lineRule="auto"/>
        <w:jc w:val="both"/>
        <w:rPr>
          <w:rFonts w:ascii="Nunito" w:eastAsia="Times New Roman" w:hAnsi="Nunito" w:cs="Times New Roman"/>
          <w:color w:val="444444"/>
          <w:sz w:val="26"/>
          <w:szCs w:val="26"/>
          <w:lang w:eastAsia="es-CO"/>
        </w:rPr>
      </w:pPr>
      <w:r w:rsidRPr="00D66A18">
        <w:rPr>
          <w:rFonts w:ascii="Arial" w:eastAsia="Times New Roman" w:hAnsi="Arial" w:cs="Arial"/>
          <w:color w:val="444444"/>
          <w:sz w:val="24"/>
          <w:szCs w:val="24"/>
          <w:bdr w:val="none" w:sz="0" w:space="0" w:color="auto" w:frame="1"/>
          <w:lang w:eastAsia="es-CO"/>
        </w:rPr>
        <w:t>- Ordenar al Gobierno Nacional formular un protocolo de respuesta para que, en aquellos eventos en que se profiera una alerta temprana y se adviertan casos de riesgo extraordinario o extremo, se activen las rutas previstas en el programa de protección.</w:t>
      </w:r>
    </w:p>
    <w:p w14:paraId="75489EC3" w14:textId="77777777" w:rsidR="00D66A18" w:rsidRPr="00D66A18" w:rsidRDefault="00D66A18" w:rsidP="00D66A18">
      <w:pPr>
        <w:shd w:val="clear" w:color="auto" w:fill="FFFFFF"/>
        <w:spacing w:after="0" w:line="240" w:lineRule="auto"/>
        <w:jc w:val="both"/>
        <w:rPr>
          <w:rFonts w:ascii="Nunito" w:eastAsia="Times New Roman" w:hAnsi="Nunito" w:cs="Times New Roman"/>
          <w:color w:val="444444"/>
          <w:sz w:val="26"/>
          <w:szCs w:val="26"/>
          <w:lang w:eastAsia="es-CO"/>
        </w:rPr>
      </w:pPr>
      <w:r w:rsidRPr="00D66A18">
        <w:rPr>
          <w:rFonts w:ascii="Arial" w:eastAsia="Times New Roman" w:hAnsi="Arial" w:cs="Arial"/>
          <w:color w:val="444444"/>
          <w:sz w:val="24"/>
          <w:szCs w:val="24"/>
          <w:bdr w:val="none" w:sz="0" w:space="0" w:color="auto" w:frame="1"/>
          <w:lang w:eastAsia="es-CO"/>
        </w:rPr>
        <w:t>- Compulsar copias a la Procuraduría General de la Nación para que analice las denuncias formuladas en contra de la Fuerza Pública por señalamientos sobre las comunidades del Cauca y adopte las medidas a las que haya lugar.</w:t>
      </w:r>
    </w:p>
    <w:p w14:paraId="56FF9B79" w14:textId="77777777" w:rsidR="009F7857" w:rsidRPr="00D66A18" w:rsidRDefault="009F7857" w:rsidP="00D66A18"/>
    <w:sectPr w:rsidR="009F7857" w:rsidRPr="00D66A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6E07"/>
    <w:multiLevelType w:val="multilevel"/>
    <w:tmpl w:val="BB94B6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1381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18"/>
    <w:rsid w:val="004C007C"/>
    <w:rsid w:val="009F7857"/>
    <w:rsid w:val="00C73EE9"/>
    <w:rsid w:val="00D66A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6E30"/>
  <w15:chartTrackingRefBased/>
  <w15:docId w15:val="{143396DE-4CD6-4F27-AA22-B3EC8775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6A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66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4015</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Rossina Carvajalino Goenaga</dc:creator>
  <cp:keywords/>
  <dc:description/>
  <cp:lastModifiedBy>Rossina Carvajalino Goenaga</cp:lastModifiedBy>
  <cp:revision>1</cp:revision>
  <dcterms:created xsi:type="dcterms:W3CDTF">2022-09-16T22:12:00Z</dcterms:created>
  <dcterms:modified xsi:type="dcterms:W3CDTF">2022-09-16T22:14:00Z</dcterms:modified>
</cp:coreProperties>
</file>