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17</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03</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D52035"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2017</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B601A4">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542328" w:rsidP="004F3EE5">
            <w:pPr>
              <w:spacing w:after="0"/>
              <w:rPr>
                <w:rFonts w:ascii="Arial" w:eastAsia="SimSun" w:hAnsi="Arial" w:cs="Arial"/>
                <w:sz w:val="20"/>
                <w:szCs w:val="20"/>
              </w:rPr>
            </w:pPr>
            <w:r>
              <w:rPr>
                <w:rFonts w:ascii="Arial" w:eastAsia="SimSun" w:hAnsi="Arial" w:cs="Arial"/>
                <w:sz w:val="20"/>
                <w:szCs w:val="20"/>
              </w:rPr>
              <w:t>S3</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sz w:val="20"/>
                <w:szCs w:val="20"/>
              </w:rPr>
              <w:t xml:space="preserve">Informe Austeridad en el Gasto </w:t>
            </w:r>
            <w:r>
              <w:rPr>
                <w:rFonts w:ascii="Century Gothic" w:hAnsi="Century Gothic"/>
                <w:sz w:val="20"/>
                <w:szCs w:val="20"/>
              </w:rPr>
              <w:t>Trimestre 4</w:t>
            </w:r>
            <w:r w:rsidRPr="00F577A0">
              <w:rPr>
                <w:rFonts w:ascii="Century Gothic" w:hAnsi="Century Gothic"/>
                <w:sz w:val="20"/>
                <w:szCs w:val="20"/>
              </w:rPr>
              <w:t xml:space="preserve"> de 201</w:t>
            </w:r>
            <w:r>
              <w:rPr>
                <w:rFonts w:ascii="Century Gothic" w:hAnsi="Century Gothic"/>
                <w:sz w:val="20"/>
                <w:szCs w:val="20"/>
              </w:rPr>
              <w:t>6</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77755" w:rsidRDefault="00542328" w:rsidP="00DD2063">
            <w:pPr>
              <w:spacing w:after="0"/>
              <w:jc w:val="both"/>
              <w:rPr>
                <w:rFonts w:ascii="Arial" w:eastAsia="PMingLiU" w:hAnsi="Arial" w:cs="Arial"/>
                <w:bCs/>
                <w:color w:val="0000FF"/>
                <w:sz w:val="20"/>
                <w:szCs w:val="20"/>
              </w:rPr>
            </w:pPr>
            <w:r w:rsidRPr="00F577A0">
              <w:rPr>
                <w:rFonts w:ascii="Century Gothic" w:hAnsi="Century Gothic" w:cs="Arial"/>
                <w:sz w:val="20"/>
                <w:szCs w:val="20"/>
              </w:rPr>
              <w:t>Verificar el cumplimiento de las medidas de Austeridad en el Gasto dictadas por el Gobierno Nacional, establecidas en los Decretos 26 y 1737 de 1998, en la Unidad para la Atención y Reparación Integral a las Víctimas, relacionando la situación actual de los mismos y realizando las recomendaciones a las que haya lugar.</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Pr="006603E4" w:rsidRDefault="00542328" w:rsidP="00DD2063">
            <w:pPr>
              <w:spacing w:after="0"/>
              <w:rPr>
                <w:rFonts w:ascii="Arial" w:hAnsi="Arial" w:cs="Arial"/>
                <w:sz w:val="20"/>
                <w:szCs w:val="22"/>
              </w:rPr>
            </w:pPr>
            <w:r w:rsidRPr="00F577A0">
              <w:rPr>
                <w:rFonts w:ascii="Century Gothic" w:hAnsi="Century Gothic" w:cs="Arial"/>
                <w:sz w:val="20"/>
                <w:szCs w:val="20"/>
                <w:lang w:eastAsia="es-CO"/>
              </w:rPr>
              <w:t xml:space="preserve">El presente informe compara el comportamiento de los conceptos de Austeridad en el Gasto del </w:t>
            </w:r>
            <w:r>
              <w:rPr>
                <w:rFonts w:ascii="Century Gothic" w:hAnsi="Century Gothic" w:cs="Arial"/>
                <w:sz w:val="20"/>
                <w:szCs w:val="20"/>
                <w:lang w:eastAsia="es-CO"/>
              </w:rPr>
              <w:t>cuarto trimestre de las vigencias 2015 y 2016</w:t>
            </w:r>
            <w:r w:rsidRPr="00F577A0">
              <w:rPr>
                <w:rFonts w:ascii="Century Gothic" w:hAnsi="Century Gothic" w:cs="Arial"/>
                <w:sz w:val="20"/>
                <w:szCs w:val="20"/>
                <w:lang w:eastAsia="es-CO"/>
              </w:rPr>
              <w:t>.</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1737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sz w:val="20"/>
                <w:szCs w:val="20"/>
              </w:rPr>
              <w:t>Decreto 26 de 1998</w:t>
            </w:r>
          </w:p>
          <w:p w:rsidR="00542328" w:rsidRPr="00F577A0" w:rsidRDefault="00542328" w:rsidP="00542328">
            <w:pPr>
              <w:pStyle w:val="Prrafodelista"/>
              <w:numPr>
                <w:ilvl w:val="0"/>
                <w:numId w:val="22"/>
              </w:numPr>
              <w:spacing w:after="0"/>
              <w:ind w:left="0" w:firstLine="0"/>
              <w:jc w:val="both"/>
              <w:rPr>
                <w:rFonts w:ascii="Century Gothic" w:hAnsi="Century Gothic"/>
                <w:sz w:val="20"/>
                <w:szCs w:val="20"/>
              </w:rPr>
            </w:pPr>
            <w:r w:rsidRPr="00F577A0">
              <w:rPr>
                <w:rFonts w:ascii="Century Gothic" w:hAnsi="Century Gothic" w:cs="Arial"/>
                <w:sz w:val="20"/>
                <w:szCs w:val="20"/>
              </w:rPr>
              <w:t>Decreto 984 de 2012</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Circular Nº 2 del 29 de marzo de 2004 del Alto concejero Presidencial y Director del Departamento Administrativo de la Función Pública.</w:t>
            </w:r>
          </w:p>
          <w:p w:rsidR="00542328" w:rsidRPr="00F577A0"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sz w:val="20"/>
                <w:szCs w:val="20"/>
              </w:rPr>
              <w:t>Circular Nº 002 del 03 de octubre de 2008 Directores Departamento Administrativo de la Presidencia de la Republica y Departamento Administrativo de la Función Pública</w:t>
            </w:r>
          </w:p>
          <w:p w:rsidR="00542328" w:rsidRPr="00D7687A" w:rsidRDefault="00542328" w:rsidP="00542328">
            <w:pPr>
              <w:pStyle w:val="Prrafodelista"/>
              <w:numPr>
                <w:ilvl w:val="0"/>
                <w:numId w:val="22"/>
              </w:numPr>
              <w:spacing w:after="0"/>
              <w:ind w:hanging="720"/>
              <w:jc w:val="both"/>
              <w:rPr>
                <w:rFonts w:ascii="Century Gothic" w:hAnsi="Century Gothic"/>
                <w:sz w:val="20"/>
                <w:szCs w:val="20"/>
              </w:rPr>
            </w:pPr>
            <w:r w:rsidRPr="00F577A0">
              <w:rPr>
                <w:rFonts w:ascii="Century Gothic" w:hAnsi="Century Gothic" w:cs="Arial"/>
                <w:sz w:val="20"/>
                <w:szCs w:val="20"/>
              </w:rPr>
              <w:t>Directiva Presidencial Nº 10 de 20 de agosto de 2002</w:t>
            </w:r>
          </w:p>
          <w:p w:rsidR="00B601A4" w:rsidRPr="00B601A4" w:rsidRDefault="00542328" w:rsidP="00542328">
            <w:pPr>
              <w:pStyle w:val="Prrafodelista"/>
              <w:numPr>
                <w:ilvl w:val="0"/>
                <w:numId w:val="22"/>
              </w:numPr>
              <w:spacing w:after="0"/>
              <w:ind w:hanging="720"/>
              <w:jc w:val="both"/>
              <w:rPr>
                <w:rFonts w:ascii="Century Gothic" w:hAnsi="Century Gothic"/>
                <w:sz w:val="20"/>
                <w:szCs w:val="20"/>
              </w:rPr>
            </w:pPr>
            <w:r>
              <w:rPr>
                <w:rFonts w:ascii="Century Gothic" w:hAnsi="Century Gothic" w:cs="Arial"/>
                <w:sz w:val="20"/>
                <w:szCs w:val="20"/>
              </w:rPr>
              <w:t>Directiva Presidencial Nº 02 de 03</w:t>
            </w:r>
            <w:r w:rsidRPr="00F577A0">
              <w:rPr>
                <w:rFonts w:ascii="Century Gothic" w:hAnsi="Century Gothic" w:cs="Arial"/>
                <w:sz w:val="20"/>
                <w:szCs w:val="20"/>
              </w:rPr>
              <w:t xml:space="preserve"> de </w:t>
            </w:r>
            <w:r>
              <w:rPr>
                <w:rFonts w:ascii="Century Gothic" w:hAnsi="Century Gothic" w:cs="Arial"/>
                <w:sz w:val="20"/>
                <w:szCs w:val="20"/>
              </w:rPr>
              <w:t xml:space="preserve">diciembre de </w:t>
            </w:r>
            <w:r w:rsidRPr="00F577A0">
              <w:rPr>
                <w:rFonts w:ascii="Century Gothic" w:hAnsi="Century Gothic" w:cs="Arial"/>
                <w:sz w:val="20"/>
                <w:szCs w:val="20"/>
              </w:rPr>
              <w:t>20</w:t>
            </w:r>
            <w:r>
              <w:rPr>
                <w:rFonts w:ascii="Century Gothic" w:hAnsi="Century Gothic" w:cs="Arial"/>
                <w:sz w:val="20"/>
                <w:szCs w:val="20"/>
              </w:rPr>
              <w:t>15</w:t>
            </w:r>
          </w:p>
          <w:p w:rsidR="00DD2063" w:rsidRPr="00B601A4" w:rsidRDefault="00542328" w:rsidP="00542328">
            <w:pPr>
              <w:pStyle w:val="Prrafodelista"/>
              <w:numPr>
                <w:ilvl w:val="0"/>
                <w:numId w:val="22"/>
              </w:numPr>
              <w:spacing w:after="0"/>
              <w:ind w:hanging="720"/>
              <w:jc w:val="both"/>
              <w:rPr>
                <w:rFonts w:ascii="Century Gothic" w:hAnsi="Century Gothic"/>
                <w:sz w:val="20"/>
                <w:szCs w:val="20"/>
              </w:rPr>
            </w:pPr>
            <w:r w:rsidRPr="00B601A4">
              <w:rPr>
                <w:rFonts w:ascii="Century Gothic" w:hAnsi="Century Gothic" w:cs="Arial"/>
                <w:sz w:val="20"/>
                <w:szCs w:val="20"/>
              </w:rPr>
              <w:t>Directiva Presidencial Nº 01 de 10 de febrero de 2016</w:t>
            </w:r>
          </w:p>
        </w:tc>
      </w:tr>
    </w:tbl>
    <w:p w:rsidR="00DD2063" w:rsidRDefault="00DD2063" w:rsidP="00DD2063">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99"/>
      </w:tblGrid>
      <w:tr w:rsidR="00DD2063" w:rsidRPr="006369FA" w:rsidTr="00430BB9">
        <w:tc>
          <w:tcPr>
            <w:tcW w:w="10632" w:type="dxa"/>
            <w:shd w:val="clear" w:color="auto" w:fill="D9D9D9"/>
          </w:tcPr>
          <w:p w:rsidR="00DD2063" w:rsidRPr="006369FA" w:rsidRDefault="004F3EE5" w:rsidP="00103297">
            <w:pPr>
              <w:rPr>
                <w:rFonts w:ascii="Arial" w:hAnsi="Arial" w:cs="Arial"/>
                <w:b/>
                <w:sz w:val="20"/>
                <w:szCs w:val="20"/>
              </w:rPr>
            </w:pPr>
            <w:r>
              <w:rPr>
                <w:rFonts w:ascii="Arial" w:hAnsi="Arial" w:cs="Arial"/>
                <w:b/>
                <w:sz w:val="20"/>
                <w:szCs w:val="20"/>
              </w:rPr>
              <w:t>A</w:t>
            </w:r>
            <w:r w:rsidR="00DD2063" w:rsidRPr="006369FA">
              <w:rPr>
                <w:rFonts w:ascii="Arial" w:hAnsi="Arial" w:cs="Arial"/>
                <w:b/>
                <w:sz w:val="20"/>
                <w:szCs w:val="20"/>
              </w:rPr>
              <w:t xml:space="preserve">. </w:t>
            </w:r>
            <w:r w:rsidR="00103297">
              <w:rPr>
                <w:rFonts w:ascii="Arial" w:hAnsi="Arial" w:cs="Arial"/>
                <w:b/>
                <w:sz w:val="20"/>
                <w:szCs w:val="20"/>
              </w:rPr>
              <w:t>Análisis y Observaciones</w:t>
            </w:r>
          </w:p>
        </w:tc>
      </w:tr>
      <w:tr w:rsidR="00DD2063" w:rsidRPr="006369FA" w:rsidTr="00430BB9">
        <w:tc>
          <w:tcPr>
            <w:tcW w:w="10632" w:type="dxa"/>
            <w:shd w:val="clear" w:color="auto" w:fill="auto"/>
          </w:tcPr>
          <w:p w:rsidR="00542328" w:rsidRDefault="00542328" w:rsidP="00542328">
            <w:pPr>
              <w:jc w:val="both"/>
              <w:rPr>
                <w:rFonts w:ascii="Century Gothic" w:hAnsi="Century Gothic" w:cs="Arial"/>
                <w:sz w:val="20"/>
                <w:szCs w:val="20"/>
                <w:lang w:eastAsia="es-CO"/>
              </w:rPr>
            </w:pPr>
            <w:r w:rsidRPr="00F577A0">
              <w:rPr>
                <w:rFonts w:ascii="Century Gothic" w:hAnsi="Century Gothic" w:cs="Arial"/>
                <w:sz w:val="20"/>
                <w:szCs w:val="20"/>
                <w:lang w:eastAsia="es-CO"/>
              </w:rPr>
              <w:t>A continuación, se relacionan por cada uno de los capítulos de los Decretos que reglamentan la Austeridad en el Gasto, las diferentes situaciones encontradas y las recomendacion</w:t>
            </w:r>
            <w:r>
              <w:rPr>
                <w:rFonts w:ascii="Century Gothic" w:hAnsi="Century Gothic" w:cs="Arial"/>
                <w:sz w:val="20"/>
                <w:szCs w:val="20"/>
                <w:lang w:eastAsia="es-CO"/>
              </w:rPr>
              <w:t>es realizadas por esta Oficina.</w:t>
            </w:r>
          </w:p>
          <w:p w:rsidR="00542328" w:rsidRPr="00F577A0" w:rsidRDefault="00542328" w:rsidP="00542328">
            <w:pPr>
              <w:pStyle w:val="Ttulo1"/>
              <w:keepLines/>
              <w:numPr>
                <w:ilvl w:val="0"/>
                <w:numId w:val="23"/>
              </w:numPr>
              <w:spacing w:before="480"/>
              <w:jc w:val="left"/>
              <w:rPr>
                <w:rFonts w:ascii="Century Gothic" w:hAnsi="Century Gothic"/>
                <w:sz w:val="20"/>
                <w:szCs w:val="20"/>
              </w:rPr>
            </w:pPr>
            <w:r w:rsidRPr="00F577A0">
              <w:rPr>
                <w:rFonts w:ascii="Century Gothic" w:hAnsi="Century Gothic"/>
                <w:sz w:val="20"/>
                <w:szCs w:val="20"/>
              </w:rPr>
              <w:t>Personal – Capitulo II del Decreto 1737 de 1998</w:t>
            </w:r>
          </w:p>
          <w:p w:rsidR="00542328" w:rsidRPr="00633A77" w:rsidRDefault="00542328" w:rsidP="00542328">
            <w:pPr>
              <w:rPr>
                <w:rFonts w:ascii="Century Gothic" w:eastAsia="PMingLiU" w:hAnsi="Century Gothic" w:cs="Arial"/>
                <w:bCs/>
                <w:color w:val="0000FF"/>
                <w:sz w:val="2"/>
                <w:szCs w:val="20"/>
                <w:lang w:val="es-ES"/>
              </w:rPr>
            </w:pPr>
          </w:p>
          <w:p w:rsidR="00542328" w:rsidRDefault="00542328" w:rsidP="00542328">
            <w:pPr>
              <w:pStyle w:val="Prrafodelista"/>
              <w:ind w:left="0"/>
              <w:jc w:val="both"/>
              <w:rPr>
                <w:rFonts w:ascii="Century Gothic" w:hAnsi="Century Gothic" w:cs="Arial"/>
                <w:sz w:val="20"/>
                <w:szCs w:val="20"/>
                <w:lang w:val="es-MX" w:eastAsia="es-CO"/>
              </w:rPr>
            </w:pPr>
            <w:r w:rsidRPr="00F577A0">
              <w:rPr>
                <w:rFonts w:ascii="Century Gothic" w:hAnsi="Century Gothic" w:cs="Arial"/>
                <w:sz w:val="20"/>
                <w:szCs w:val="20"/>
                <w:lang w:eastAsia="es-CO"/>
              </w:rPr>
              <w:t>Se</w:t>
            </w:r>
            <w:r w:rsidRPr="00F577A0">
              <w:rPr>
                <w:rFonts w:ascii="Century Gothic" w:hAnsi="Century Gothic" w:cs="Arial"/>
                <w:sz w:val="20"/>
                <w:szCs w:val="20"/>
                <w:lang w:val="es-MX" w:eastAsia="es-CO"/>
              </w:rPr>
              <w:t xml:space="preserve"> observó la siguiente relación entre contratistas y profesionales de planta en la UARIV, evidenciando que la cantidad de contratistas de las áreas misionales y de apoyo es superior al personal de planta. </w:t>
            </w:r>
          </w:p>
          <w:p w:rsidR="00542328" w:rsidRPr="00F577A0" w:rsidRDefault="00542328" w:rsidP="00542328">
            <w:pPr>
              <w:pStyle w:val="Prrafodelista"/>
              <w:ind w:left="0"/>
              <w:jc w:val="both"/>
              <w:rPr>
                <w:rFonts w:ascii="Century Gothic" w:hAnsi="Century Gothic" w:cs="Arial"/>
                <w:sz w:val="20"/>
                <w:szCs w:val="20"/>
                <w:lang w:val="es-MX" w:eastAsia="es-CO"/>
              </w:rPr>
            </w:pPr>
          </w:p>
          <w:p w:rsidR="00542328" w:rsidRDefault="00542328" w:rsidP="00542328">
            <w:pPr>
              <w:pStyle w:val="Prrafodelista"/>
              <w:numPr>
                <w:ilvl w:val="1"/>
                <w:numId w:val="23"/>
              </w:numPr>
              <w:spacing w:after="0"/>
              <w:jc w:val="both"/>
              <w:rPr>
                <w:rFonts w:ascii="Century Gothic" w:hAnsi="Century Gothic" w:cs="Arial"/>
                <w:b/>
                <w:sz w:val="20"/>
                <w:szCs w:val="20"/>
                <w:lang w:val="es-MX" w:eastAsia="es-CO"/>
              </w:rPr>
            </w:pPr>
            <w:r w:rsidRPr="00F577A0">
              <w:rPr>
                <w:rFonts w:ascii="Century Gothic" w:hAnsi="Century Gothic" w:cs="Arial"/>
                <w:b/>
                <w:sz w:val="20"/>
                <w:szCs w:val="20"/>
                <w:lang w:val="es-MX" w:eastAsia="es-CO"/>
              </w:rPr>
              <w:t>Talento Humano.</w:t>
            </w:r>
          </w:p>
          <w:p w:rsidR="00542328" w:rsidRPr="00BA4AB2" w:rsidRDefault="00542328" w:rsidP="00542328">
            <w:pPr>
              <w:spacing w:after="0"/>
              <w:jc w:val="both"/>
              <w:rPr>
                <w:rFonts w:ascii="Century Gothic" w:hAnsi="Century Gothic" w:cs="Arial"/>
                <w:b/>
                <w:sz w:val="20"/>
                <w:szCs w:val="20"/>
                <w:lang w:val="es-MX" w:eastAsia="es-CO"/>
              </w:rPr>
            </w:pPr>
          </w:p>
          <w:tbl>
            <w:tblPr>
              <w:tblW w:w="10410" w:type="dxa"/>
              <w:tblCellMar>
                <w:left w:w="70" w:type="dxa"/>
                <w:right w:w="70" w:type="dxa"/>
              </w:tblCellMar>
              <w:tblLook w:val="04A0" w:firstRow="1" w:lastRow="0" w:firstColumn="1" w:lastColumn="0" w:noHBand="0" w:noVBand="1"/>
            </w:tblPr>
            <w:tblGrid>
              <w:gridCol w:w="320"/>
              <w:gridCol w:w="2433"/>
              <w:gridCol w:w="1134"/>
              <w:gridCol w:w="1134"/>
              <w:gridCol w:w="1420"/>
              <w:gridCol w:w="3969"/>
            </w:tblGrid>
            <w:tr w:rsidR="00542328" w:rsidRPr="00B75E73" w:rsidTr="00B601A4">
              <w:trPr>
                <w:trHeight w:val="300"/>
              </w:trPr>
              <w:tc>
                <w:tcPr>
                  <w:tcW w:w="32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Nº</w:t>
                  </w:r>
                </w:p>
              </w:tc>
              <w:tc>
                <w:tcPr>
                  <w:tcW w:w="6121"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Aspectos cuantitativos</w:t>
                  </w:r>
                </w:p>
              </w:tc>
              <w:tc>
                <w:tcPr>
                  <w:tcW w:w="3969"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Situaciones encontradas por la OCI</w:t>
                  </w:r>
                </w:p>
              </w:tc>
            </w:tr>
            <w:tr w:rsidR="00542328" w:rsidRPr="00B75E73" w:rsidTr="00B601A4">
              <w:trPr>
                <w:trHeight w:val="949"/>
              </w:trPr>
              <w:tc>
                <w:tcPr>
                  <w:tcW w:w="320" w:type="dxa"/>
                  <w:vMerge/>
                  <w:tcBorders>
                    <w:top w:val="single" w:sz="8" w:space="0" w:color="auto"/>
                    <w:left w:val="single" w:sz="8" w:space="0" w:color="auto"/>
                    <w:bottom w:val="single" w:sz="4" w:space="0" w:color="000000"/>
                    <w:right w:val="single" w:sz="4" w:space="0" w:color="auto"/>
                  </w:tcBorders>
                  <w:vAlign w:val="center"/>
                  <w:hideMark/>
                </w:tcPr>
                <w:p w:rsidR="00542328" w:rsidRPr="00B75E73" w:rsidRDefault="00542328" w:rsidP="00542328">
                  <w:pPr>
                    <w:spacing w:after="0"/>
                    <w:rPr>
                      <w:rFonts w:ascii="Century Gothic" w:eastAsia="Times New Roman" w:hAnsi="Century Gothic"/>
                      <w:b/>
                      <w:bCs/>
                      <w:color w:val="000000"/>
                      <w:sz w:val="14"/>
                      <w:szCs w:val="14"/>
                      <w:lang w:val="es-CO" w:eastAsia="es-CO"/>
                    </w:rPr>
                  </w:pPr>
                </w:p>
              </w:tc>
              <w:tc>
                <w:tcPr>
                  <w:tcW w:w="2433"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Concepto</w:t>
                  </w:r>
                </w:p>
              </w:tc>
              <w:tc>
                <w:tcPr>
                  <w:tcW w:w="1134"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 xml:space="preserve">Valor pagado </w:t>
                  </w:r>
                  <w:r w:rsidRPr="00464086">
                    <w:rPr>
                      <w:rFonts w:ascii="Century Gothic" w:eastAsia="Times New Roman" w:hAnsi="Century Gothic"/>
                      <w:b/>
                      <w:bCs/>
                      <w:color w:val="000000"/>
                      <w:sz w:val="14"/>
                      <w:szCs w:val="14"/>
                      <w:lang w:val="es-CO" w:eastAsia="es-CO"/>
                    </w:rPr>
                    <w:t>entre octubre</w:t>
                  </w:r>
                  <w:r w:rsidRPr="00B75E73">
                    <w:rPr>
                      <w:rFonts w:ascii="Century Gothic" w:eastAsia="Times New Roman" w:hAnsi="Century Gothic"/>
                      <w:b/>
                      <w:bCs/>
                      <w:color w:val="000000"/>
                      <w:sz w:val="14"/>
                      <w:szCs w:val="14"/>
                      <w:lang w:val="es-CO" w:eastAsia="es-CO"/>
                    </w:rPr>
                    <w:t xml:space="preserve"> - diciembre de la vigencia 2015</w:t>
                  </w:r>
                </w:p>
              </w:tc>
              <w:tc>
                <w:tcPr>
                  <w:tcW w:w="1134"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Valor pagado entre octubre - diciembre de la vigencia 2016</w:t>
                  </w:r>
                </w:p>
              </w:tc>
              <w:tc>
                <w:tcPr>
                  <w:tcW w:w="1420"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jc w:val="center"/>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 xml:space="preserve">% </w:t>
                  </w:r>
                  <w:r w:rsidRPr="00464086">
                    <w:rPr>
                      <w:rFonts w:ascii="Century Gothic" w:eastAsia="Times New Roman" w:hAnsi="Century Gothic"/>
                      <w:b/>
                      <w:bCs/>
                      <w:color w:val="000000"/>
                      <w:sz w:val="14"/>
                      <w:szCs w:val="14"/>
                      <w:lang w:val="es-CO" w:eastAsia="es-CO"/>
                    </w:rPr>
                    <w:t>Variación</w:t>
                  </w:r>
                  <w:r w:rsidRPr="00B75E73">
                    <w:rPr>
                      <w:rFonts w:ascii="Century Gothic" w:eastAsia="Times New Roman" w:hAnsi="Century Gothic"/>
                      <w:b/>
                      <w:bCs/>
                      <w:color w:val="000000"/>
                      <w:sz w:val="14"/>
                      <w:szCs w:val="14"/>
                      <w:lang w:val="es-CO" w:eastAsia="es-CO"/>
                    </w:rPr>
                    <w:t xml:space="preserve"> del valor pagado entre octubre - diciembre de 2016 respecto al mismo periodo de la vigencia 2015</w:t>
                  </w:r>
                </w:p>
              </w:tc>
              <w:tc>
                <w:tcPr>
                  <w:tcW w:w="3969"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542328" w:rsidRPr="00B75E73" w:rsidRDefault="00542328" w:rsidP="00542328">
                  <w:pPr>
                    <w:spacing w:after="0"/>
                    <w:jc w:val="both"/>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 xml:space="preserve">En los servicios personales de nómina se encuentra un incremento del 9,14%, por tres razones 1. En octubre de 2016 la entidad quedó </w:t>
                  </w:r>
                  <w:r w:rsidRPr="00464086">
                    <w:rPr>
                      <w:rFonts w:ascii="Century Gothic" w:eastAsia="Times New Roman" w:hAnsi="Century Gothic"/>
                      <w:color w:val="000000"/>
                      <w:sz w:val="14"/>
                      <w:szCs w:val="14"/>
                      <w:lang w:val="es-CO" w:eastAsia="es-CO"/>
                    </w:rPr>
                    <w:t>desfinanciada</w:t>
                  </w:r>
                  <w:r w:rsidRPr="00B75E73">
                    <w:rPr>
                      <w:rFonts w:ascii="Century Gothic" w:eastAsia="Times New Roman" w:hAnsi="Century Gothic"/>
                      <w:color w:val="000000"/>
                      <w:sz w:val="14"/>
                      <w:szCs w:val="14"/>
                      <w:lang w:val="es-CO" w:eastAsia="es-CO"/>
                    </w:rPr>
                    <w:t xml:space="preserve"> y por ende para diciembre se tuvo que pagar Inde</w:t>
                  </w:r>
                  <w:r>
                    <w:rPr>
                      <w:rFonts w:ascii="Century Gothic" w:eastAsia="Times New Roman" w:hAnsi="Century Gothic"/>
                      <w:color w:val="000000"/>
                      <w:sz w:val="14"/>
                      <w:szCs w:val="14"/>
                      <w:lang w:val="es-CO" w:eastAsia="es-CO"/>
                    </w:rPr>
                    <w:t>mnización por Vacaciones y Prima d</w:t>
                  </w:r>
                  <w:r w:rsidRPr="00B75E73">
                    <w:rPr>
                      <w:rFonts w:ascii="Century Gothic" w:eastAsia="Times New Roman" w:hAnsi="Century Gothic"/>
                      <w:color w:val="000000"/>
                      <w:sz w:val="14"/>
                      <w:szCs w:val="14"/>
                      <w:lang w:val="es-CO" w:eastAsia="es-CO"/>
                    </w:rPr>
                    <w:t>e Servicio lo referente a 6 meses. 2. Se incrementaron las renuncias en un 1</w:t>
                  </w:r>
                  <w:r w:rsidR="003B4D52">
                    <w:rPr>
                      <w:rFonts w:ascii="Century Gothic" w:eastAsia="Times New Roman" w:hAnsi="Century Gothic"/>
                      <w:color w:val="000000"/>
                      <w:sz w:val="14"/>
                      <w:szCs w:val="14"/>
                      <w:lang w:val="es-CO" w:eastAsia="es-CO"/>
                    </w:rPr>
                    <w:t>29% en comparación a 2015 y 3. P</w:t>
                  </w:r>
                  <w:r w:rsidRPr="00B75E73">
                    <w:rPr>
                      <w:rFonts w:ascii="Century Gothic" w:eastAsia="Times New Roman" w:hAnsi="Century Gothic"/>
                      <w:color w:val="000000"/>
                      <w:sz w:val="14"/>
                      <w:szCs w:val="14"/>
                      <w:lang w:val="es-CO" w:eastAsia="es-CO"/>
                    </w:rPr>
                    <w:t xml:space="preserve">ara el 2015 se pagaba a 3 funcionarios la prima </w:t>
                  </w:r>
                  <w:r w:rsidRPr="00464086">
                    <w:rPr>
                      <w:rFonts w:ascii="Century Gothic" w:eastAsia="Times New Roman" w:hAnsi="Century Gothic"/>
                      <w:color w:val="000000"/>
                      <w:sz w:val="14"/>
                      <w:szCs w:val="14"/>
                      <w:lang w:val="es-CO" w:eastAsia="es-CO"/>
                    </w:rPr>
                    <w:t>técnica</w:t>
                  </w:r>
                  <w:r w:rsidRPr="00B75E73">
                    <w:rPr>
                      <w:rFonts w:ascii="Century Gothic" w:eastAsia="Times New Roman" w:hAnsi="Century Gothic"/>
                      <w:color w:val="000000"/>
                      <w:sz w:val="14"/>
                      <w:szCs w:val="14"/>
                      <w:lang w:val="es-CO" w:eastAsia="es-CO"/>
                    </w:rPr>
                    <w:t xml:space="preserve"> salarial y para 2016 se le pagó a 7, incrementando el rubro en un 191%.</w:t>
                  </w:r>
                  <w:r w:rsidRPr="00B75E73">
                    <w:rPr>
                      <w:rFonts w:ascii="Century Gothic" w:eastAsia="Times New Roman" w:hAnsi="Century Gothic"/>
                      <w:color w:val="000000"/>
                      <w:sz w:val="14"/>
                      <w:szCs w:val="14"/>
                      <w:lang w:val="es-CO" w:eastAsia="es-CO"/>
                    </w:rPr>
                    <w:br/>
                  </w:r>
                  <w:r w:rsidRPr="00B75E73">
                    <w:rPr>
                      <w:rFonts w:ascii="Century Gothic" w:eastAsia="Times New Roman" w:hAnsi="Century Gothic"/>
                      <w:color w:val="000000"/>
                      <w:sz w:val="14"/>
                      <w:szCs w:val="14"/>
                      <w:lang w:val="es-CO" w:eastAsia="es-CO"/>
                    </w:rPr>
                    <w:br/>
                    <w:t xml:space="preserve">Las contribuciones inherentes a la nómina sector privado y público reflejan una reducción del 6,68% en razón a que la vigencia </w:t>
                  </w:r>
                  <w:r w:rsidR="003B4D52">
                    <w:rPr>
                      <w:rFonts w:ascii="Century Gothic" w:eastAsia="Times New Roman" w:hAnsi="Century Gothic"/>
                      <w:color w:val="000000"/>
                      <w:sz w:val="14"/>
                      <w:szCs w:val="14"/>
                      <w:lang w:val="es-CO" w:eastAsia="es-CO"/>
                    </w:rPr>
                    <w:t xml:space="preserve">2016 </w:t>
                  </w:r>
                  <w:r w:rsidRPr="00B75E73">
                    <w:rPr>
                      <w:rFonts w:ascii="Century Gothic" w:eastAsia="Times New Roman" w:hAnsi="Century Gothic"/>
                      <w:color w:val="000000"/>
                      <w:sz w:val="14"/>
                      <w:szCs w:val="14"/>
                      <w:lang w:val="es-CO" w:eastAsia="es-CO"/>
                    </w:rPr>
                    <w:t>refleja un pago de seguridad social de tres m</w:t>
                  </w:r>
                  <w:r w:rsidR="003B4D52">
                    <w:rPr>
                      <w:rFonts w:ascii="Century Gothic" w:eastAsia="Times New Roman" w:hAnsi="Century Gothic"/>
                      <w:color w:val="000000"/>
                      <w:sz w:val="14"/>
                      <w:szCs w:val="14"/>
                      <w:lang w:val="es-CO" w:eastAsia="es-CO"/>
                    </w:rPr>
                    <w:t>eses y para la vigencia 2015</w:t>
                  </w:r>
                  <w:r w:rsidRPr="00B75E73">
                    <w:rPr>
                      <w:rFonts w:ascii="Century Gothic" w:eastAsia="Times New Roman" w:hAnsi="Century Gothic"/>
                      <w:color w:val="000000"/>
                      <w:sz w:val="14"/>
                      <w:szCs w:val="14"/>
                      <w:lang w:val="es-CO" w:eastAsia="es-CO"/>
                    </w:rPr>
                    <w:t xml:space="preserve"> solo de cuatro meses</w:t>
                  </w:r>
                  <w:r w:rsidR="003B4D52">
                    <w:rPr>
                      <w:rFonts w:ascii="Century Gothic" w:eastAsia="Times New Roman" w:hAnsi="Century Gothic"/>
                      <w:color w:val="000000"/>
                      <w:sz w:val="14"/>
                      <w:szCs w:val="14"/>
                      <w:lang w:val="es-CO" w:eastAsia="es-CO"/>
                    </w:rPr>
                    <w:t>,</w:t>
                  </w:r>
                  <w:r w:rsidRPr="00B75E73">
                    <w:rPr>
                      <w:rFonts w:ascii="Century Gothic" w:eastAsia="Times New Roman" w:hAnsi="Century Gothic"/>
                      <w:color w:val="000000"/>
                      <w:sz w:val="14"/>
                      <w:szCs w:val="14"/>
                      <w:lang w:val="es-CO" w:eastAsia="es-CO"/>
                    </w:rPr>
                    <w:t xml:space="preserve"> porque no se alcanzó a pagar la planilla del mes de septiembre.</w:t>
                  </w:r>
                </w:p>
              </w:tc>
            </w:tr>
            <w:tr w:rsidR="00542328" w:rsidRPr="00B75E73" w:rsidTr="00B601A4">
              <w:trPr>
                <w:trHeight w:val="336"/>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542328" w:rsidRPr="00B75E73" w:rsidRDefault="00542328" w:rsidP="00542328">
                  <w:pPr>
                    <w:spacing w:after="0"/>
                    <w:jc w:val="center"/>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1</w:t>
                  </w:r>
                </w:p>
              </w:tc>
              <w:tc>
                <w:tcPr>
                  <w:tcW w:w="2433"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Servicios personales asociados a nomina</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 xml:space="preserve">11.867.292.856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 xml:space="preserve">12.952.533.451 </w:t>
                  </w:r>
                </w:p>
              </w:tc>
              <w:tc>
                <w:tcPr>
                  <w:tcW w:w="1420"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9,14%</w:t>
                  </w:r>
                </w:p>
              </w:tc>
              <w:tc>
                <w:tcPr>
                  <w:tcW w:w="3969" w:type="dxa"/>
                  <w:vMerge/>
                  <w:tcBorders>
                    <w:top w:val="nil"/>
                    <w:left w:val="nil"/>
                    <w:bottom w:val="single" w:sz="4" w:space="0" w:color="auto"/>
                    <w:right w:val="single" w:sz="4" w:space="0" w:color="auto"/>
                  </w:tcBorders>
                  <w:vAlign w:val="center"/>
                  <w:hideMark/>
                </w:tcPr>
                <w:p w:rsidR="00542328" w:rsidRPr="00B75E73" w:rsidRDefault="00542328" w:rsidP="00542328">
                  <w:pPr>
                    <w:spacing w:after="0"/>
                    <w:rPr>
                      <w:rFonts w:ascii="Century Gothic" w:eastAsia="Times New Roman" w:hAnsi="Century Gothic"/>
                      <w:color w:val="000000"/>
                      <w:sz w:val="14"/>
                      <w:szCs w:val="14"/>
                      <w:lang w:val="es-CO" w:eastAsia="es-CO"/>
                    </w:rPr>
                  </w:pPr>
                </w:p>
              </w:tc>
            </w:tr>
            <w:tr w:rsidR="00542328" w:rsidRPr="00B75E73" w:rsidTr="00B601A4">
              <w:trPr>
                <w:trHeight w:val="696"/>
              </w:trPr>
              <w:tc>
                <w:tcPr>
                  <w:tcW w:w="320" w:type="dxa"/>
                  <w:tcBorders>
                    <w:top w:val="nil"/>
                    <w:left w:val="single" w:sz="8" w:space="0" w:color="auto"/>
                    <w:bottom w:val="single" w:sz="4" w:space="0" w:color="auto"/>
                    <w:right w:val="single" w:sz="4" w:space="0" w:color="auto"/>
                  </w:tcBorders>
                  <w:shd w:val="clear" w:color="auto" w:fill="auto"/>
                  <w:noWrap/>
                  <w:vAlign w:val="center"/>
                  <w:hideMark/>
                </w:tcPr>
                <w:p w:rsidR="00542328" w:rsidRPr="00B75E73" w:rsidRDefault="00542328" w:rsidP="00542328">
                  <w:pPr>
                    <w:spacing w:after="0"/>
                    <w:jc w:val="center"/>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2</w:t>
                  </w:r>
                </w:p>
              </w:tc>
              <w:tc>
                <w:tcPr>
                  <w:tcW w:w="2433" w:type="dxa"/>
                  <w:tcBorders>
                    <w:top w:val="nil"/>
                    <w:left w:val="nil"/>
                    <w:bottom w:val="single" w:sz="4" w:space="0" w:color="auto"/>
                    <w:right w:val="single" w:sz="4" w:space="0" w:color="auto"/>
                  </w:tcBorders>
                  <w:shd w:val="clear" w:color="auto" w:fill="auto"/>
                  <w:vAlign w:val="center"/>
                  <w:hideMark/>
                </w:tcPr>
                <w:p w:rsidR="00542328" w:rsidRPr="00B75E73" w:rsidRDefault="00542328" w:rsidP="00542328">
                  <w:pPr>
                    <w:spacing w:after="0"/>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Contribuciones inherentes a la nómina sector privado y público</w:t>
                  </w:r>
                </w:p>
              </w:tc>
              <w:tc>
                <w:tcPr>
                  <w:tcW w:w="1134" w:type="dxa"/>
                  <w:tcBorders>
                    <w:top w:val="nil"/>
                    <w:left w:val="nil"/>
                    <w:bottom w:val="double" w:sz="6"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 xml:space="preserve">4.477.967.961 </w:t>
                  </w:r>
                </w:p>
              </w:tc>
              <w:tc>
                <w:tcPr>
                  <w:tcW w:w="1134" w:type="dxa"/>
                  <w:tcBorders>
                    <w:top w:val="nil"/>
                    <w:left w:val="nil"/>
                    <w:bottom w:val="double" w:sz="6"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 xml:space="preserve">4.178.762.931 </w:t>
                  </w:r>
                </w:p>
              </w:tc>
              <w:tc>
                <w:tcPr>
                  <w:tcW w:w="1420" w:type="dxa"/>
                  <w:tcBorders>
                    <w:top w:val="nil"/>
                    <w:left w:val="nil"/>
                    <w:bottom w:val="double" w:sz="6"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-6,68%</w:t>
                  </w:r>
                </w:p>
              </w:tc>
              <w:tc>
                <w:tcPr>
                  <w:tcW w:w="3969" w:type="dxa"/>
                  <w:vMerge/>
                  <w:tcBorders>
                    <w:top w:val="nil"/>
                    <w:left w:val="nil"/>
                    <w:bottom w:val="double" w:sz="6" w:space="0" w:color="auto"/>
                    <w:right w:val="single" w:sz="4" w:space="0" w:color="auto"/>
                  </w:tcBorders>
                  <w:vAlign w:val="center"/>
                  <w:hideMark/>
                </w:tcPr>
                <w:p w:rsidR="00542328" w:rsidRPr="00B75E73" w:rsidRDefault="00542328" w:rsidP="00542328">
                  <w:pPr>
                    <w:spacing w:after="0"/>
                    <w:rPr>
                      <w:rFonts w:ascii="Century Gothic" w:eastAsia="Times New Roman" w:hAnsi="Century Gothic"/>
                      <w:color w:val="000000"/>
                      <w:sz w:val="14"/>
                      <w:szCs w:val="14"/>
                      <w:lang w:val="es-CO" w:eastAsia="es-CO"/>
                    </w:rPr>
                  </w:pPr>
                </w:p>
              </w:tc>
            </w:tr>
            <w:tr w:rsidR="00542328" w:rsidRPr="00B75E73" w:rsidTr="00B601A4">
              <w:trPr>
                <w:trHeight w:val="375"/>
              </w:trPr>
              <w:tc>
                <w:tcPr>
                  <w:tcW w:w="2753"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Totales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 xml:space="preserve">16.345.260.817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t xml:space="preserve">17.131.296.382 </w:t>
                  </w:r>
                </w:p>
              </w:tc>
              <w:tc>
                <w:tcPr>
                  <w:tcW w:w="1420" w:type="dxa"/>
                  <w:tcBorders>
                    <w:top w:val="nil"/>
                    <w:left w:val="nil"/>
                    <w:bottom w:val="single" w:sz="4" w:space="0" w:color="auto"/>
                    <w:right w:val="single" w:sz="4" w:space="0" w:color="auto"/>
                  </w:tcBorders>
                  <w:shd w:val="clear" w:color="auto" w:fill="auto"/>
                  <w:noWrap/>
                  <w:vAlign w:val="center"/>
                  <w:hideMark/>
                </w:tcPr>
                <w:p w:rsidR="00542328" w:rsidRPr="00B75E73" w:rsidRDefault="00542328" w:rsidP="00542328">
                  <w:pPr>
                    <w:spacing w:after="0"/>
                    <w:jc w:val="right"/>
                    <w:rPr>
                      <w:rFonts w:ascii="Century Gothic" w:eastAsia="Times New Roman" w:hAnsi="Century Gothic"/>
                      <w:color w:val="000000"/>
                      <w:sz w:val="14"/>
                      <w:szCs w:val="14"/>
                      <w:lang w:val="es-CO" w:eastAsia="es-CO"/>
                    </w:rPr>
                  </w:pPr>
                  <w:r w:rsidRPr="00B75E73">
                    <w:rPr>
                      <w:rFonts w:ascii="Century Gothic" w:eastAsia="Times New Roman" w:hAnsi="Century Gothic"/>
                      <w:color w:val="000000"/>
                      <w:sz w:val="14"/>
                      <w:szCs w:val="14"/>
                      <w:lang w:val="es-CO" w:eastAsia="es-CO"/>
                    </w:rPr>
                    <w:t>4,81%</w:t>
                  </w:r>
                </w:p>
              </w:tc>
              <w:tc>
                <w:tcPr>
                  <w:tcW w:w="3969" w:type="dxa"/>
                  <w:vMerge/>
                  <w:tcBorders>
                    <w:top w:val="nil"/>
                    <w:left w:val="nil"/>
                    <w:bottom w:val="single" w:sz="4" w:space="0" w:color="auto"/>
                    <w:right w:val="single" w:sz="4" w:space="0" w:color="auto"/>
                  </w:tcBorders>
                  <w:vAlign w:val="center"/>
                  <w:hideMark/>
                </w:tcPr>
                <w:p w:rsidR="00542328" w:rsidRPr="00B75E73" w:rsidRDefault="00542328" w:rsidP="00542328">
                  <w:pPr>
                    <w:spacing w:after="0"/>
                    <w:rPr>
                      <w:rFonts w:ascii="Century Gothic" w:eastAsia="Times New Roman" w:hAnsi="Century Gothic"/>
                      <w:color w:val="000000"/>
                      <w:sz w:val="14"/>
                      <w:szCs w:val="14"/>
                      <w:lang w:val="es-CO" w:eastAsia="es-CO"/>
                    </w:rPr>
                  </w:pPr>
                </w:p>
              </w:tc>
            </w:tr>
            <w:tr w:rsidR="00542328" w:rsidRPr="00B75E73" w:rsidTr="00B601A4">
              <w:trPr>
                <w:trHeight w:val="1380"/>
              </w:trPr>
              <w:tc>
                <w:tcPr>
                  <w:tcW w:w="10410" w:type="dxa"/>
                  <w:gridSpan w:val="6"/>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542328" w:rsidRPr="00464086" w:rsidRDefault="00542328" w:rsidP="00542328">
                  <w:pPr>
                    <w:spacing w:after="0"/>
                    <w:jc w:val="both"/>
                    <w:rPr>
                      <w:rFonts w:ascii="Century Gothic" w:eastAsia="Times New Roman" w:hAnsi="Century Gothic"/>
                      <w:b/>
                      <w:bCs/>
                      <w:color w:val="000000"/>
                      <w:sz w:val="14"/>
                      <w:szCs w:val="14"/>
                      <w:lang w:val="es-CO" w:eastAsia="es-CO"/>
                    </w:rPr>
                  </w:pPr>
                  <w:r w:rsidRPr="00B75E73">
                    <w:rPr>
                      <w:rFonts w:ascii="Century Gothic" w:eastAsia="Times New Roman" w:hAnsi="Century Gothic"/>
                      <w:b/>
                      <w:bCs/>
                      <w:color w:val="000000"/>
                      <w:sz w:val="14"/>
                      <w:szCs w:val="14"/>
                      <w:lang w:val="es-CO" w:eastAsia="es-CO"/>
                    </w:rPr>
                    <w:lastRenderedPageBreak/>
                    <w:t xml:space="preserve">Información </w:t>
                  </w:r>
                  <w:r w:rsidRPr="00464086">
                    <w:rPr>
                      <w:rFonts w:ascii="Century Gothic" w:eastAsia="Times New Roman" w:hAnsi="Century Gothic"/>
                      <w:b/>
                      <w:bCs/>
                      <w:color w:val="000000"/>
                      <w:sz w:val="14"/>
                      <w:szCs w:val="14"/>
                      <w:lang w:val="es-CO" w:eastAsia="es-CO"/>
                    </w:rPr>
                    <w:t>enviada</w:t>
                  </w:r>
                  <w:r w:rsidRPr="00B75E73">
                    <w:rPr>
                      <w:rFonts w:ascii="Century Gothic" w:eastAsia="Times New Roman" w:hAnsi="Century Gothic"/>
                      <w:b/>
                      <w:bCs/>
                      <w:color w:val="000000"/>
                      <w:sz w:val="14"/>
                      <w:szCs w:val="14"/>
                      <w:lang w:val="es-CO" w:eastAsia="es-CO"/>
                    </w:rPr>
                    <w:t xml:space="preserve"> por el proceso:</w:t>
                  </w:r>
                </w:p>
                <w:p w:rsidR="00542328" w:rsidRPr="00464086" w:rsidRDefault="00542328" w:rsidP="00542328">
                  <w:pPr>
                    <w:spacing w:after="0"/>
                    <w:jc w:val="both"/>
                    <w:rPr>
                      <w:rFonts w:ascii="Century Gothic" w:eastAsia="Times New Roman" w:hAnsi="Century Gothic"/>
                      <w:sz w:val="14"/>
                      <w:szCs w:val="14"/>
                      <w:lang w:val="es-CO" w:eastAsia="es-CO"/>
                    </w:rPr>
                  </w:pPr>
                  <w:r w:rsidRPr="00B75E73">
                    <w:rPr>
                      <w:rFonts w:ascii="Century Gothic" w:eastAsia="Times New Roman" w:hAnsi="Century Gothic"/>
                      <w:b/>
                      <w:bCs/>
                      <w:color w:val="FF0000"/>
                      <w:sz w:val="14"/>
                      <w:szCs w:val="14"/>
                      <w:lang w:val="es-CO" w:eastAsia="es-CO"/>
                    </w:rPr>
                    <w:br/>
                  </w:r>
                  <w:r w:rsidRPr="00B75E73">
                    <w:rPr>
                      <w:rFonts w:ascii="Century Gothic" w:eastAsia="Times New Roman" w:hAnsi="Century Gothic"/>
                      <w:sz w:val="14"/>
                      <w:szCs w:val="14"/>
                      <w:lang w:val="es-CO" w:eastAsia="es-CO"/>
                    </w:rPr>
                    <w:t xml:space="preserve">La </w:t>
                  </w:r>
                  <w:r w:rsidRPr="00464086">
                    <w:rPr>
                      <w:rFonts w:ascii="Century Gothic" w:eastAsia="Times New Roman" w:hAnsi="Century Gothic"/>
                      <w:sz w:val="14"/>
                      <w:szCs w:val="14"/>
                      <w:lang w:val="es-CO" w:eastAsia="es-CO"/>
                    </w:rPr>
                    <w:t>variación</w:t>
                  </w:r>
                  <w:r w:rsidRPr="00B75E73">
                    <w:rPr>
                      <w:rFonts w:ascii="Century Gothic" w:eastAsia="Times New Roman" w:hAnsi="Century Gothic"/>
                      <w:sz w:val="14"/>
                      <w:szCs w:val="14"/>
                      <w:lang w:val="es-CO" w:eastAsia="es-CO"/>
                    </w:rPr>
                    <w:t xml:space="preserve"> se presenta considerado los siguientes aspectos:</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Los gastos de servicios personales se incrementaron por la política de austeridad de la presidencia, la cual nos dice que el personal no puede acumular vacaciones.</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2. Se presentó un incremento en las renuncias en dicho trimestre, 2015 se retiraron 7 y 2016 se retiraron 16, si bien es cierto que la diferencia de retiros es de 9 personas también hay que analizar el grado de los mismos.</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En el trimestre del año 2015 la planta estaba en un promedio de 802 cargos y en el 2016 con 803 cargos por lo que existió un aumento en el personal.</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Este indicador muestra lo efectivamente pagado entre el trimestre de 2015 y el de 2016.</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En octubre de 2016 la unidad quedó desfinanciada en los rubros de indemnización de vacaciones, por ende, quedaron acumulados y se pagaron todas las liquidaciones represadas en el mes de diciembre cuando el ministerio de hacienda nos suministró recursos, en los rubros de indemnización de vacaciones, prima de servicios, bonificación de recreación y prima de navidad.</w:t>
                  </w:r>
                </w:p>
                <w:p w:rsidR="00542328" w:rsidRPr="00464086" w:rsidRDefault="00542328" w:rsidP="00542328">
                  <w:pPr>
                    <w:pStyle w:val="Prrafodelista"/>
                    <w:numPr>
                      <w:ilvl w:val="0"/>
                      <w:numId w:val="24"/>
                    </w:numPr>
                    <w:spacing w:after="0"/>
                    <w:jc w:val="both"/>
                    <w:rPr>
                      <w:rFonts w:ascii="Century Gothic" w:eastAsia="Times New Roman" w:hAnsi="Century Gothic"/>
                      <w:sz w:val="14"/>
                      <w:szCs w:val="14"/>
                      <w:lang w:val="es-CO" w:eastAsia="es-CO"/>
                    </w:rPr>
                  </w:pPr>
                  <w:r w:rsidRPr="00464086">
                    <w:rPr>
                      <w:rFonts w:ascii="Century Gothic" w:eastAsia="Times New Roman" w:hAnsi="Century Gothic"/>
                      <w:sz w:val="14"/>
                      <w:szCs w:val="14"/>
                      <w:lang w:val="es-CO" w:eastAsia="es-CO"/>
                    </w:rPr>
                    <w:t>Con respecto a primas técnicas factor salarial y no salarial, adjunto listado de los funcionarios que percibieron en dichos meses.</w:t>
                  </w:r>
                  <w:r w:rsidRPr="00464086">
                    <w:rPr>
                      <w:rFonts w:ascii="Century Gothic" w:eastAsia="Times New Roman" w:hAnsi="Century Gothic"/>
                      <w:sz w:val="14"/>
                      <w:szCs w:val="14"/>
                      <w:lang w:val="es-CO" w:eastAsia="es-CO"/>
                    </w:rPr>
                    <w:br/>
                    <w:t>7. Aunque la seguridad social del 2016 se incrementó en un 11.5% respecto a la de 2015, esta tuvo una disminución en sentido que en el último trimestre de 2015 se pagaron 4 planillas de cesantías de los meses de septiembre a diciembre, y en el 2016 se pagaron 3 de los meses de octubre a diciembre.</w:t>
                  </w:r>
                </w:p>
              </w:tc>
            </w:tr>
          </w:tbl>
          <w:p w:rsidR="00542328" w:rsidRDefault="00542328" w:rsidP="00542328">
            <w:pPr>
              <w:jc w:val="both"/>
              <w:rPr>
                <w:rFonts w:ascii="Century Gothic" w:hAnsi="Century Gothic" w:cs="Arial"/>
                <w:sz w:val="20"/>
                <w:szCs w:val="20"/>
                <w:lang w:eastAsia="es-CO"/>
              </w:rPr>
            </w:pPr>
          </w:p>
          <w:tbl>
            <w:tblPr>
              <w:tblW w:w="10410" w:type="dxa"/>
              <w:tblCellMar>
                <w:left w:w="70" w:type="dxa"/>
                <w:right w:w="70" w:type="dxa"/>
              </w:tblCellMar>
              <w:tblLook w:val="04A0" w:firstRow="1" w:lastRow="0" w:firstColumn="1" w:lastColumn="0" w:noHBand="0" w:noVBand="1"/>
            </w:tblPr>
            <w:tblGrid>
              <w:gridCol w:w="320"/>
              <w:gridCol w:w="1163"/>
              <w:gridCol w:w="1417"/>
              <w:gridCol w:w="1559"/>
              <w:gridCol w:w="1701"/>
              <w:gridCol w:w="4250"/>
            </w:tblGrid>
            <w:tr w:rsidR="00542328" w:rsidRPr="00464086" w:rsidTr="00B601A4">
              <w:trPr>
                <w:trHeight w:val="300"/>
              </w:trPr>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Nº</w:t>
                  </w:r>
                </w:p>
              </w:tc>
              <w:tc>
                <w:tcPr>
                  <w:tcW w:w="5840" w:type="dxa"/>
                  <w:gridSpan w:val="4"/>
                  <w:tcBorders>
                    <w:top w:val="single" w:sz="4" w:space="0" w:color="auto"/>
                    <w:left w:val="nil"/>
                    <w:bottom w:val="single" w:sz="4" w:space="0" w:color="auto"/>
                    <w:right w:val="single" w:sz="4" w:space="0" w:color="auto"/>
                  </w:tcBorders>
                  <w:shd w:val="clear" w:color="auto" w:fill="auto"/>
                  <w:noWrap/>
                  <w:vAlign w:val="bottom"/>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Aspectos cuantitativos</w:t>
                  </w:r>
                </w:p>
              </w:tc>
              <w:tc>
                <w:tcPr>
                  <w:tcW w:w="4250" w:type="dxa"/>
                  <w:tcBorders>
                    <w:top w:val="single" w:sz="4" w:space="0" w:color="auto"/>
                    <w:left w:val="nil"/>
                    <w:bottom w:val="single" w:sz="4" w:space="0" w:color="auto"/>
                    <w:right w:val="single" w:sz="4" w:space="0" w:color="auto"/>
                  </w:tcBorders>
                  <w:shd w:val="clear" w:color="auto" w:fill="auto"/>
                  <w:noWrap/>
                  <w:vAlign w:val="bottom"/>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Situaciones encontradas por la OCI</w:t>
                  </w:r>
                </w:p>
              </w:tc>
            </w:tr>
            <w:tr w:rsidR="00542328" w:rsidRPr="00464086" w:rsidTr="00B601A4">
              <w:trPr>
                <w:trHeight w:val="1785"/>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542328" w:rsidRPr="00464086" w:rsidRDefault="00542328" w:rsidP="00542328">
                  <w:pPr>
                    <w:spacing w:after="0"/>
                    <w:jc w:val="center"/>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 </w:t>
                  </w:r>
                </w:p>
              </w:tc>
              <w:tc>
                <w:tcPr>
                  <w:tcW w:w="1163" w:type="dxa"/>
                  <w:tcBorders>
                    <w:top w:val="nil"/>
                    <w:left w:val="nil"/>
                    <w:bottom w:val="single" w:sz="4" w:space="0" w:color="auto"/>
                    <w:right w:val="single" w:sz="4" w:space="0" w:color="auto"/>
                  </w:tcBorders>
                  <w:shd w:val="clear" w:color="auto" w:fill="auto"/>
                  <w:vAlign w:val="center"/>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Cantidad personal</w:t>
                  </w:r>
                </w:p>
              </w:tc>
              <w:tc>
                <w:tcPr>
                  <w:tcW w:w="1417" w:type="dxa"/>
                  <w:tcBorders>
                    <w:top w:val="nil"/>
                    <w:left w:val="nil"/>
                    <w:bottom w:val="single" w:sz="4" w:space="0" w:color="auto"/>
                    <w:right w:val="single" w:sz="4" w:space="0" w:color="auto"/>
                  </w:tcBorders>
                  <w:shd w:val="clear" w:color="auto" w:fill="auto"/>
                  <w:vAlign w:val="center"/>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Entre</w:t>
                  </w:r>
                  <w:r>
                    <w:rPr>
                      <w:rFonts w:ascii="Century Gothic" w:eastAsia="Times New Roman" w:hAnsi="Century Gothic"/>
                      <w:b/>
                      <w:bCs/>
                      <w:color w:val="000000"/>
                      <w:sz w:val="16"/>
                      <w:szCs w:val="16"/>
                      <w:lang w:val="es-CO" w:eastAsia="es-CO"/>
                    </w:rPr>
                    <w:t xml:space="preserve"> </w:t>
                  </w:r>
                  <w:r w:rsidRPr="00464086">
                    <w:rPr>
                      <w:rFonts w:ascii="Century Gothic" w:eastAsia="Times New Roman" w:hAnsi="Century Gothic"/>
                      <w:b/>
                      <w:bCs/>
                      <w:color w:val="000000"/>
                      <w:sz w:val="16"/>
                      <w:szCs w:val="16"/>
                      <w:lang w:val="es-CO" w:eastAsia="es-CO"/>
                    </w:rPr>
                    <w:t>octubre - diciembre de la vigencia 2015</w:t>
                  </w:r>
                </w:p>
              </w:tc>
              <w:tc>
                <w:tcPr>
                  <w:tcW w:w="1559" w:type="dxa"/>
                  <w:tcBorders>
                    <w:top w:val="nil"/>
                    <w:left w:val="nil"/>
                    <w:bottom w:val="single" w:sz="4" w:space="0" w:color="auto"/>
                    <w:right w:val="single" w:sz="4" w:space="0" w:color="auto"/>
                  </w:tcBorders>
                  <w:shd w:val="clear" w:color="auto" w:fill="auto"/>
                  <w:vAlign w:val="center"/>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Entre octubre - diciembre de la vigencia 2016</w:t>
                  </w:r>
                </w:p>
              </w:tc>
              <w:tc>
                <w:tcPr>
                  <w:tcW w:w="1701" w:type="dxa"/>
                  <w:tcBorders>
                    <w:top w:val="nil"/>
                    <w:left w:val="nil"/>
                    <w:bottom w:val="single" w:sz="4" w:space="0" w:color="auto"/>
                    <w:right w:val="single" w:sz="4" w:space="0" w:color="auto"/>
                  </w:tcBorders>
                  <w:shd w:val="clear" w:color="auto" w:fill="auto"/>
                  <w:vAlign w:val="center"/>
                  <w:hideMark/>
                </w:tcPr>
                <w:p w:rsidR="00542328" w:rsidRPr="00464086" w:rsidRDefault="00542328" w:rsidP="00542328">
                  <w:pPr>
                    <w:spacing w:after="0"/>
                    <w:jc w:val="center"/>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 Variación entre octubre - diciembre de la vigencia 2016 respecto al mismo periodo de la vigencia 2015</w:t>
                  </w:r>
                </w:p>
              </w:tc>
              <w:tc>
                <w:tcPr>
                  <w:tcW w:w="4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328" w:rsidRPr="00464086" w:rsidRDefault="00542328" w:rsidP="00542328">
                  <w:pPr>
                    <w:spacing w:after="0"/>
                    <w:jc w:val="both"/>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 xml:space="preserve">Aunque se presentó un incremento del 129% en las renuncias en dicho trimestre de 2015 se retiraron 7 y 2016 </w:t>
                  </w:r>
                  <w:r w:rsidR="003409D7">
                    <w:rPr>
                      <w:rFonts w:ascii="Century Gothic" w:eastAsia="Times New Roman" w:hAnsi="Century Gothic"/>
                      <w:color w:val="000000"/>
                      <w:sz w:val="16"/>
                      <w:szCs w:val="16"/>
                      <w:lang w:val="es-CO" w:eastAsia="es-CO"/>
                    </w:rPr>
                    <w:t xml:space="preserve">aumentó a </w:t>
                  </w:r>
                  <w:r w:rsidRPr="00464086">
                    <w:rPr>
                      <w:rFonts w:ascii="Century Gothic" w:eastAsia="Times New Roman" w:hAnsi="Century Gothic"/>
                      <w:color w:val="000000"/>
                      <w:sz w:val="16"/>
                      <w:szCs w:val="16"/>
                      <w:lang w:val="es-CO" w:eastAsia="es-CO"/>
                    </w:rPr>
                    <w:t>16, la entidad presentó un incremento de planta de personal de 0,12% en comparación a la vigencia anterior, presentando una planta de personal de 803 cargos.</w:t>
                  </w:r>
                </w:p>
              </w:tc>
            </w:tr>
            <w:tr w:rsidR="00542328" w:rsidRPr="00464086" w:rsidTr="00B601A4">
              <w:trPr>
                <w:trHeight w:val="510"/>
              </w:trPr>
              <w:tc>
                <w:tcPr>
                  <w:tcW w:w="320" w:type="dxa"/>
                  <w:tcBorders>
                    <w:top w:val="nil"/>
                    <w:left w:val="single" w:sz="4" w:space="0" w:color="auto"/>
                    <w:bottom w:val="single" w:sz="4" w:space="0" w:color="auto"/>
                    <w:right w:val="single" w:sz="4" w:space="0" w:color="auto"/>
                  </w:tcBorders>
                  <w:shd w:val="clear" w:color="auto" w:fill="auto"/>
                  <w:noWrap/>
                  <w:vAlign w:val="center"/>
                  <w:hideMark/>
                </w:tcPr>
                <w:p w:rsidR="00542328" w:rsidRPr="00464086" w:rsidRDefault="00542328" w:rsidP="00542328">
                  <w:pPr>
                    <w:spacing w:after="0"/>
                    <w:jc w:val="center"/>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3</w:t>
                  </w:r>
                </w:p>
              </w:tc>
              <w:tc>
                <w:tcPr>
                  <w:tcW w:w="1163" w:type="dxa"/>
                  <w:tcBorders>
                    <w:top w:val="nil"/>
                    <w:left w:val="nil"/>
                    <w:bottom w:val="single" w:sz="4" w:space="0" w:color="auto"/>
                    <w:right w:val="single" w:sz="4" w:space="0" w:color="auto"/>
                  </w:tcBorders>
                  <w:shd w:val="clear" w:color="auto" w:fill="auto"/>
                  <w:vAlign w:val="center"/>
                  <w:hideMark/>
                </w:tcPr>
                <w:p w:rsidR="00542328" w:rsidRPr="00464086" w:rsidRDefault="00542328" w:rsidP="00542328">
                  <w:pPr>
                    <w:spacing w:after="0"/>
                    <w:rPr>
                      <w:rFonts w:ascii="Century Gothic" w:eastAsia="Times New Roman" w:hAnsi="Century Gothic"/>
                      <w:b/>
                      <w:bCs/>
                      <w:color w:val="000000"/>
                      <w:sz w:val="16"/>
                      <w:szCs w:val="16"/>
                      <w:lang w:val="es-CO" w:eastAsia="es-CO"/>
                    </w:rPr>
                  </w:pPr>
                  <w:r w:rsidRPr="00464086">
                    <w:rPr>
                      <w:rFonts w:ascii="Century Gothic" w:eastAsia="Times New Roman" w:hAnsi="Century Gothic"/>
                      <w:b/>
                      <w:bCs/>
                      <w:color w:val="000000"/>
                      <w:sz w:val="16"/>
                      <w:szCs w:val="16"/>
                      <w:lang w:val="es-CO" w:eastAsia="es-CO"/>
                    </w:rPr>
                    <w:t>Personal vinculado de planta</w:t>
                  </w:r>
                </w:p>
              </w:tc>
              <w:tc>
                <w:tcPr>
                  <w:tcW w:w="1417" w:type="dxa"/>
                  <w:tcBorders>
                    <w:top w:val="nil"/>
                    <w:left w:val="nil"/>
                    <w:bottom w:val="single" w:sz="4" w:space="0" w:color="auto"/>
                    <w:right w:val="single" w:sz="4" w:space="0" w:color="auto"/>
                  </w:tcBorders>
                  <w:shd w:val="clear" w:color="auto" w:fill="auto"/>
                  <w:noWrap/>
                  <w:vAlign w:val="center"/>
                  <w:hideMark/>
                </w:tcPr>
                <w:p w:rsidR="00542328" w:rsidRPr="00464086" w:rsidRDefault="00542328" w:rsidP="00542328">
                  <w:pPr>
                    <w:spacing w:after="0"/>
                    <w:jc w:val="right"/>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802</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464086" w:rsidRDefault="00542328" w:rsidP="00542328">
                  <w:pPr>
                    <w:spacing w:after="0"/>
                    <w:jc w:val="right"/>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803</w:t>
                  </w:r>
                </w:p>
              </w:tc>
              <w:tc>
                <w:tcPr>
                  <w:tcW w:w="1701" w:type="dxa"/>
                  <w:tcBorders>
                    <w:top w:val="nil"/>
                    <w:left w:val="nil"/>
                    <w:bottom w:val="single" w:sz="4" w:space="0" w:color="auto"/>
                    <w:right w:val="single" w:sz="4" w:space="0" w:color="auto"/>
                  </w:tcBorders>
                  <w:shd w:val="clear" w:color="auto" w:fill="auto"/>
                  <w:noWrap/>
                  <w:vAlign w:val="center"/>
                  <w:hideMark/>
                </w:tcPr>
                <w:p w:rsidR="00542328" w:rsidRPr="00464086" w:rsidRDefault="00542328" w:rsidP="00542328">
                  <w:pPr>
                    <w:spacing w:after="0"/>
                    <w:jc w:val="right"/>
                    <w:rPr>
                      <w:rFonts w:ascii="Century Gothic" w:eastAsia="Times New Roman" w:hAnsi="Century Gothic"/>
                      <w:color w:val="000000"/>
                      <w:sz w:val="16"/>
                      <w:szCs w:val="16"/>
                      <w:lang w:val="es-CO" w:eastAsia="es-CO"/>
                    </w:rPr>
                  </w:pPr>
                  <w:r w:rsidRPr="00464086">
                    <w:rPr>
                      <w:rFonts w:ascii="Century Gothic" w:eastAsia="Times New Roman" w:hAnsi="Century Gothic"/>
                      <w:color w:val="000000"/>
                      <w:sz w:val="16"/>
                      <w:szCs w:val="16"/>
                      <w:lang w:val="es-CO" w:eastAsia="es-CO"/>
                    </w:rPr>
                    <w:t>0,12%</w:t>
                  </w:r>
                </w:p>
              </w:tc>
              <w:tc>
                <w:tcPr>
                  <w:tcW w:w="4250" w:type="dxa"/>
                  <w:vMerge/>
                  <w:tcBorders>
                    <w:top w:val="nil"/>
                    <w:left w:val="nil"/>
                    <w:bottom w:val="single" w:sz="4" w:space="0" w:color="auto"/>
                    <w:right w:val="single" w:sz="4" w:space="0" w:color="auto"/>
                  </w:tcBorders>
                  <w:vAlign w:val="center"/>
                  <w:hideMark/>
                </w:tcPr>
                <w:p w:rsidR="00542328" w:rsidRPr="00464086" w:rsidRDefault="00542328" w:rsidP="00542328">
                  <w:pPr>
                    <w:spacing w:after="0"/>
                    <w:rPr>
                      <w:rFonts w:ascii="Century Gothic" w:eastAsia="Times New Roman" w:hAnsi="Century Gothic"/>
                      <w:color w:val="000000"/>
                      <w:sz w:val="16"/>
                      <w:szCs w:val="16"/>
                      <w:lang w:val="es-CO" w:eastAsia="es-CO"/>
                    </w:rPr>
                  </w:pPr>
                </w:p>
              </w:tc>
            </w:tr>
            <w:tr w:rsidR="00542328" w:rsidRPr="00464086" w:rsidTr="00B601A4">
              <w:trPr>
                <w:trHeight w:val="585"/>
              </w:trPr>
              <w:tc>
                <w:tcPr>
                  <w:tcW w:w="1041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42328" w:rsidRDefault="00542328" w:rsidP="00542328">
                  <w:pPr>
                    <w:spacing w:after="0"/>
                    <w:jc w:val="both"/>
                    <w:rPr>
                      <w:rFonts w:ascii="Century Gothic" w:eastAsia="Times New Roman" w:hAnsi="Century Gothic"/>
                      <w:b/>
                      <w:bCs/>
                      <w:color w:val="000000"/>
                      <w:sz w:val="18"/>
                      <w:szCs w:val="18"/>
                      <w:lang w:val="es-CO" w:eastAsia="es-CO"/>
                    </w:rPr>
                  </w:pPr>
                  <w:r w:rsidRPr="00464086">
                    <w:rPr>
                      <w:rFonts w:ascii="Century Gothic" w:eastAsia="Times New Roman" w:hAnsi="Century Gothic"/>
                      <w:b/>
                      <w:bCs/>
                      <w:color w:val="000000"/>
                      <w:sz w:val="18"/>
                      <w:szCs w:val="18"/>
                      <w:lang w:val="es-CO" w:eastAsia="es-CO"/>
                    </w:rPr>
                    <w:t>Información enviada por el proceso:</w:t>
                  </w:r>
                </w:p>
                <w:p w:rsidR="00542328" w:rsidRPr="00464086" w:rsidRDefault="00542328" w:rsidP="00542328">
                  <w:pPr>
                    <w:spacing w:after="0"/>
                    <w:jc w:val="both"/>
                    <w:rPr>
                      <w:rFonts w:ascii="Century Gothic" w:eastAsia="Times New Roman" w:hAnsi="Century Gothic"/>
                      <w:b/>
                      <w:bCs/>
                      <w:color w:val="000000"/>
                      <w:sz w:val="14"/>
                      <w:szCs w:val="14"/>
                      <w:lang w:val="es-CO" w:eastAsia="es-CO"/>
                    </w:rPr>
                  </w:pPr>
                  <w:r w:rsidRPr="00464086">
                    <w:rPr>
                      <w:rFonts w:ascii="Century Gothic" w:eastAsia="Times New Roman" w:hAnsi="Century Gothic"/>
                      <w:sz w:val="14"/>
                      <w:szCs w:val="14"/>
                      <w:lang w:val="es-CO" w:eastAsia="es-CO"/>
                    </w:rPr>
                    <w:t>En el trimestre del año 2015 la planta estaba en un promedio de 802 cargos y en el 2016 con 803 cargos por lo que existió un aumento en el personal</w:t>
                  </w:r>
                </w:p>
              </w:tc>
            </w:tr>
          </w:tbl>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FC23F7" w:rsidRDefault="00542328" w:rsidP="00542328">
            <w:pPr>
              <w:pStyle w:val="Prrafodelista"/>
              <w:numPr>
                <w:ilvl w:val="1"/>
                <w:numId w:val="23"/>
              </w:numPr>
              <w:spacing w:after="0"/>
              <w:jc w:val="both"/>
              <w:rPr>
                <w:rFonts w:ascii="Century Gothic" w:hAnsi="Century Gothic" w:cs="Arial"/>
                <w:b/>
                <w:sz w:val="20"/>
                <w:szCs w:val="20"/>
                <w:lang w:val="es-MX" w:eastAsia="es-CO"/>
              </w:rPr>
            </w:pPr>
            <w:r w:rsidRPr="00FC23F7">
              <w:rPr>
                <w:rFonts w:ascii="Century Gothic" w:hAnsi="Century Gothic" w:cs="Arial"/>
                <w:b/>
                <w:sz w:val="20"/>
                <w:szCs w:val="20"/>
                <w:lang w:val="es-MX" w:eastAsia="es-CO"/>
              </w:rPr>
              <w:t>Contratos</w:t>
            </w:r>
          </w:p>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BA4AB2" w:rsidRDefault="00542328" w:rsidP="00542328">
            <w:pPr>
              <w:pStyle w:val="Default"/>
              <w:numPr>
                <w:ilvl w:val="2"/>
                <w:numId w:val="23"/>
              </w:numPr>
              <w:jc w:val="both"/>
              <w:rPr>
                <w:rFonts w:ascii="Century Gothic" w:eastAsia="Times New Roman" w:hAnsi="Century Gothic"/>
                <w:b/>
                <w:color w:val="auto"/>
                <w:sz w:val="20"/>
                <w:szCs w:val="20"/>
                <w:lang w:val="es-ES_tradnl"/>
              </w:rPr>
            </w:pPr>
            <w:r w:rsidRPr="00FC23F7">
              <w:rPr>
                <w:rFonts w:ascii="Century Gothic" w:eastAsia="Times New Roman" w:hAnsi="Century Gothic"/>
                <w:b/>
                <w:color w:val="auto"/>
                <w:sz w:val="20"/>
                <w:szCs w:val="20"/>
                <w:lang w:val="es-ES_tradnl"/>
              </w:rPr>
              <w:t>Por funcionamiento</w:t>
            </w:r>
          </w:p>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410" w:type="dxa"/>
              <w:tblCellMar>
                <w:left w:w="70" w:type="dxa"/>
                <w:right w:w="70" w:type="dxa"/>
              </w:tblCellMar>
              <w:tblLook w:val="04A0" w:firstRow="1" w:lastRow="0" w:firstColumn="1" w:lastColumn="0" w:noHBand="0" w:noVBand="1"/>
            </w:tblPr>
            <w:tblGrid>
              <w:gridCol w:w="375"/>
              <w:gridCol w:w="3796"/>
              <w:gridCol w:w="1276"/>
              <w:gridCol w:w="1275"/>
              <w:gridCol w:w="1560"/>
              <w:gridCol w:w="2128"/>
            </w:tblGrid>
            <w:tr w:rsidR="00542328" w:rsidRPr="00982AE0" w:rsidTr="00B601A4">
              <w:trPr>
                <w:trHeight w:val="215"/>
              </w:trPr>
              <w:tc>
                <w:tcPr>
                  <w:tcW w:w="3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Nº</w:t>
                  </w:r>
                </w:p>
              </w:tc>
              <w:tc>
                <w:tcPr>
                  <w:tcW w:w="7907"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Aspectos cuantitativos</w:t>
                  </w:r>
                </w:p>
              </w:tc>
              <w:tc>
                <w:tcPr>
                  <w:tcW w:w="2128"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Situaciones encontradas por la OCI</w:t>
                  </w:r>
                </w:p>
              </w:tc>
            </w:tr>
            <w:tr w:rsidR="00542328" w:rsidRPr="00982AE0" w:rsidTr="00B601A4">
              <w:trPr>
                <w:trHeight w:val="518"/>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 </w:t>
                  </w:r>
                </w:p>
              </w:tc>
              <w:tc>
                <w:tcPr>
                  <w:tcW w:w="3796" w:type="dxa"/>
                  <w:tcBorders>
                    <w:top w:val="nil"/>
                    <w:left w:val="nil"/>
                    <w:bottom w:val="single" w:sz="4" w:space="0" w:color="auto"/>
                    <w:right w:val="single" w:sz="4" w:space="0" w:color="auto"/>
                  </w:tcBorders>
                  <w:shd w:val="clear" w:color="auto" w:fill="auto"/>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Cantidad personal</w:t>
                  </w:r>
                </w:p>
              </w:tc>
              <w:tc>
                <w:tcPr>
                  <w:tcW w:w="1276" w:type="dxa"/>
                  <w:tcBorders>
                    <w:top w:val="nil"/>
                    <w:left w:val="nil"/>
                    <w:bottom w:val="single" w:sz="4" w:space="0" w:color="auto"/>
                    <w:right w:val="single" w:sz="4" w:space="0" w:color="auto"/>
                  </w:tcBorders>
                  <w:shd w:val="clear" w:color="auto" w:fill="auto"/>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Cantidad entre enero - diciembre de la vigencia 2015</w:t>
                  </w:r>
                </w:p>
              </w:tc>
              <w:tc>
                <w:tcPr>
                  <w:tcW w:w="1275" w:type="dxa"/>
                  <w:tcBorders>
                    <w:top w:val="nil"/>
                    <w:left w:val="nil"/>
                    <w:bottom w:val="single" w:sz="4" w:space="0" w:color="auto"/>
                    <w:right w:val="single" w:sz="4" w:space="0" w:color="auto"/>
                  </w:tcBorders>
                  <w:shd w:val="clear" w:color="auto" w:fill="auto"/>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Cantidad entre enero - diciembre de la vigencia 2016</w:t>
                  </w:r>
                </w:p>
              </w:tc>
              <w:tc>
                <w:tcPr>
                  <w:tcW w:w="1560" w:type="dxa"/>
                  <w:tcBorders>
                    <w:top w:val="nil"/>
                    <w:left w:val="nil"/>
                    <w:bottom w:val="single" w:sz="4" w:space="0" w:color="auto"/>
                    <w:right w:val="single" w:sz="4" w:space="0" w:color="auto"/>
                  </w:tcBorders>
                  <w:shd w:val="clear" w:color="auto" w:fill="auto"/>
                  <w:vAlign w:val="center"/>
                  <w:hideMark/>
                </w:tcPr>
                <w:p w:rsidR="00542328" w:rsidRPr="00982AE0" w:rsidRDefault="00542328" w:rsidP="00542328">
                  <w:pPr>
                    <w:spacing w:after="0"/>
                    <w:jc w:val="center"/>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 Variación de la cantidad entre enero - diciembre de 2016 respecto al mismo periodo de la vigencia 2015</w:t>
                  </w:r>
                </w:p>
              </w:tc>
              <w:tc>
                <w:tcPr>
                  <w:tcW w:w="2128"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982AE0" w:rsidRDefault="00542328" w:rsidP="00542328">
                  <w:pPr>
                    <w:spacing w:after="0"/>
                    <w:jc w:val="both"/>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Se observa un incremento en la cantidad de personal contratado para las áreas misionales, estratégicos y seguimiento y control. Para el personal contratado de las áreas de apoyo disminuye el 42,86%. Resultando un incremento del total personal contratado de 37,43% en comparación del trimestre de 2015.</w:t>
                  </w:r>
                </w:p>
              </w:tc>
            </w:tr>
            <w:tr w:rsidR="00542328" w:rsidRPr="00982AE0" w:rsidTr="00B601A4">
              <w:trPr>
                <w:trHeight w:val="21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1</w:t>
                  </w:r>
                </w:p>
              </w:tc>
              <w:tc>
                <w:tcPr>
                  <w:tcW w:w="379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Personal contratado Procesos Misionales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76</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176</w:t>
                  </w:r>
                </w:p>
              </w:tc>
              <w:tc>
                <w:tcPr>
                  <w:tcW w:w="1560"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131,58%</w:t>
                  </w:r>
                </w:p>
              </w:tc>
              <w:tc>
                <w:tcPr>
                  <w:tcW w:w="2128" w:type="dxa"/>
                  <w:vMerge/>
                  <w:tcBorders>
                    <w:top w:val="nil"/>
                    <w:left w:val="nil"/>
                    <w:bottom w:val="single" w:sz="4" w:space="0" w:color="auto"/>
                    <w:right w:val="single" w:sz="4" w:space="0" w:color="auto"/>
                  </w:tcBorders>
                  <w:vAlign w:val="center"/>
                  <w:hideMark/>
                </w:tcPr>
                <w:p w:rsidR="00542328" w:rsidRPr="00982AE0" w:rsidRDefault="00542328" w:rsidP="00542328">
                  <w:pPr>
                    <w:spacing w:after="0"/>
                    <w:rPr>
                      <w:rFonts w:ascii="Century Gothic" w:eastAsia="Times New Roman" w:hAnsi="Century Gothic"/>
                      <w:color w:val="000000"/>
                      <w:sz w:val="14"/>
                      <w:szCs w:val="14"/>
                      <w:lang w:val="es-CO" w:eastAsia="es-CO"/>
                    </w:rPr>
                  </w:pPr>
                </w:p>
              </w:tc>
            </w:tr>
            <w:tr w:rsidR="00542328" w:rsidRPr="00982AE0" w:rsidTr="00B601A4">
              <w:trPr>
                <w:trHeight w:val="21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2</w:t>
                  </w:r>
                </w:p>
              </w:tc>
              <w:tc>
                <w:tcPr>
                  <w:tcW w:w="379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Personal contratado Procesos Apoyo</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98</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56</w:t>
                  </w:r>
                </w:p>
              </w:tc>
              <w:tc>
                <w:tcPr>
                  <w:tcW w:w="1560"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-42,86%</w:t>
                  </w:r>
                </w:p>
              </w:tc>
              <w:tc>
                <w:tcPr>
                  <w:tcW w:w="2128" w:type="dxa"/>
                  <w:vMerge/>
                  <w:tcBorders>
                    <w:top w:val="nil"/>
                    <w:left w:val="nil"/>
                    <w:bottom w:val="single" w:sz="4" w:space="0" w:color="auto"/>
                    <w:right w:val="single" w:sz="4" w:space="0" w:color="auto"/>
                  </w:tcBorders>
                  <w:vAlign w:val="center"/>
                  <w:hideMark/>
                </w:tcPr>
                <w:p w:rsidR="00542328" w:rsidRPr="00982AE0" w:rsidRDefault="00542328" w:rsidP="00542328">
                  <w:pPr>
                    <w:spacing w:after="0"/>
                    <w:rPr>
                      <w:rFonts w:ascii="Century Gothic" w:eastAsia="Times New Roman" w:hAnsi="Century Gothic"/>
                      <w:color w:val="000000"/>
                      <w:sz w:val="14"/>
                      <w:szCs w:val="14"/>
                      <w:lang w:val="es-CO" w:eastAsia="es-CO"/>
                    </w:rPr>
                  </w:pPr>
                </w:p>
              </w:tc>
            </w:tr>
            <w:tr w:rsidR="00542328" w:rsidRPr="00982AE0" w:rsidTr="00B601A4">
              <w:trPr>
                <w:trHeight w:val="21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3</w:t>
                  </w:r>
                </w:p>
              </w:tc>
              <w:tc>
                <w:tcPr>
                  <w:tcW w:w="379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Personal contratado Procesos Estratégicos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11</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19</w:t>
                  </w:r>
                </w:p>
              </w:tc>
              <w:tc>
                <w:tcPr>
                  <w:tcW w:w="1560"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72,73%</w:t>
                  </w:r>
                </w:p>
              </w:tc>
              <w:tc>
                <w:tcPr>
                  <w:tcW w:w="2128" w:type="dxa"/>
                  <w:vMerge/>
                  <w:tcBorders>
                    <w:top w:val="nil"/>
                    <w:left w:val="nil"/>
                    <w:bottom w:val="single" w:sz="4" w:space="0" w:color="auto"/>
                    <w:right w:val="single" w:sz="4" w:space="0" w:color="auto"/>
                  </w:tcBorders>
                  <w:vAlign w:val="center"/>
                  <w:hideMark/>
                </w:tcPr>
                <w:p w:rsidR="00542328" w:rsidRPr="00982AE0" w:rsidRDefault="00542328" w:rsidP="00542328">
                  <w:pPr>
                    <w:spacing w:after="0"/>
                    <w:rPr>
                      <w:rFonts w:ascii="Century Gothic" w:eastAsia="Times New Roman" w:hAnsi="Century Gothic"/>
                      <w:color w:val="000000"/>
                      <w:sz w:val="14"/>
                      <w:szCs w:val="14"/>
                      <w:lang w:val="es-CO" w:eastAsia="es-CO"/>
                    </w:rPr>
                  </w:pPr>
                </w:p>
              </w:tc>
            </w:tr>
            <w:tr w:rsidR="00542328" w:rsidRPr="00982AE0" w:rsidTr="00B601A4">
              <w:trPr>
                <w:trHeight w:val="21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4</w:t>
                  </w:r>
                </w:p>
              </w:tc>
              <w:tc>
                <w:tcPr>
                  <w:tcW w:w="379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Personal contratado Procesos Seguimiento y Control</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2</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6</w:t>
                  </w:r>
                </w:p>
              </w:tc>
              <w:tc>
                <w:tcPr>
                  <w:tcW w:w="1560" w:type="dxa"/>
                  <w:tcBorders>
                    <w:top w:val="nil"/>
                    <w:left w:val="nil"/>
                    <w:bottom w:val="single" w:sz="4"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color w:val="000000"/>
                      <w:sz w:val="14"/>
                      <w:szCs w:val="14"/>
                      <w:lang w:val="es-CO" w:eastAsia="es-CO"/>
                    </w:rPr>
                  </w:pPr>
                  <w:r w:rsidRPr="00982AE0">
                    <w:rPr>
                      <w:rFonts w:ascii="Century Gothic" w:eastAsia="Times New Roman" w:hAnsi="Century Gothic"/>
                      <w:color w:val="000000"/>
                      <w:sz w:val="14"/>
                      <w:szCs w:val="14"/>
                      <w:lang w:val="es-CO" w:eastAsia="es-CO"/>
                    </w:rPr>
                    <w:t>200,00%</w:t>
                  </w:r>
                </w:p>
              </w:tc>
              <w:tc>
                <w:tcPr>
                  <w:tcW w:w="2128" w:type="dxa"/>
                  <w:vMerge/>
                  <w:tcBorders>
                    <w:top w:val="nil"/>
                    <w:left w:val="nil"/>
                    <w:bottom w:val="single" w:sz="4" w:space="0" w:color="auto"/>
                    <w:right w:val="single" w:sz="4" w:space="0" w:color="auto"/>
                  </w:tcBorders>
                  <w:vAlign w:val="center"/>
                  <w:hideMark/>
                </w:tcPr>
                <w:p w:rsidR="00542328" w:rsidRPr="00982AE0" w:rsidRDefault="00542328" w:rsidP="00542328">
                  <w:pPr>
                    <w:spacing w:after="0"/>
                    <w:rPr>
                      <w:rFonts w:ascii="Century Gothic" w:eastAsia="Times New Roman" w:hAnsi="Century Gothic"/>
                      <w:color w:val="000000"/>
                      <w:sz w:val="14"/>
                      <w:szCs w:val="14"/>
                      <w:lang w:val="es-CO" w:eastAsia="es-CO"/>
                    </w:rPr>
                  </w:pPr>
                </w:p>
              </w:tc>
            </w:tr>
            <w:tr w:rsidR="00542328" w:rsidRPr="00982AE0" w:rsidTr="00B601A4">
              <w:trPr>
                <w:trHeight w:val="226"/>
              </w:trPr>
              <w:tc>
                <w:tcPr>
                  <w:tcW w:w="375" w:type="dxa"/>
                  <w:tcBorders>
                    <w:top w:val="nil"/>
                    <w:left w:val="single" w:sz="8" w:space="0" w:color="auto"/>
                    <w:bottom w:val="single" w:sz="8" w:space="0" w:color="auto"/>
                    <w:right w:val="single" w:sz="4" w:space="0" w:color="auto"/>
                  </w:tcBorders>
                  <w:shd w:val="clear" w:color="auto" w:fill="auto"/>
                  <w:noWrap/>
                  <w:vAlign w:val="center"/>
                  <w:hideMark/>
                </w:tcPr>
                <w:p w:rsidR="00542328" w:rsidRPr="00982AE0" w:rsidRDefault="00542328" w:rsidP="00542328">
                  <w:pPr>
                    <w:spacing w:after="0"/>
                    <w:jc w:val="center"/>
                    <w:rPr>
                      <w:rFonts w:ascii="Calibri" w:eastAsia="Times New Roman" w:hAnsi="Calibri"/>
                      <w:color w:val="000000"/>
                      <w:sz w:val="22"/>
                      <w:szCs w:val="22"/>
                      <w:lang w:val="es-CO" w:eastAsia="es-CO"/>
                    </w:rPr>
                  </w:pPr>
                  <w:r w:rsidRPr="00982AE0">
                    <w:rPr>
                      <w:rFonts w:ascii="Calibri" w:eastAsia="Times New Roman" w:hAnsi="Calibri"/>
                      <w:color w:val="000000"/>
                      <w:sz w:val="22"/>
                      <w:szCs w:val="22"/>
                      <w:lang w:val="es-CO" w:eastAsia="es-CO"/>
                    </w:rPr>
                    <w:t> </w:t>
                  </w:r>
                </w:p>
              </w:tc>
              <w:tc>
                <w:tcPr>
                  <w:tcW w:w="3796" w:type="dxa"/>
                  <w:tcBorders>
                    <w:top w:val="nil"/>
                    <w:left w:val="nil"/>
                    <w:bottom w:val="single" w:sz="8" w:space="0" w:color="auto"/>
                    <w:right w:val="single" w:sz="4" w:space="0" w:color="auto"/>
                  </w:tcBorders>
                  <w:shd w:val="clear" w:color="auto" w:fill="auto"/>
                  <w:noWrap/>
                  <w:vAlign w:val="center"/>
                  <w:hideMark/>
                </w:tcPr>
                <w:p w:rsidR="00542328" w:rsidRPr="00982AE0" w:rsidRDefault="00542328" w:rsidP="00542328">
                  <w:pPr>
                    <w:spacing w:after="0"/>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Total de personal Contratado</w:t>
                  </w:r>
                </w:p>
              </w:tc>
              <w:tc>
                <w:tcPr>
                  <w:tcW w:w="1276" w:type="dxa"/>
                  <w:tcBorders>
                    <w:top w:val="nil"/>
                    <w:left w:val="nil"/>
                    <w:bottom w:val="single" w:sz="8"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187</w:t>
                  </w:r>
                </w:p>
              </w:tc>
              <w:tc>
                <w:tcPr>
                  <w:tcW w:w="1275" w:type="dxa"/>
                  <w:tcBorders>
                    <w:top w:val="nil"/>
                    <w:left w:val="nil"/>
                    <w:bottom w:val="single" w:sz="8"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257</w:t>
                  </w:r>
                </w:p>
              </w:tc>
              <w:tc>
                <w:tcPr>
                  <w:tcW w:w="1560" w:type="dxa"/>
                  <w:tcBorders>
                    <w:top w:val="nil"/>
                    <w:left w:val="nil"/>
                    <w:bottom w:val="single" w:sz="8" w:space="0" w:color="auto"/>
                    <w:right w:val="single" w:sz="4" w:space="0" w:color="auto"/>
                  </w:tcBorders>
                  <w:shd w:val="clear" w:color="auto" w:fill="auto"/>
                  <w:noWrap/>
                  <w:vAlign w:val="center"/>
                  <w:hideMark/>
                </w:tcPr>
                <w:p w:rsidR="00542328" w:rsidRPr="00982AE0" w:rsidRDefault="00542328" w:rsidP="00542328">
                  <w:pPr>
                    <w:spacing w:after="0"/>
                    <w:jc w:val="right"/>
                    <w:rPr>
                      <w:rFonts w:ascii="Century Gothic" w:eastAsia="Times New Roman" w:hAnsi="Century Gothic"/>
                      <w:b/>
                      <w:bCs/>
                      <w:color w:val="000000"/>
                      <w:sz w:val="14"/>
                      <w:szCs w:val="14"/>
                      <w:lang w:val="es-CO" w:eastAsia="es-CO"/>
                    </w:rPr>
                  </w:pPr>
                  <w:r w:rsidRPr="00982AE0">
                    <w:rPr>
                      <w:rFonts w:ascii="Century Gothic" w:eastAsia="Times New Roman" w:hAnsi="Century Gothic"/>
                      <w:b/>
                      <w:bCs/>
                      <w:color w:val="000000"/>
                      <w:sz w:val="14"/>
                      <w:szCs w:val="14"/>
                      <w:lang w:val="es-CO" w:eastAsia="es-CO"/>
                    </w:rPr>
                    <w:t>37,43%</w:t>
                  </w:r>
                </w:p>
              </w:tc>
              <w:tc>
                <w:tcPr>
                  <w:tcW w:w="2128" w:type="dxa"/>
                  <w:vMerge/>
                  <w:tcBorders>
                    <w:top w:val="nil"/>
                    <w:left w:val="nil"/>
                    <w:bottom w:val="single" w:sz="8" w:space="0" w:color="auto"/>
                    <w:right w:val="single" w:sz="4" w:space="0" w:color="auto"/>
                  </w:tcBorders>
                  <w:vAlign w:val="center"/>
                  <w:hideMark/>
                </w:tcPr>
                <w:p w:rsidR="00542328" w:rsidRPr="00982AE0"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Default"/>
              <w:jc w:val="both"/>
              <w:rPr>
                <w:rFonts w:ascii="Century Gothic" w:eastAsia="Times New Roman" w:hAnsi="Century Gothic"/>
                <w:color w:val="auto"/>
                <w:sz w:val="20"/>
                <w:szCs w:val="20"/>
                <w:lang w:val="es-ES_tradnl"/>
              </w:rPr>
            </w:pPr>
          </w:p>
          <w:p w:rsidR="003409D7" w:rsidRDefault="003409D7" w:rsidP="00542328">
            <w:pPr>
              <w:pStyle w:val="Default"/>
              <w:jc w:val="both"/>
              <w:rPr>
                <w:rFonts w:ascii="Century Gothic" w:eastAsia="Times New Roman" w:hAnsi="Century Gothic"/>
                <w:color w:val="auto"/>
                <w:sz w:val="20"/>
                <w:szCs w:val="20"/>
                <w:lang w:val="es-ES_tradnl"/>
              </w:rPr>
            </w:pPr>
          </w:p>
          <w:p w:rsidR="003409D7" w:rsidRDefault="003409D7" w:rsidP="00542328">
            <w:pPr>
              <w:pStyle w:val="Default"/>
              <w:jc w:val="both"/>
              <w:rPr>
                <w:rFonts w:ascii="Century Gothic" w:eastAsia="Times New Roman" w:hAnsi="Century Gothic"/>
                <w:color w:val="auto"/>
                <w:sz w:val="20"/>
                <w:szCs w:val="20"/>
                <w:lang w:val="es-ES_tradnl"/>
              </w:rPr>
            </w:pPr>
          </w:p>
          <w:p w:rsidR="003409D7" w:rsidRDefault="003409D7" w:rsidP="00542328">
            <w:pPr>
              <w:pStyle w:val="Default"/>
              <w:jc w:val="both"/>
              <w:rPr>
                <w:rFonts w:ascii="Century Gothic" w:eastAsia="Times New Roman" w:hAnsi="Century Gothic"/>
                <w:color w:val="auto"/>
                <w:sz w:val="20"/>
                <w:szCs w:val="20"/>
                <w:lang w:val="es-ES_tradnl"/>
              </w:rPr>
            </w:pPr>
          </w:p>
          <w:p w:rsidR="003409D7" w:rsidRDefault="003409D7"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410" w:type="dxa"/>
              <w:tblCellMar>
                <w:left w:w="70" w:type="dxa"/>
                <w:right w:w="70" w:type="dxa"/>
              </w:tblCellMar>
              <w:tblLook w:val="04A0" w:firstRow="1" w:lastRow="0" w:firstColumn="1" w:lastColumn="0" w:noHBand="0" w:noVBand="1"/>
            </w:tblPr>
            <w:tblGrid>
              <w:gridCol w:w="460"/>
              <w:gridCol w:w="2577"/>
              <w:gridCol w:w="1559"/>
              <w:gridCol w:w="1559"/>
              <w:gridCol w:w="1987"/>
              <w:gridCol w:w="2268"/>
            </w:tblGrid>
            <w:tr w:rsidR="00542328" w:rsidRPr="00542328" w:rsidTr="00B601A4">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lastRenderedPageBreak/>
                    <w:t>Nº</w:t>
                  </w:r>
                </w:p>
              </w:tc>
              <w:tc>
                <w:tcPr>
                  <w:tcW w:w="7682"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Aspectos cuantitativos</w:t>
                  </w:r>
                </w:p>
              </w:tc>
              <w:tc>
                <w:tcPr>
                  <w:tcW w:w="2268"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Situaciones encontradas por la OCI</w:t>
                  </w:r>
                </w:p>
              </w:tc>
            </w:tr>
            <w:tr w:rsidR="00542328" w:rsidRPr="00542328" w:rsidTr="00B601A4">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w:t>
                  </w:r>
                </w:p>
              </w:tc>
              <w:tc>
                <w:tcPr>
                  <w:tcW w:w="257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Concepto</w:t>
                  </w:r>
                </w:p>
              </w:tc>
              <w:tc>
                <w:tcPr>
                  <w:tcW w:w="155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enero - diciembre de la vigencia 2015</w:t>
                  </w:r>
                </w:p>
              </w:tc>
              <w:tc>
                <w:tcPr>
                  <w:tcW w:w="155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enero - diciembre de la vigencia 2016</w:t>
                  </w:r>
                </w:p>
              </w:tc>
              <w:tc>
                <w:tcPr>
                  <w:tcW w:w="198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Variación del valor pagado entre enero - diciembre de 2016 respecto al mismo periodo de la vigencia 2015</w:t>
                  </w:r>
                </w:p>
              </w:tc>
              <w:tc>
                <w:tcPr>
                  <w:tcW w:w="2268"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Para el rubro de servicios personales indirectos aumenta en 72,02% respecto al año anterior.</w:t>
                  </w:r>
                </w:p>
              </w:tc>
            </w:tr>
            <w:tr w:rsidR="00542328" w:rsidRPr="00542328" w:rsidTr="00B601A4">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5</w:t>
                  </w:r>
                </w:p>
              </w:tc>
              <w:tc>
                <w:tcPr>
                  <w:tcW w:w="257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SERVICIOS PERSONALES INDIRECTOS</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$ 6.102.397.216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$10.497.375.547 </w:t>
                  </w:r>
                </w:p>
              </w:tc>
              <w:tc>
                <w:tcPr>
                  <w:tcW w:w="1987"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72,02%</w:t>
                  </w:r>
                </w:p>
              </w:tc>
              <w:tc>
                <w:tcPr>
                  <w:tcW w:w="2268"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w:t>
                  </w:r>
                </w:p>
              </w:tc>
              <w:tc>
                <w:tcPr>
                  <w:tcW w:w="2577" w:type="dxa"/>
                  <w:tcBorders>
                    <w:top w:val="nil"/>
                    <w:left w:val="nil"/>
                    <w:bottom w:val="single" w:sz="8" w:space="0" w:color="auto"/>
                    <w:right w:val="single" w:sz="4" w:space="0" w:color="auto"/>
                  </w:tcBorders>
                  <w:shd w:val="clear" w:color="auto" w:fill="auto"/>
                  <w:noWrap/>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TOTALES $</w:t>
                  </w:r>
                </w:p>
              </w:tc>
              <w:tc>
                <w:tcPr>
                  <w:tcW w:w="1559" w:type="dxa"/>
                  <w:tcBorders>
                    <w:top w:val="nil"/>
                    <w:left w:val="nil"/>
                    <w:bottom w:val="single" w:sz="8"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$ 6.102.397.216 </w:t>
                  </w:r>
                </w:p>
              </w:tc>
              <w:tc>
                <w:tcPr>
                  <w:tcW w:w="1559" w:type="dxa"/>
                  <w:tcBorders>
                    <w:top w:val="nil"/>
                    <w:left w:val="nil"/>
                    <w:bottom w:val="single" w:sz="8"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$ 10.497.375.547 </w:t>
                  </w:r>
                </w:p>
              </w:tc>
              <w:tc>
                <w:tcPr>
                  <w:tcW w:w="1987" w:type="dxa"/>
                  <w:tcBorders>
                    <w:top w:val="nil"/>
                    <w:left w:val="nil"/>
                    <w:bottom w:val="single" w:sz="8"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72,02%</w:t>
                  </w:r>
                </w:p>
              </w:tc>
              <w:tc>
                <w:tcPr>
                  <w:tcW w:w="2268" w:type="dxa"/>
                  <w:vMerge/>
                  <w:tcBorders>
                    <w:top w:val="nil"/>
                    <w:left w:val="nil"/>
                    <w:bottom w:val="single" w:sz="8"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spacing w:after="0"/>
              <w:jc w:val="both"/>
              <w:rPr>
                <w:rFonts w:ascii="Century Gothic" w:eastAsia="Times New Roman" w:hAnsi="Century Gothic" w:cs="Arial"/>
                <w:sz w:val="20"/>
                <w:szCs w:val="20"/>
                <w:lang w:eastAsia="es-ES"/>
              </w:rPr>
            </w:pPr>
          </w:p>
          <w:p w:rsidR="00542328" w:rsidRDefault="00542328" w:rsidP="00542328">
            <w:pPr>
              <w:spacing w:after="0"/>
              <w:jc w:val="both"/>
              <w:rPr>
                <w:rFonts w:ascii="Century Gothic" w:eastAsia="Times New Roman" w:hAnsi="Century Gothic" w:cs="Arial"/>
                <w:sz w:val="20"/>
                <w:szCs w:val="20"/>
                <w:lang w:eastAsia="es-ES"/>
              </w:rPr>
            </w:pPr>
          </w:p>
          <w:p w:rsidR="00542328" w:rsidRPr="00FC23F7" w:rsidRDefault="00542328" w:rsidP="00542328">
            <w:pPr>
              <w:pStyle w:val="Prrafodelista"/>
              <w:numPr>
                <w:ilvl w:val="2"/>
                <w:numId w:val="23"/>
              </w:numPr>
              <w:spacing w:after="0"/>
              <w:jc w:val="both"/>
              <w:rPr>
                <w:rFonts w:ascii="Century Gothic" w:hAnsi="Century Gothic"/>
                <w:b/>
                <w:sz w:val="20"/>
                <w:szCs w:val="20"/>
              </w:rPr>
            </w:pPr>
            <w:r w:rsidRPr="00FC23F7">
              <w:rPr>
                <w:rFonts w:ascii="Century Gothic" w:hAnsi="Century Gothic" w:cs="Arial"/>
                <w:b/>
                <w:sz w:val="20"/>
                <w:szCs w:val="20"/>
                <w:lang w:val="es-MX" w:eastAsia="es-CO"/>
              </w:rPr>
              <w:t>Servicios personales por inversión</w:t>
            </w:r>
          </w:p>
          <w:p w:rsidR="00542328" w:rsidRPr="00F577A0" w:rsidRDefault="00542328" w:rsidP="00542328">
            <w:pPr>
              <w:pStyle w:val="Default"/>
              <w:jc w:val="both"/>
              <w:rPr>
                <w:rFonts w:ascii="Century Gothic" w:eastAsia="Times New Roman" w:hAnsi="Century Gothic"/>
                <w:color w:val="auto"/>
                <w:sz w:val="20"/>
                <w:szCs w:val="20"/>
                <w:lang w:val="es-ES_tradnl"/>
              </w:rPr>
            </w:pPr>
          </w:p>
          <w:p w:rsidR="00542328" w:rsidRPr="00F577A0" w:rsidRDefault="00542328" w:rsidP="00542328">
            <w:pPr>
              <w:pStyle w:val="Default"/>
              <w:jc w:val="both"/>
              <w:rPr>
                <w:rFonts w:ascii="Century Gothic" w:eastAsia="Times New Roman" w:hAnsi="Century Gothic"/>
                <w:color w:val="auto"/>
                <w:sz w:val="20"/>
                <w:szCs w:val="20"/>
                <w:lang w:val="es-ES_tradnl"/>
              </w:rPr>
            </w:pPr>
          </w:p>
          <w:tbl>
            <w:tblPr>
              <w:tblW w:w="10408" w:type="dxa"/>
              <w:tblCellMar>
                <w:left w:w="70" w:type="dxa"/>
                <w:right w:w="70" w:type="dxa"/>
              </w:tblCellMar>
              <w:tblLook w:val="04A0" w:firstRow="1" w:lastRow="0" w:firstColumn="1" w:lastColumn="0" w:noHBand="0" w:noVBand="1"/>
            </w:tblPr>
            <w:tblGrid>
              <w:gridCol w:w="460"/>
              <w:gridCol w:w="2295"/>
              <w:gridCol w:w="1276"/>
              <w:gridCol w:w="1276"/>
              <w:gridCol w:w="2126"/>
              <w:gridCol w:w="2975"/>
            </w:tblGrid>
            <w:tr w:rsidR="00542328" w:rsidRPr="00A86D5F" w:rsidTr="00B601A4">
              <w:trPr>
                <w:trHeight w:val="30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Nº</w:t>
                  </w:r>
                </w:p>
              </w:tc>
              <w:tc>
                <w:tcPr>
                  <w:tcW w:w="6973"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Aspectos cuantitativos</w:t>
                  </w:r>
                </w:p>
              </w:tc>
              <w:tc>
                <w:tcPr>
                  <w:tcW w:w="2975"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Situaciones encontradas por la OCI</w:t>
                  </w:r>
                </w:p>
              </w:tc>
            </w:tr>
            <w:tr w:rsidR="00542328" w:rsidRPr="00A86D5F" w:rsidTr="00B601A4">
              <w:trPr>
                <w:trHeight w:val="72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 </w:t>
                  </w:r>
                </w:p>
              </w:tc>
              <w:tc>
                <w:tcPr>
                  <w:tcW w:w="2295" w:type="dxa"/>
                  <w:tcBorders>
                    <w:top w:val="nil"/>
                    <w:left w:val="nil"/>
                    <w:bottom w:val="single" w:sz="4" w:space="0" w:color="auto"/>
                    <w:right w:val="single" w:sz="4" w:space="0" w:color="auto"/>
                  </w:tcBorders>
                  <w:shd w:val="clear" w:color="auto" w:fill="auto"/>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Cantidad personal</w:t>
                  </w:r>
                </w:p>
              </w:tc>
              <w:tc>
                <w:tcPr>
                  <w:tcW w:w="1276" w:type="dxa"/>
                  <w:tcBorders>
                    <w:top w:val="nil"/>
                    <w:left w:val="nil"/>
                    <w:bottom w:val="single" w:sz="4" w:space="0" w:color="auto"/>
                    <w:right w:val="single" w:sz="4" w:space="0" w:color="auto"/>
                  </w:tcBorders>
                  <w:shd w:val="clear" w:color="auto" w:fill="auto"/>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 xml:space="preserve">Cantidad entre enero - </w:t>
                  </w:r>
                  <w:r w:rsidRPr="00982AE0">
                    <w:rPr>
                      <w:rFonts w:ascii="Century Gothic" w:eastAsia="Times New Roman" w:hAnsi="Century Gothic"/>
                      <w:b/>
                      <w:bCs/>
                      <w:color w:val="000000"/>
                      <w:sz w:val="14"/>
                      <w:szCs w:val="14"/>
                      <w:lang w:val="es-CO" w:eastAsia="es-CO"/>
                    </w:rPr>
                    <w:t>diciembre</w:t>
                  </w:r>
                  <w:r w:rsidRPr="00A86D5F">
                    <w:rPr>
                      <w:rFonts w:ascii="Century Gothic" w:eastAsia="Times New Roman" w:hAnsi="Century Gothic"/>
                      <w:b/>
                      <w:bCs/>
                      <w:color w:val="000000"/>
                      <w:sz w:val="14"/>
                      <w:szCs w:val="14"/>
                      <w:lang w:val="es-CO" w:eastAsia="es-CO"/>
                    </w:rPr>
                    <w:t xml:space="preserve"> de la vigencia 2015</w:t>
                  </w:r>
                </w:p>
              </w:tc>
              <w:tc>
                <w:tcPr>
                  <w:tcW w:w="1276" w:type="dxa"/>
                  <w:tcBorders>
                    <w:top w:val="nil"/>
                    <w:left w:val="nil"/>
                    <w:bottom w:val="single" w:sz="4" w:space="0" w:color="auto"/>
                    <w:right w:val="single" w:sz="4" w:space="0" w:color="auto"/>
                  </w:tcBorders>
                  <w:shd w:val="clear" w:color="auto" w:fill="auto"/>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 xml:space="preserve">Cantidad entre enero - </w:t>
                  </w:r>
                  <w:r w:rsidRPr="00982AE0">
                    <w:rPr>
                      <w:rFonts w:ascii="Century Gothic" w:eastAsia="Times New Roman" w:hAnsi="Century Gothic"/>
                      <w:b/>
                      <w:bCs/>
                      <w:color w:val="000000"/>
                      <w:sz w:val="14"/>
                      <w:szCs w:val="14"/>
                      <w:lang w:val="es-CO" w:eastAsia="es-CO"/>
                    </w:rPr>
                    <w:t>diciembre</w:t>
                  </w:r>
                  <w:r w:rsidRPr="00A86D5F">
                    <w:rPr>
                      <w:rFonts w:ascii="Century Gothic" w:eastAsia="Times New Roman" w:hAnsi="Century Gothic"/>
                      <w:b/>
                      <w:bCs/>
                      <w:color w:val="000000"/>
                      <w:sz w:val="14"/>
                      <w:szCs w:val="14"/>
                      <w:lang w:val="es-CO" w:eastAsia="es-CO"/>
                    </w:rPr>
                    <w:t xml:space="preserve"> de la vigencia 2016</w:t>
                  </w:r>
                </w:p>
              </w:tc>
              <w:tc>
                <w:tcPr>
                  <w:tcW w:w="2126" w:type="dxa"/>
                  <w:tcBorders>
                    <w:top w:val="nil"/>
                    <w:left w:val="nil"/>
                    <w:bottom w:val="single" w:sz="4" w:space="0" w:color="auto"/>
                    <w:right w:val="single" w:sz="4" w:space="0" w:color="auto"/>
                  </w:tcBorders>
                  <w:shd w:val="clear" w:color="auto" w:fill="auto"/>
                  <w:vAlign w:val="center"/>
                  <w:hideMark/>
                </w:tcPr>
                <w:p w:rsidR="00542328" w:rsidRPr="00A86D5F" w:rsidRDefault="00542328" w:rsidP="00542328">
                  <w:pPr>
                    <w:spacing w:after="0"/>
                    <w:jc w:val="center"/>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 xml:space="preserve">% Variación de la cantidad entre enero - </w:t>
                  </w:r>
                  <w:r w:rsidRPr="00982AE0">
                    <w:rPr>
                      <w:rFonts w:ascii="Century Gothic" w:eastAsia="Times New Roman" w:hAnsi="Century Gothic"/>
                      <w:b/>
                      <w:bCs/>
                      <w:color w:val="000000"/>
                      <w:sz w:val="14"/>
                      <w:szCs w:val="14"/>
                      <w:lang w:val="es-CO" w:eastAsia="es-CO"/>
                    </w:rPr>
                    <w:t>diciembre</w:t>
                  </w:r>
                  <w:r w:rsidRPr="00A86D5F">
                    <w:rPr>
                      <w:rFonts w:ascii="Century Gothic" w:eastAsia="Times New Roman" w:hAnsi="Century Gothic"/>
                      <w:b/>
                      <w:bCs/>
                      <w:color w:val="000000"/>
                      <w:sz w:val="14"/>
                      <w:szCs w:val="14"/>
                      <w:lang w:val="es-CO" w:eastAsia="es-CO"/>
                    </w:rPr>
                    <w:t xml:space="preserve"> de 2016 respecto al mismo periodo de la vigencia 2015</w:t>
                  </w:r>
                </w:p>
              </w:tc>
              <w:tc>
                <w:tcPr>
                  <w:tcW w:w="2975"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A86D5F" w:rsidRDefault="00542328" w:rsidP="00542328">
                  <w:pPr>
                    <w:spacing w:after="0"/>
                    <w:jc w:val="both"/>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Se observa en el periodo evaluado un porcentaje de variación de 8,</w:t>
                  </w:r>
                  <w:r>
                    <w:rPr>
                      <w:rFonts w:ascii="Century Gothic" w:eastAsia="Times New Roman" w:hAnsi="Century Gothic"/>
                      <w:color w:val="000000"/>
                      <w:sz w:val="14"/>
                      <w:szCs w:val="14"/>
                      <w:lang w:val="es-CO" w:eastAsia="es-CO"/>
                    </w:rPr>
                    <w:t>42</w:t>
                  </w:r>
                  <w:r w:rsidRPr="00A86D5F">
                    <w:rPr>
                      <w:rFonts w:ascii="Century Gothic" w:eastAsia="Times New Roman" w:hAnsi="Century Gothic"/>
                      <w:color w:val="000000"/>
                      <w:sz w:val="14"/>
                      <w:szCs w:val="14"/>
                      <w:lang w:val="es-CO" w:eastAsia="es-CO"/>
                    </w:rPr>
                    <w:t>% en el número total de contratistas de prestación de servicios y de apoyo a la gestión. Representado para la vigencia 2016 en 8</w:t>
                  </w:r>
                  <w:r>
                    <w:rPr>
                      <w:rFonts w:ascii="Century Gothic" w:eastAsia="Times New Roman" w:hAnsi="Century Gothic"/>
                      <w:color w:val="000000"/>
                      <w:sz w:val="14"/>
                      <w:szCs w:val="14"/>
                      <w:lang w:val="es-CO" w:eastAsia="es-CO"/>
                    </w:rPr>
                    <w:t>7</w:t>
                  </w:r>
                  <w:r w:rsidRPr="00A86D5F">
                    <w:rPr>
                      <w:rFonts w:ascii="Century Gothic" w:eastAsia="Times New Roman" w:hAnsi="Century Gothic"/>
                      <w:color w:val="000000"/>
                      <w:sz w:val="14"/>
                      <w:szCs w:val="14"/>
                      <w:lang w:val="es-CO" w:eastAsia="es-CO"/>
                    </w:rPr>
                    <w:t xml:space="preserve"> contratistas más en comparación al año anterior.</w:t>
                  </w:r>
                </w:p>
              </w:tc>
            </w:tr>
            <w:tr w:rsidR="00542328" w:rsidRPr="00A86D5F" w:rsidTr="00B601A4">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1</w:t>
                  </w:r>
                </w:p>
              </w:tc>
              <w:tc>
                <w:tcPr>
                  <w:tcW w:w="2295"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Personal contratado Procesos Misionales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818</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857</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4,77%</w:t>
                  </w:r>
                </w:p>
              </w:tc>
              <w:tc>
                <w:tcPr>
                  <w:tcW w:w="2975" w:type="dxa"/>
                  <w:vMerge/>
                  <w:tcBorders>
                    <w:top w:val="nil"/>
                    <w:left w:val="nil"/>
                    <w:bottom w:val="single" w:sz="4" w:space="0" w:color="auto"/>
                    <w:right w:val="single" w:sz="4" w:space="0" w:color="auto"/>
                  </w:tcBorders>
                  <w:vAlign w:val="center"/>
                  <w:hideMark/>
                </w:tcPr>
                <w:p w:rsidR="00542328" w:rsidRPr="00A86D5F" w:rsidRDefault="00542328" w:rsidP="00542328">
                  <w:pPr>
                    <w:spacing w:after="0"/>
                    <w:rPr>
                      <w:rFonts w:ascii="Century Gothic" w:eastAsia="Times New Roman" w:hAnsi="Century Gothic"/>
                      <w:color w:val="000000"/>
                      <w:sz w:val="14"/>
                      <w:szCs w:val="14"/>
                      <w:lang w:val="es-CO" w:eastAsia="es-CO"/>
                    </w:rPr>
                  </w:pPr>
                </w:p>
              </w:tc>
            </w:tr>
            <w:tr w:rsidR="00542328" w:rsidRPr="00A86D5F" w:rsidTr="00B601A4">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2</w:t>
                  </w:r>
                </w:p>
              </w:tc>
              <w:tc>
                <w:tcPr>
                  <w:tcW w:w="2295"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Personal contratado Procesos Apoyo</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189</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205</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8,47%</w:t>
                  </w:r>
                </w:p>
              </w:tc>
              <w:tc>
                <w:tcPr>
                  <w:tcW w:w="2975" w:type="dxa"/>
                  <w:vMerge/>
                  <w:tcBorders>
                    <w:top w:val="nil"/>
                    <w:left w:val="nil"/>
                    <w:bottom w:val="single" w:sz="4" w:space="0" w:color="auto"/>
                    <w:right w:val="single" w:sz="4" w:space="0" w:color="auto"/>
                  </w:tcBorders>
                  <w:vAlign w:val="center"/>
                  <w:hideMark/>
                </w:tcPr>
                <w:p w:rsidR="00542328" w:rsidRPr="00A86D5F" w:rsidRDefault="00542328" w:rsidP="00542328">
                  <w:pPr>
                    <w:spacing w:after="0"/>
                    <w:rPr>
                      <w:rFonts w:ascii="Century Gothic" w:eastAsia="Times New Roman" w:hAnsi="Century Gothic"/>
                      <w:color w:val="000000"/>
                      <w:sz w:val="14"/>
                      <w:szCs w:val="14"/>
                      <w:lang w:val="es-CO" w:eastAsia="es-CO"/>
                    </w:rPr>
                  </w:pPr>
                </w:p>
              </w:tc>
            </w:tr>
            <w:tr w:rsidR="00542328" w:rsidRPr="00A86D5F" w:rsidTr="00B601A4">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3</w:t>
                  </w:r>
                </w:p>
              </w:tc>
              <w:tc>
                <w:tcPr>
                  <w:tcW w:w="2295"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Personal contratado Procesos Estratégicos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22</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58</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163,64%</w:t>
                  </w:r>
                </w:p>
              </w:tc>
              <w:tc>
                <w:tcPr>
                  <w:tcW w:w="2975" w:type="dxa"/>
                  <w:vMerge/>
                  <w:tcBorders>
                    <w:top w:val="nil"/>
                    <w:left w:val="nil"/>
                    <w:bottom w:val="single" w:sz="4" w:space="0" w:color="auto"/>
                    <w:right w:val="single" w:sz="4" w:space="0" w:color="auto"/>
                  </w:tcBorders>
                  <w:vAlign w:val="center"/>
                  <w:hideMark/>
                </w:tcPr>
                <w:p w:rsidR="00542328" w:rsidRPr="00A86D5F" w:rsidRDefault="00542328" w:rsidP="00542328">
                  <w:pPr>
                    <w:spacing w:after="0"/>
                    <w:rPr>
                      <w:rFonts w:ascii="Century Gothic" w:eastAsia="Times New Roman" w:hAnsi="Century Gothic"/>
                      <w:color w:val="000000"/>
                      <w:sz w:val="14"/>
                      <w:szCs w:val="14"/>
                      <w:lang w:val="es-CO" w:eastAsia="es-CO"/>
                    </w:rPr>
                  </w:pPr>
                </w:p>
              </w:tc>
            </w:tr>
            <w:tr w:rsidR="00542328" w:rsidRPr="00A86D5F" w:rsidTr="00B601A4">
              <w:trPr>
                <w:trHeight w:val="300"/>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4</w:t>
                  </w:r>
                </w:p>
              </w:tc>
              <w:tc>
                <w:tcPr>
                  <w:tcW w:w="2295"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Personal contratado Procesos Seguimiento y Control</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4</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0</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color w:val="000000"/>
                      <w:sz w:val="14"/>
                      <w:szCs w:val="14"/>
                      <w:lang w:val="es-CO" w:eastAsia="es-CO"/>
                    </w:rPr>
                  </w:pPr>
                  <w:r w:rsidRPr="00A86D5F">
                    <w:rPr>
                      <w:rFonts w:ascii="Century Gothic" w:eastAsia="Times New Roman" w:hAnsi="Century Gothic"/>
                      <w:color w:val="000000"/>
                      <w:sz w:val="14"/>
                      <w:szCs w:val="14"/>
                      <w:lang w:val="es-CO" w:eastAsia="es-CO"/>
                    </w:rPr>
                    <w:t>-100,00%</w:t>
                  </w:r>
                </w:p>
              </w:tc>
              <w:tc>
                <w:tcPr>
                  <w:tcW w:w="2975" w:type="dxa"/>
                  <w:vMerge/>
                  <w:tcBorders>
                    <w:top w:val="nil"/>
                    <w:left w:val="nil"/>
                    <w:bottom w:val="single" w:sz="4" w:space="0" w:color="auto"/>
                    <w:right w:val="single" w:sz="4" w:space="0" w:color="auto"/>
                  </w:tcBorders>
                  <w:vAlign w:val="center"/>
                  <w:hideMark/>
                </w:tcPr>
                <w:p w:rsidR="00542328" w:rsidRPr="00A86D5F" w:rsidRDefault="00542328" w:rsidP="00542328">
                  <w:pPr>
                    <w:spacing w:after="0"/>
                    <w:rPr>
                      <w:rFonts w:ascii="Century Gothic" w:eastAsia="Times New Roman" w:hAnsi="Century Gothic"/>
                      <w:color w:val="000000"/>
                      <w:sz w:val="14"/>
                      <w:szCs w:val="14"/>
                      <w:lang w:val="es-CO" w:eastAsia="es-CO"/>
                    </w:rPr>
                  </w:pPr>
                </w:p>
              </w:tc>
            </w:tr>
            <w:tr w:rsidR="00542328" w:rsidRPr="00A86D5F" w:rsidTr="00B601A4">
              <w:trPr>
                <w:trHeight w:val="315"/>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42328" w:rsidRPr="00A86D5F" w:rsidRDefault="00542328" w:rsidP="00542328">
                  <w:pPr>
                    <w:spacing w:after="0"/>
                    <w:jc w:val="center"/>
                    <w:rPr>
                      <w:rFonts w:ascii="Calibri" w:eastAsia="Times New Roman" w:hAnsi="Calibri"/>
                      <w:color w:val="000000"/>
                      <w:sz w:val="22"/>
                      <w:szCs w:val="22"/>
                      <w:lang w:val="es-CO" w:eastAsia="es-CO"/>
                    </w:rPr>
                  </w:pPr>
                  <w:r w:rsidRPr="00A86D5F">
                    <w:rPr>
                      <w:rFonts w:ascii="Calibri" w:eastAsia="Times New Roman" w:hAnsi="Calibri"/>
                      <w:color w:val="000000"/>
                      <w:sz w:val="22"/>
                      <w:szCs w:val="22"/>
                      <w:lang w:val="es-CO" w:eastAsia="es-CO"/>
                    </w:rPr>
                    <w:t> </w:t>
                  </w:r>
                </w:p>
              </w:tc>
              <w:tc>
                <w:tcPr>
                  <w:tcW w:w="2295" w:type="dxa"/>
                  <w:tcBorders>
                    <w:top w:val="nil"/>
                    <w:left w:val="nil"/>
                    <w:bottom w:val="single" w:sz="8" w:space="0" w:color="auto"/>
                    <w:right w:val="single" w:sz="4" w:space="0" w:color="auto"/>
                  </w:tcBorders>
                  <w:shd w:val="clear" w:color="auto" w:fill="auto"/>
                  <w:noWrap/>
                  <w:vAlign w:val="center"/>
                  <w:hideMark/>
                </w:tcPr>
                <w:p w:rsidR="00542328" w:rsidRPr="00A86D5F" w:rsidRDefault="00542328" w:rsidP="00542328">
                  <w:pPr>
                    <w:spacing w:after="0"/>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Total de personal Contratado</w:t>
                  </w:r>
                </w:p>
              </w:tc>
              <w:tc>
                <w:tcPr>
                  <w:tcW w:w="1276" w:type="dxa"/>
                  <w:tcBorders>
                    <w:top w:val="nil"/>
                    <w:left w:val="nil"/>
                    <w:bottom w:val="single" w:sz="8"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1033</w:t>
                  </w:r>
                </w:p>
              </w:tc>
              <w:tc>
                <w:tcPr>
                  <w:tcW w:w="1276" w:type="dxa"/>
                  <w:tcBorders>
                    <w:top w:val="nil"/>
                    <w:left w:val="nil"/>
                    <w:bottom w:val="single" w:sz="8"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1120</w:t>
                  </w:r>
                </w:p>
              </w:tc>
              <w:tc>
                <w:tcPr>
                  <w:tcW w:w="2126" w:type="dxa"/>
                  <w:tcBorders>
                    <w:top w:val="nil"/>
                    <w:left w:val="nil"/>
                    <w:bottom w:val="single" w:sz="8" w:space="0" w:color="auto"/>
                    <w:right w:val="single" w:sz="4" w:space="0" w:color="auto"/>
                  </w:tcBorders>
                  <w:shd w:val="clear" w:color="auto" w:fill="auto"/>
                  <w:noWrap/>
                  <w:vAlign w:val="center"/>
                  <w:hideMark/>
                </w:tcPr>
                <w:p w:rsidR="00542328" w:rsidRPr="00A86D5F" w:rsidRDefault="00542328" w:rsidP="00542328">
                  <w:pPr>
                    <w:spacing w:after="0"/>
                    <w:jc w:val="right"/>
                    <w:rPr>
                      <w:rFonts w:ascii="Century Gothic" w:eastAsia="Times New Roman" w:hAnsi="Century Gothic"/>
                      <w:b/>
                      <w:bCs/>
                      <w:color w:val="000000"/>
                      <w:sz w:val="14"/>
                      <w:szCs w:val="14"/>
                      <w:lang w:val="es-CO" w:eastAsia="es-CO"/>
                    </w:rPr>
                  </w:pPr>
                  <w:r w:rsidRPr="00A86D5F">
                    <w:rPr>
                      <w:rFonts w:ascii="Century Gothic" w:eastAsia="Times New Roman" w:hAnsi="Century Gothic"/>
                      <w:b/>
                      <w:bCs/>
                      <w:color w:val="000000"/>
                      <w:sz w:val="14"/>
                      <w:szCs w:val="14"/>
                      <w:lang w:val="es-CO" w:eastAsia="es-CO"/>
                    </w:rPr>
                    <w:t>8,42%</w:t>
                  </w:r>
                </w:p>
              </w:tc>
              <w:tc>
                <w:tcPr>
                  <w:tcW w:w="2975" w:type="dxa"/>
                  <w:vMerge/>
                  <w:tcBorders>
                    <w:top w:val="nil"/>
                    <w:left w:val="nil"/>
                    <w:bottom w:val="single" w:sz="8" w:space="0" w:color="auto"/>
                    <w:right w:val="single" w:sz="4" w:space="0" w:color="auto"/>
                  </w:tcBorders>
                  <w:vAlign w:val="center"/>
                  <w:hideMark/>
                </w:tcPr>
                <w:p w:rsidR="00542328" w:rsidRPr="00A86D5F"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410" w:type="dxa"/>
              <w:tblCellMar>
                <w:left w:w="70" w:type="dxa"/>
                <w:right w:w="70" w:type="dxa"/>
              </w:tblCellMar>
              <w:tblLook w:val="04A0" w:firstRow="1" w:lastRow="0" w:firstColumn="1" w:lastColumn="0" w:noHBand="0" w:noVBand="1"/>
            </w:tblPr>
            <w:tblGrid>
              <w:gridCol w:w="460"/>
              <w:gridCol w:w="2577"/>
              <w:gridCol w:w="1561"/>
              <w:gridCol w:w="1559"/>
              <w:gridCol w:w="1985"/>
              <w:gridCol w:w="2268"/>
            </w:tblGrid>
            <w:tr w:rsidR="00542328" w:rsidRPr="00DA5F97" w:rsidTr="00B601A4">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DA5F97" w:rsidRDefault="00542328" w:rsidP="00542328">
                  <w:pPr>
                    <w:spacing w:after="0"/>
                    <w:jc w:val="center"/>
                    <w:rPr>
                      <w:rFonts w:ascii="Calibri" w:eastAsia="Times New Roman" w:hAnsi="Calibri"/>
                      <w:color w:val="000000"/>
                      <w:sz w:val="22"/>
                      <w:szCs w:val="22"/>
                      <w:lang w:val="es-CO" w:eastAsia="es-CO"/>
                    </w:rPr>
                  </w:pPr>
                  <w:r w:rsidRPr="00DA5F97">
                    <w:rPr>
                      <w:rFonts w:ascii="Calibri" w:eastAsia="Times New Roman" w:hAnsi="Calibri"/>
                      <w:color w:val="000000"/>
                      <w:sz w:val="22"/>
                      <w:szCs w:val="22"/>
                      <w:lang w:val="es-CO" w:eastAsia="es-CO"/>
                    </w:rPr>
                    <w:t>Nº</w:t>
                  </w:r>
                </w:p>
              </w:tc>
              <w:tc>
                <w:tcPr>
                  <w:tcW w:w="7682"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DA5F97" w:rsidRDefault="00542328" w:rsidP="00542328">
                  <w:pPr>
                    <w:spacing w:after="0"/>
                    <w:jc w:val="center"/>
                    <w:rPr>
                      <w:rFonts w:ascii="Century Gothic" w:eastAsia="Times New Roman" w:hAnsi="Century Gothic"/>
                      <w:b/>
                      <w:bCs/>
                      <w:color w:val="000000"/>
                      <w:sz w:val="16"/>
                      <w:szCs w:val="16"/>
                      <w:lang w:val="es-CO" w:eastAsia="es-CO"/>
                    </w:rPr>
                  </w:pPr>
                  <w:r w:rsidRPr="00DA5F97">
                    <w:rPr>
                      <w:rFonts w:ascii="Century Gothic" w:eastAsia="Times New Roman" w:hAnsi="Century Gothic"/>
                      <w:b/>
                      <w:bCs/>
                      <w:color w:val="000000"/>
                      <w:sz w:val="16"/>
                      <w:szCs w:val="16"/>
                      <w:lang w:val="es-CO" w:eastAsia="es-CO"/>
                    </w:rPr>
                    <w:t>Aspectos cuantitativos</w:t>
                  </w:r>
                </w:p>
              </w:tc>
              <w:tc>
                <w:tcPr>
                  <w:tcW w:w="2268"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DA5F97" w:rsidRDefault="00542328" w:rsidP="00542328">
                  <w:pPr>
                    <w:spacing w:after="0"/>
                    <w:jc w:val="center"/>
                    <w:rPr>
                      <w:rFonts w:ascii="Century Gothic" w:eastAsia="Times New Roman" w:hAnsi="Century Gothic"/>
                      <w:b/>
                      <w:bCs/>
                      <w:color w:val="000000"/>
                      <w:sz w:val="16"/>
                      <w:szCs w:val="16"/>
                      <w:lang w:val="es-CO" w:eastAsia="es-CO"/>
                    </w:rPr>
                  </w:pPr>
                  <w:r w:rsidRPr="00DA5F97">
                    <w:rPr>
                      <w:rFonts w:ascii="Century Gothic" w:eastAsia="Times New Roman" w:hAnsi="Century Gothic"/>
                      <w:b/>
                      <w:bCs/>
                      <w:color w:val="000000"/>
                      <w:sz w:val="16"/>
                      <w:szCs w:val="16"/>
                      <w:lang w:val="es-CO" w:eastAsia="es-CO"/>
                    </w:rPr>
                    <w:t>Situaciones encontradas por la OCI</w:t>
                  </w:r>
                </w:p>
              </w:tc>
            </w:tr>
            <w:tr w:rsidR="00542328" w:rsidRPr="00DA5F97" w:rsidTr="00B601A4">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DA5F97" w:rsidRDefault="00542328" w:rsidP="00542328">
                  <w:pPr>
                    <w:spacing w:after="0"/>
                    <w:jc w:val="center"/>
                    <w:rPr>
                      <w:rFonts w:ascii="Calibri" w:eastAsia="Times New Roman" w:hAnsi="Calibri"/>
                      <w:color w:val="000000"/>
                      <w:sz w:val="22"/>
                      <w:szCs w:val="22"/>
                      <w:lang w:val="es-CO" w:eastAsia="es-CO"/>
                    </w:rPr>
                  </w:pPr>
                  <w:r w:rsidRPr="00DA5F97">
                    <w:rPr>
                      <w:rFonts w:ascii="Calibri" w:eastAsia="Times New Roman" w:hAnsi="Calibri"/>
                      <w:color w:val="000000"/>
                      <w:sz w:val="22"/>
                      <w:szCs w:val="22"/>
                      <w:lang w:val="es-CO" w:eastAsia="es-CO"/>
                    </w:rPr>
                    <w:t> </w:t>
                  </w:r>
                </w:p>
              </w:tc>
              <w:tc>
                <w:tcPr>
                  <w:tcW w:w="2577"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Concepto</w:t>
                  </w:r>
                </w:p>
              </w:tc>
              <w:tc>
                <w:tcPr>
                  <w:tcW w:w="1561"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Valor pagado entre enero - diciembre de la vigencia 2015</w:t>
                  </w:r>
                </w:p>
              </w:tc>
              <w:tc>
                <w:tcPr>
                  <w:tcW w:w="1559"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Valor pagado entre enero - diciembre de la vigencia 2016</w:t>
                  </w:r>
                </w:p>
              </w:tc>
              <w:tc>
                <w:tcPr>
                  <w:tcW w:w="1985"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 Variación del valor pagado entre enero - diciembre de 2016 respecto al mismo periodo de la vigencia 2015</w:t>
                  </w:r>
                </w:p>
              </w:tc>
              <w:tc>
                <w:tcPr>
                  <w:tcW w:w="2268"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DA5F97" w:rsidRDefault="00542328" w:rsidP="00542328">
                  <w:pPr>
                    <w:spacing w:after="0"/>
                    <w:jc w:val="both"/>
                    <w:rPr>
                      <w:rFonts w:ascii="Century Gothic" w:eastAsia="Times New Roman" w:hAnsi="Century Gothic"/>
                      <w:color w:val="000000"/>
                      <w:sz w:val="14"/>
                      <w:szCs w:val="14"/>
                      <w:lang w:val="es-CO" w:eastAsia="es-CO"/>
                    </w:rPr>
                  </w:pPr>
                  <w:r w:rsidRPr="00DA5F97">
                    <w:rPr>
                      <w:rFonts w:ascii="Century Gothic" w:eastAsia="Times New Roman" w:hAnsi="Century Gothic"/>
                      <w:color w:val="000000"/>
                      <w:sz w:val="14"/>
                      <w:szCs w:val="14"/>
                      <w:lang w:val="es-CO" w:eastAsia="es-CO"/>
                    </w:rPr>
                    <w:t>Aunque hubo un incremento en el número de contratos en 8,</w:t>
                  </w:r>
                  <w:r>
                    <w:rPr>
                      <w:rFonts w:ascii="Century Gothic" w:eastAsia="Times New Roman" w:hAnsi="Century Gothic"/>
                      <w:color w:val="000000"/>
                      <w:sz w:val="14"/>
                      <w:szCs w:val="14"/>
                      <w:lang w:val="es-CO" w:eastAsia="es-CO"/>
                    </w:rPr>
                    <w:t>42</w:t>
                  </w:r>
                  <w:r w:rsidRPr="00DA5F97">
                    <w:rPr>
                      <w:rFonts w:ascii="Century Gothic" w:eastAsia="Times New Roman" w:hAnsi="Century Gothic"/>
                      <w:color w:val="000000"/>
                      <w:sz w:val="14"/>
                      <w:szCs w:val="14"/>
                      <w:lang w:val="es-CO" w:eastAsia="es-CO"/>
                    </w:rPr>
                    <w:t>%, el rubro de servicios personales indirectos presenta una variación de 23,89% respecto al año anterior.</w:t>
                  </w:r>
                </w:p>
              </w:tc>
            </w:tr>
            <w:tr w:rsidR="00542328" w:rsidRPr="00DA5F97" w:rsidTr="00B601A4">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DA5F97" w:rsidRDefault="00542328" w:rsidP="00542328">
                  <w:pPr>
                    <w:spacing w:after="0"/>
                    <w:jc w:val="center"/>
                    <w:rPr>
                      <w:rFonts w:ascii="Calibri" w:eastAsia="Times New Roman" w:hAnsi="Calibri"/>
                      <w:color w:val="000000"/>
                      <w:sz w:val="22"/>
                      <w:szCs w:val="22"/>
                      <w:lang w:val="es-CO" w:eastAsia="es-CO"/>
                    </w:rPr>
                  </w:pPr>
                  <w:r w:rsidRPr="00DA5F97">
                    <w:rPr>
                      <w:rFonts w:ascii="Calibri" w:eastAsia="Times New Roman" w:hAnsi="Calibri"/>
                      <w:color w:val="000000"/>
                      <w:sz w:val="22"/>
                      <w:szCs w:val="22"/>
                      <w:lang w:val="es-CO" w:eastAsia="es-CO"/>
                    </w:rPr>
                    <w:t>5</w:t>
                  </w:r>
                </w:p>
              </w:tc>
              <w:tc>
                <w:tcPr>
                  <w:tcW w:w="2577"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 xml:space="preserve">SERVICIOS PERSONALES INDIRECTOS </w:t>
                  </w:r>
                </w:p>
              </w:tc>
              <w:tc>
                <w:tcPr>
                  <w:tcW w:w="1561" w:type="dxa"/>
                  <w:tcBorders>
                    <w:top w:val="nil"/>
                    <w:left w:val="nil"/>
                    <w:bottom w:val="single" w:sz="4"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color w:val="000000"/>
                      <w:sz w:val="14"/>
                      <w:szCs w:val="14"/>
                      <w:lang w:val="es-CO" w:eastAsia="es-CO"/>
                    </w:rPr>
                  </w:pPr>
                  <w:r w:rsidRPr="00DA5F97">
                    <w:rPr>
                      <w:rFonts w:ascii="Century Gothic" w:eastAsia="Times New Roman" w:hAnsi="Century Gothic"/>
                      <w:color w:val="000000"/>
                      <w:sz w:val="14"/>
                      <w:szCs w:val="14"/>
                      <w:lang w:val="es-CO" w:eastAsia="es-CO"/>
                    </w:rPr>
                    <w:t xml:space="preserve">$ 36.155.392.267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 xml:space="preserve">$ </w:t>
                  </w:r>
                  <w:r w:rsidRPr="00DA5F97">
                    <w:rPr>
                      <w:rFonts w:ascii="Century Gothic" w:eastAsia="Times New Roman" w:hAnsi="Century Gothic"/>
                      <w:color w:val="000000"/>
                      <w:sz w:val="14"/>
                      <w:szCs w:val="14"/>
                      <w:lang w:val="es-CO" w:eastAsia="es-CO"/>
                    </w:rPr>
                    <w:t xml:space="preserve">44.793.813.456 </w:t>
                  </w:r>
                </w:p>
              </w:tc>
              <w:tc>
                <w:tcPr>
                  <w:tcW w:w="1985" w:type="dxa"/>
                  <w:tcBorders>
                    <w:top w:val="nil"/>
                    <w:left w:val="nil"/>
                    <w:bottom w:val="single" w:sz="4"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color w:val="000000"/>
                      <w:sz w:val="14"/>
                      <w:szCs w:val="14"/>
                      <w:lang w:val="es-CO" w:eastAsia="es-CO"/>
                    </w:rPr>
                  </w:pPr>
                  <w:r w:rsidRPr="00DA5F97">
                    <w:rPr>
                      <w:rFonts w:ascii="Century Gothic" w:eastAsia="Times New Roman" w:hAnsi="Century Gothic"/>
                      <w:color w:val="000000"/>
                      <w:sz w:val="14"/>
                      <w:szCs w:val="14"/>
                      <w:lang w:val="es-CO" w:eastAsia="es-CO"/>
                    </w:rPr>
                    <w:t>23,89%</w:t>
                  </w:r>
                </w:p>
              </w:tc>
              <w:tc>
                <w:tcPr>
                  <w:tcW w:w="2268" w:type="dxa"/>
                  <w:vMerge/>
                  <w:tcBorders>
                    <w:top w:val="nil"/>
                    <w:left w:val="nil"/>
                    <w:bottom w:val="single" w:sz="4" w:space="0" w:color="auto"/>
                    <w:right w:val="single" w:sz="4" w:space="0" w:color="auto"/>
                  </w:tcBorders>
                  <w:vAlign w:val="center"/>
                  <w:hideMark/>
                </w:tcPr>
                <w:p w:rsidR="00542328" w:rsidRPr="00DA5F97" w:rsidRDefault="00542328" w:rsidP="00542328">
                  <w:pPr>
                    <w:spacing w:after="0"/>
                    <w:rPr>
                      <w:rFonts w:ascii="Century Gothic" w:eastAsia="Times New Roman" w:hAnsi="Century Gothic"/>
                      <w:color w:val="000000"/>
                      <w:sz w:val="14"/>
                      <w:szCs w:val="14"/>
                      <w:lang w:val="es-CO" w:eastAsia="es-CO"/>
                    </w:rPr>
                  </w:pPr>
                </w:p>
              </w:tc>
            </w:tr>
            <w:tr w:rsidR="00542328" w:rsidRPr="00DA5F97" w:rsidTr="00B601A4">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42328" w:rsidRPr="00DA5F97" w:rsidRDefault="00542328" w:rsidP="00542328">
                  <w:pPr>
                    <w:spacing w:after="0"/>
                    <w:jc w:val="center"/>
                    <w:rPr>
                      <w:rFonts w:ascii="Calibri" w:eastAsia="Times New Roman" w:hAnsi="Calibri"/>
                      <w:color w:val="000000"/>
                      <w:sz w:val="22"/>
                      <w:szCs w:val="22"/>
                      <w:lang w:val="es-CO" w:eastAsia="es-CO"/>
                    </w:rPr>
                  </w:pPr>
                  <w:r w:rsidRPr="00DA5F97">
                    <w:rPr>
                      <w:rFonts w:ascii="Calibri" w:eastAsia="Times New Roman" w:hAnsi="Calibri"/>
                      <w:color w:val="000000"/>
                      <w:sz w:val="22"/>
                      <w:szCs w:val="22"/>
                      <w:lang w:val="es-CO" w:eastAsia="es-CO"/>
                    </w:rPr>
                    <w:t> </w:t>
                  </w:r>
                </w:p>
              </w:tc>
              <w:tc>
                <w:tcPr>
                  <w:tcW w:w="2577" w:type="dxa"/>
                  <w:tcBorders>
                    <w:top w:val="nil"/>
                    <w:left w:val="nil"/>
                    <w:bottom w:val="single" w:sz="8" w:space="0" w:color="auto"/>
                    <w:right w:val="single" w:sz="4" w:space="0" w:color="auto"/>
                  </w:tcBorders>
                  <w:shd w:val="clear" w:color="auto" w:fill="auto"/>
                  <w:noWrap/>
                  <w:vAlign w:val="center"/>
                  <w:hideMark/>
                </w:tcPr>
                <w:p w:rsidR="00542328" w:rsidRPr="00DA5F97" w:rsidRDefault="00542328" w:rsidP="00542328">
                  <w:pPr>
                    <w:spacing w:after="0"/>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TOTALES $</w:t>
                  </w:r>
                </w:p>
              </w:tc>
              <w:tc>
                <w:tcPr>
                  <w:tcW w:w="1561" w:type="dxa"/>
                  <w:tcBorders>
                    <w:top w:val="nil"/>
                    <w:left w:val="nil"/>
                    <w:bottom w:val="single" w:sz="8"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b/>
                      <w:bCs/>
                      <w:color w:val="000000"/>
                      <w:sz w:val="14"/>
                      <w:szCs w:val="14"/>
                      <w:lang w:val="es-CO" w:eastAsia="es-CO"/>
                    </w:rPr>
                  </w:pPr>
                  <w:r>
                    <w:rPr>
                      <w:rFonts w:ascii="Century Gothic" w:eastAsia="Times New Roman" w:hAnsi="Century Gothic"/>
                      <w:b/>
                      <w:bCs/>
                      <w:color w:val="000000"/>
                      <w:sz w:val="14"/>
                      <w:szCs w:val="14"/>
                      <w:lang w:val="es-CO" w:eastAsia="es-CO"/>
                    </w:rPr>
                    <w:t xml:space="preserve">$ </w:t>
                  </w:r>
                  <w:r w:rsidRPr="00DA5F97">
                    <w:rPr>
                      <w:rFonts w:ascii="Century Gothic" w:eastAsia="Times New Roman" w:hAnsi="Century Gothic"/>
                      <w:b/>
                      <w:bCs/>
                      <w:color w:val="000000"/>
                      <w:sz w:val="14"/>
                      <w:szCs w:val="14"/>
                      <w:lang w:val="es-CO" w:eastAsia="es-CO"/>
                    </w:rPr>
                    <w:t xml:space="preserve">36.155.392.267 </w:t>
                  </w:r>
                </w:p>
              </w:tc>
              <w:tc>
                <w:tcPr>
                  <w:tcW w:w="1559" w:type="dxa"/>
                  <w:tcBorders>
                    <w:top w:val="nil"/>
                    <w:left w:val="nil"/>
                    <w:bottom w:val="single" w:sz="8"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b/>
                      <w:bCs/>
                      <w:color w:val="000000"/>
                      <w:sz w:val="14"/>
                      <w:szCs w:val="14"/>
                      <w:lang w:val="es-CO" w:eastAsia="es-CO"/>
                    </w:rPr>
                  </w:pPr>
                  <w:r>
                    <w:rPr>
                      <w:rFonts w:ascii="Century Gothic" w:eastAsia="Times New Roman" w:hAnsi="Century Gothic"/>
                      <w:b/>
                      <w:bCs/>
                      <w:color w:val="000000"/>
                      <w:sz w:val="14"/>
                      <w:szCs w:val="14"/>
                      <w:lang w:val="es-CO" w:eastAsia="es-CO"/>
                    </w:rPr>
                    <w:t xml:space="preserve">$ </w:t>
                  </w:r>
                  <w:r w:rsidRPr="00DA5F97">
                    <w:rPr>
                      <w:rFonts w:ascii="Century Gothic" w:eastAsia="Times New Roman" w:hAnsi="Century Gothic"/>
                      <w:b/>
                      <w:bCs/>
                      <w:color w:val="000000"/>
                      <w:sz w:val="14"/>
                      <w:szCs w:val="14"/>
                      <w:lang w:val="es-CO" w:eastAsia="es-CO"/>
                    </w:rPr>
                    <w:t xml:space="preserve">44.793.813.456 </w:t>
                  </w:r>
                </w:p>
              </w:tc>
              <w:tc>
                <w:tcPr>
                  <w:tcW w:w="1985" w:type="dxa"/>
                  <w:tcBorders>
                    <w:top w:val="nil"/>
                    <w:left w:val="nil"/>
                    <w:bottom w:val="single" w:sz="8" w:space="0" w:color="auto"/>
                    <w:right w:val="single" w:sz="4" w:space="0" w:color="auto"/>
                  </w:tcBorders>
                  <w:shd w:val="clear" w:color="auto" w:fill="auto"/>
                  <w:noWrap/>
                  <w:vAlign w:val="center"/>
                  <w:hideMark/>
                </w:tcPr>
                <w:p w:rsidR="00542328" w:rsidRPr="00DA5F97" w:rsidRDefault="00542328" w:rsidP="00542328">
                  <w:pPr>
                    <w:spacing w:after="0"/>
                    <w:jc w:val="right"/>
                    <w:rPr>
                      <w:rFonts w:ascii="Century Gothic" w:eastAsia="Times New Roman" w:hAnsi="Century Gothic"/>
                      <w:b/>
                      <w:color w:val="000000"/>
                      <w:sz w:val="14"/>
                      <w:szCs w:val="14"/>
                      <w:lang w:val="es-CO" w:eastAsia="es-CO"/>
                    </w:rPr>
                  </w:pPr>
                  <w:r w:rsidRPr="00DA5F97">
                    <w:rPr>
                      <w:rFonts w:ascii="Century Gothic" w:eastAsia="Times New Roman" w:hAnsi="Century Gothic"/>
                      <w:b/>
                      <w:color w:val="000000"/>
                      <w:sz w:val="14"/>
                      <w:szCs w:val="14"/>
                      <w:lang w:val="es-CO" w:eastAsia="es-CO"/>
                    </w:rPr>
                    <w:t>23,89%</w:t>
                  </w:r>
                </w:p>
              </w:tc>
              <w:tc>
                <w:tcPr>
                  <w:tcW w:w="2268" w:type="dxa"/>
                  <w:vMerge/>
                  <w:tcBorders>
                    <w:top w:val="nil"/>
                    <w:left w:val="nil"/>
                    <w:bottom w:val="single" w:sz="8" w:space="0" w:color="auto"/>
                    <w:right w:val="single" w:sz="4" w:space="0" w:color="auto"/>
                  </w:tcBorders>
                  <w:vAlign w:val="center"/>
                  <w:hideMark/>
                </w:tcPr>
                <w:p w:rsidR="00542328" w:rsidRPr="00DA5F97"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Prrafodelista"/>
              <w:ind w:left="0"/>
              <w:jc w:val="both"/>
              <w:rPr>
                <w:rFonts w:ascii="Century Gothic" w:hAnsi="Century Gothic"/>
                <w:sz w:val="20"/>
                <w:szCs w:val="20"/>
              </w:rPr>
            </w:pPr>
          </w:p>
          <w:p w:rsidR="00542328" w:rsidRPr="009572B0" w:rsidRDefault="00542328" w:rsidP="00542328">
            <w:pPr>
              <w:pStyle w:val="Prrafodelista"/>
              <w:numPr>
                <w:ilvl w:val="0"/>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1"/>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1"/>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cs="Arial"/>
                <w:b/>
                <w:vanish/>
                <w:sz w:val="20"/>
                <w:szCs w:val="20"/>
                <w:lang w:val="es-MX" w:eastAsia="es-CO"/>
              </w:rPr>
            </w:pPr>
          </w:p>
          <w:p w:rsidR="00542328" w:rsidRPr="009572B0" w:rsidRDefault="00542328" w:rsidP="00542328">
            <w:pPr>
              <w:pStyle w:val="Prrafodelista"/>
              <w:numPr>
                <w:ilvl w:val="2"/>
                <w:numId w:val="27"/>
              </w:numPr>
              <w:jc w:val="both"/>
              <w:rPr>
                <w:rFonts w:ascii="Century Gothic" w:hAnsi="Century Gothic"/>
                <w:b/>
                <w:sz w:val="20"/>
                <w:szCs w:val="20"/>
              </w:rPr>
            </w:pPr>
            <w:r>
              <w:rPr>
                <w:rFonts w:ascii="Century Gothic" w:hAnsi="Century Gothic" w:cs="Arial"/>
                <w:b/>
                <w:sz w:val="20"/>
                <w:szCs w:val="20"/>
                <w:lang w:val="es-MX" w:eastAsia="es-CO"/>
              </w:rPr>
              <w:t>Personal contratado consolidado.</w:t>
            </w:r>
          </w:p>
          <w:tbl>
            <w:tblPr>
              <w:tblW w:w="10410" w:type="dxa"/>
              <w:tblCellMar>
                <w:left w:w="70" w:type="dxa"/>
                <w:right w:w="70" w:type="dxa"/>
              </w:tblCellMar>
              <w:tblLook w:val="04A0" w:firstRow="1" w:lastRow="0" w:firstColumn="1" w:lastColumn="0" w:noHBand="0" w:noVBand="1"/>
            </w:tblPr>
            <w:tblGrid>
              <w:gridCol w:w="375"/>
              <w:gridCol w:w="2380"/>
              <w:gridCol w:w="1276"/>
              <w:gridCol w:w="1276"/>
              <w:gridCol w:w="2126"/>
              <w:gridCol w:w="2977"/>
            </w:tblGrid>
            <w:tr w:rsidR="00542328" w:rsidRPr="007B5509" w:rsidTr="00B601A4">
              <w:trPr>
                <w:trHeight w:val="213"/>
              </w:trPr>
              <w:tc>
                <w:tcPr>
                  <w:tcW w:w="37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Nº</w:t>
                  </w:r>
                </w:p>
              </w:tc>
              <w:tc>
                <w:tcPr>
                  <w:tcW w:w="7058" w:type="dxa"/>
                  <w:gridSpan w:val="4"/>
                  <w:tcBorders>
                    <w:top w:val="single" w:sz="8" w:space="0" w:color="auto"/>
                    <w:left w:val="nil"/>
                    <w:bottom w:val="single" w:sz="4" w:space="0" w:color="auto"/>
                    <w:right w:val="single" w:sz="4" w:space="0" w:color="auto"/>
                  </w:tcBorders>
                  <w:shd w:val="clear" w:color="auto" w:fill="auto"/>
                  <w:noWrap/>
                  <w:vAlign w:val="bottom"/>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Aspectos cuantitativos</w:t>
                  </w:r>
                </w:p>
              </w:tc>
              <w:tc>
                <w:tcPr>
                  <w:tcW w:w="2977" w:type="dxa"/>
                  <w:tcBorders>
                    <w:top w:val="single" w:sz="8" w:space="0" w:color="auto"/>
                    <w:left w:val="nil"/>
                    <w:bottom w:val="single" w:sz="4" w:space="0" w:color="auto"/>
                    <w:right w:val="single" w:sz="8" w:space="0" w:color="000000"/>
                  </w:tcBorders>
                  <w:shd w:val="clear" w:color="auto" w:fill="auto"/>
                  <w:noWrap/>
                  <w:vAlign w:val="bottom"/>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Situaciones encontradas por la OCI</w:t>
                  </w:r>
                </w:p>
              </w:tc>
            </w:tr>
            <w:tr w:rsidR="00542328" w:rsidRPr="007B5509" w:rsidTr="00B601A4">
              <w:trPr>
                <w:trHeight w:val="512"/>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 </w:t>
                  </w:r>
                </w:p>
              </w:tc>
              <w:tc>
                <w:tcPr>
                  <w:tcW w:w="2380"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Cantidad personal</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 xml:space="preserve">Cantidad entre </w:t>
                  </w:r>
                  <w:r w:rsidRPr="00DA5F97">
                    <w:rPr>
                      <w:rFonts w:ascii="Century Gothic" w:eastAsia="Times New Roman" w:hAnsi="Century Gothic"/>
                      <w:b/>
                      <w:bCs/>
                      <w:color w:val="000000"/>
                      <w:sz w:val="14"/>
                      <w:szCs w:val="14"/>
                      <w:lang w:val="es-CO" w:eastAsia="es-CO"/>
                    </w:rPr>
                    <w:t>enero - diciembre</w:t>
                  </w:r>
                  <w:r w:rsidRPr="007B5509">
                    <w:rPr>
                      <w:rFonts w:ascii="Century Gothic" w:eastAsia="Times New Roman" w:hAnsi="Century Gothic"/>
                      <w:b/>
                      <w:bCs/>
                      <w:color w:val="000000"/>
                      <w:sz w:val="14"/>
                      <w:szCs w:val="14"/>
                      <w:lang w:val="es-CO" w:eastAsia="es-CO"/>
                    </w:rPr>
                    <w:t xml:space="preserve"> de la vigencia 2015</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 xml:space="preserve">Cantidad entre </w:t>
                  </w:r>
                  <w:r w:rsidRPr="00DA5F97">
                    <w:rPr>
                      <w:rFonts w:ascii="Century Gothic" w:eastAsia="Times New Roman" w:hAnsi="Century Gothic"/>
                      <w:b/>
                      <w:bCs/>
                      <w:color w:val="000000"/>
                      <w:sz w:val="14"/>
                      <w:szCs w:val="14"/>
                      <w:lang w:val="es-CO" w:eastAsia="es-CO"/>
                    </w:rPr>
                    <w:t xml:space="preserve">enero - diciembre </w:t>
                  </w:r>
                  <w:r w:rsidRPr="007B5509">
                    <w:rPr>
                      <w:rFonts w:ascii="Century Gothic" w:eastAsia="Times New Roman" w:hAnsi="Century Gothic"/>
                      <w:b/>
                      <w:bCs/>
                      <w:color w:val="000000"/>
                      <w:sz w:val="14"/>
                      <w:szCs w:val="14"/>
                      <w:lang w:val="es-CO" w:eastAsia="es-CO"/>
                    </w:rPr>
                    <w:t>de la vigencia 2016</w:t>
                  </w:r>
                </w:p>
              </w:tc>
              <w:tc>
                <w:tcPr>
                  <w:tcW w:w="2126"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 xml:space="preserve">% Variación de la cantidad entre </w:t>
                  </w:r>
                  <w:r w:rsidRPr="00DA5F97">
                    <w:rPr>
                      <w:rFonts w:ascii="Century Gothic" w:eastAsia="Times New Roman" w:hAnsi="Century Gothic"/>
                      <w:b/>
                      <w:bCs/>
                      <w:color w:val="000000"/>
                      <w:sz w:val="14"/>
                      <w:szCs w:val="14"/>
                      <w:lang w:val="es-CO" w:eastAsia="es-CO"/>
                    </w:rPr>
                    <w:t xml:space="preserve">enero - diciembre </w:t>
                  </w:r>
                  <w:r w:rsidRPr="007B5509">
                    <w:rPr>
                      <w:rFonts w:ascii="Century Gothic" w:eastAsia="Times New Roman" w:hAnsi="Century Gothic"/>
                      <w:b/>
                      <w:bCs/>
                      <w:color w:val="000000"/>
                      <w:sz w:val="14"/>
                      <w:szCs w:val="14"/>
                      <w:lang w:val="es-CO" w:eastAsia="es-CO"/>
                    </w:rPr>
                    <w:t>de 2016 respecto al mismo periodo de la vigencia 2015</w:t>
                  </w:r>
                </w:p>
              </w:tc>
              <w:tc>
                <w:tcPr>
                  <w:tcW w:w="2977"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7B5509" w:rsidRDefault="00542328" w:rsidP="00542328">
                  <w:pPr>
                    <w:spacing w:after="0"/>
                    <w:jc w:val="both"/>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Se observa en el periodo evaluado un porcentaje de variación de 12,87% en el número total de contratistas de prestación de servicios y de apoyo a la gestión. Representado para la vigencia 2016 en 157 contratistas más, siendo la contratación de prestación de servicios profesionales de Procesos apoyo quien presenta una diminución de 9,06%.</w:t>
                  </w:r>
                </w:p>
              </w:tc>
            </w:tr>
            <w:tr w:rsidR="00542328" w:rsidRPr="007B5509" w:rsidTr="00B601A4">
              <w:trPr>
                <w:trHeight w:val="21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color w:val="000000"/>
                      <w:sz w:val="16"/>
                      <w:szCs w:val="22"/>
                      <w:lang w:val="es-CO" w:eastAsia="es-CO"/>
                    </w:rPr>
                  </w:pPr>
                  <w:r w:rsidRPr="007B5509">
                    <w:rPr>
                      <w:rFonts w:ascii="Century Gothic" w:eastAsia="Times New Roman" w:hAnsi="Century Gothic"/>
                      <w:color w:val="000000"/>
                      <w:sz w:val="16"/>
                      <w:szCs w:val="22"/>
                      <w:lang w:val="es-CO" w:eastAsia="es-CO"/>
                    </w:rPr>
                    <w:t>1</w:t>
                  </w:r>
                </w:p>
              </w:tc>
              <w:tc>
                <w:tcPr>
                  <w:tcW w:w="2380" w:type="dxa"/>
                  <w:tcBorders>
                    <w:top w:val="nil"/>
                    <w:left w:val="nil"/>
                    <w:bottom w:val="single" w:sz="4" w:space="0" w:color="auto"/>
                    <w:right w:val="single" w:sz="4" w:space="0" w:color="auto"/>
                  </w:tcBorders>
                  <w:shd w:val="clear" w:color="auto" w:fill="auto"/>
                  <w:noWrap/>
                  <w:vAlign w:val="bottom"/>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Personal contratado Procesos Misionales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894</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1033</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15,55%</w:t>
                  </w:r>
                </w:p>
              </w:tc>
              <w:tc>
                <w:tcPr>
                  <w:tcW w:w="2977" w:type="dxa"/>
                  <w:vMerge/>
                  <w:tcBorders>
                    <w:top w:val="nil"/>
                    <w:left w:val="nil"/>
                    <w:bottom w:val="single" w:sz="4"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r w:rsidR="00542328" w:rsidRPr="007B5509" w:rsidTr="00B601A4">
              <w:trPr>
                <w:trHeight w:val="21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color w:val="000000"/>
                      <w:sz w:val="16"/>
                      <w:szCs w:val="22"/>
                      <w:lang w:val="es-CO" w:eastAsia="es-CO"/>
                    </w:rPr>
                  </w:pPr>
                  <w:r w:rsidRPr="007B5509">
                    <w:rPr>
                      <w:rFonts w:ascii="Century Gothic" w:eastAsia="Times New Roman" w:hAnsi="Century Gothic"/>
                      <w:color w:val="000000"/>
                      <w:sz w:val="16"/>
                      <w:szCs w:val="22"/>
                      <w:lang w:val="es-CO" w:eastAsia="es-CO"/>
                    </w:rPr>
                    <w:t>2</w:t>
                  </w:r>
                </w:p>
              </w:tc>
              <w:tc>
                <w:tcPr>
                  <w:tcW w:w="2380" w:type="dxa"/>
                  <w:tcBorders>
                    <w:top w:val="nil"/>
                    <w:left w:val="nil"/>
                    <w:bottom w:val="single" w:sz="4" w:space="0" w:color="auto"/>
                    <w:right w:val="single" w:sz="4" w:space="0" w:color="auto"/>
                  </w:tcBorders>
                  <w:shd w:val="clear" w:color="auto" w:fill="auto"/>
                  <w:noWrap/>
                  <w:vAlign w:val="bottom"/>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Personal contratado Procesos Apoyo</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287</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261</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-9,06%</w:t>
                  </w:r>
                </w:p>
              </w:tc>
              <w:tc>
                <w:tcPr>
                  <w:tcW w:w="2977" w:type="dxa"/>
                  <w:vMerge/>
                  <w:tcBorders>
                    <w:top w:val="nil"/>
                    <w:left w:val="nil"/>
                    <w:bottom w:val="single" w:sz="4"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r w:rsidR="00542328" w:rsidRPr="007B5509" w:rsidTr="00B601A4">
              <w:trPr>
                <w:trHeight w:val="21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color w:val="000000"/>
                      <w:sz w:val="16"/>
                      <w:szCs w:val="22"/>
                      <w:lang w:val="es-CO" w:eastAsia="es-CO"/>
                    </w:rPr>
                  </w:pPr>
                  <w:r w:rsidRPr="007B5509">
                    <w:rPr>
                      <w:rFonts w:ascii="Century Gothic" w:eastAsia="Times New Roman" w:hAnsi="Century Gothic"/>
                      <w:color w:val="000000"/>
                      <w:sz w:val="16"/>
                      <w:szCs w:val="22"/>
                      <w:lang w:val="es-CO" w:eastAsia="es-CO"/>
                    </w:rPr>
                    <w:t>3</w:t>
                  </w:r>
                </w:p>
              </w:tc>
              <w:tc>
                <w:tcPr>
                  <w:tcW w:w="2380" w:type="dxa"/>
                  <w:tcBorders>
                    <w:top w:val="nil"/>
                    <w:left w:val="nil"/>
                    <w:bottom w:val="single" w:sz="4" w:space="0" w:color="auto"/>
                    <w:right w:val="single" w:sz="4" w:space="0" w:color="auto"/>
                  </w:tcBorders>
                  <w:shd w:val="clear" w:color="auto" w:fill="auto"/>
                  <w:noWrap/>
                  <w:vAlign w:val="bottom"/>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Personal contratado Procesos Estratégicos</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33</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77</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133,33%</w:t>
                  </w:r>
                </w:p>
              </w:tc>
              <w:tc>
                <w:tcPr>
                  <w:tcW w:w="2977" w:type="dxa"/>
                  <w:vMerge/>
                  <w:tcBorders>
                    <w:top w:val="nil"/>
                    <w:left w:val="nil"/>
                    <w:bottom w:val="single" w:sz="4"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r w:rsidR="00542328" w:rsidRPr="007B5509" w:rsidTr="00B601A4">
              <w:trPr>
                <w:trHeight w:val="213"/>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color w:val="000000"/>
                      <w:sz w:val="16"/>
                      <w:szCs w:val="22"/>
                      <w:lang w:val="es-CO" w:eastAsia="es-CO"/>
                    </w:rPr>
                  </w:pPr>
                  <w:r w:rsidRPr="007B5509">
                    <w:rPr>
                      <w:rFonts w:ascii="Century Gothic" w:eastAsia="Times New Roman" w:hAnsi="Century Gothic"/>
                      <w:color w:val="000000"/>
                      <w:sz w:val="16"/>
                      <w:szCs w:val="22"/>
                      <w:lang w:val="es-CO" w:eastAsia="es-CO"/>
                    </w:rPr>
                    <w:t>4</w:t>
                  </w:r>
                </w:p>
              </w:tc>
              <w:tc>
                <w:tcPr>
                  <w:tcW w:w="2380" w:type="dxa"/>
                  <w:tcBorders>
                    <w:top w:val="nil"/>
                    <w:left w:val="nil"/>
                    <w:bottom w:val="single" w:sz="4" w:space="0" w:color="auto"/>
                    <w:right w:val="single" w:sz="4" w:space="0" w:color="auto"/>
                  </w:tcBorders>
                  <w:shd w:val="clear" w:color="auto" w:fill="auto"/>
                  <w:noWrap/>
                  <w:vAlign w:val="bottom"/>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Personal contratado Procesos Seguimiento y Control</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6</w:t>
                  </w:r>
                </w:p>
              </w:tc>
              <w:tc>
                <w:tcPr>
                  <w:tcW w:w="127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6</w:t>
                  </w:r>
                </w:p>
              </w:tc>
              <w:tc>
                <w:tcPr>
                  <w:tcW w:w="2126"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0,00%</w:t>
                  </w:r>
                </w:p>
              </w:tc>
              <w:tc>
                <w:tcPr>
                  <w:tcW w:w="2977" w:type="dxa"/>
                  <w:vMerge/>
                  <w:tcBorders>
                    <w:top w:val="nil"/>
                    <w:left w:val="nil"/>
                    <w:bottom w:val="single" w:sz="4"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r w:rsidR="00542328" w:rsidRPr="007B5509" w:rsidTr="00B601A4">
              <w:trPr>
                <w:trHeight w:val="224"/>
              </w:trPr>
              <w:tc>
                <w:tcPr>
                  <w:tcW w:w="375" w:type="dxa"/>
                  <w:tcBorders>
                    <w:top w:val="nil"/>
                    <w:left w:val="single" w:sz="8" w:space="0" w:color="auto"/>
                    <w:bottom w:val="single" w:sz="8"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 </w:t>
                  </w:r>
                </w:p>
              </w:tc>
              <w:tc>
                <w:tcPr>
                  <w:tcW w:w="2380" w:type="dxa"/>
                  <w:tcBorders>
                    <w:top w:val="nil"/>
                    <w:left w:val="nil"/>
                    <w:bottom w:val="single" w:sz="8" w:space="0" w:color="auto"/>
                    <w:right w:val="single" w:sz="4" w:space="0" w:color="auto"/>
                  </w:tcBorders>
                  <w:shd w:val="clear" w:color="auto" w:fill="auto"/>
                  <w:noWrap/>
                  <w:vAlign w:val="bottom"/>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Total de personal Contratado</w:t>
                  </w:r>
                </w:p>
              </w:tc>
              <w:tc>
                <w:tcPr>
                  <w:tcW w:w="1276"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1220</w:t>
                  </w:r>
                </w:p>
              </w:tc>
              <w:tc>
                <w:tcPr>
                  <w:tcW w:w="1276"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1377</w:t>
                  </w:r>
                </w:p>
              </w:tc>
              <w:tc>
                <w:tcPr>
                  <w:tcW w:w="2126"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12,87%</w:t>
                  </w:r>
                </w:p>
              </w:tc>
              <w:tc>
                <w:tcPr>
                  <w:tcW w:w="2977" w:type="dxa"/>
                  <w:vMerge/>
                  <w:tcBorders>
                    <w:top w:val="nil"/>
                    <w:left w:val="nil"/>
                    <w:bottom w:val="single" w:sz="8"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Prrafodelista"/>
              <w:ind w:left="0"/>
              <w:jc w:val="both"/>
              <w:rPr>
                <w:rFonts w:ascii="Century Gothic" w:hAnsi="Century Gothic"/>
                <w:sz w:val="20"/>
                <w:szCs w:val="20"/>
              </w:rPr>
            </w:pPr>
          </w:p>
          <w:p w:rsidR="00542328" w:rsidRDefault="00542328" w:rsidP="00542328">
            <w:pPr>
              <w:pStyle w:val="Default"/>
              <w:jc w:val="both"/>
              <w:rPr>
                <w:rFonts w:ascii="Century Gothic" w:eastAsia="Times New Roman" w:hAnsi="Century Gothic"/>
                <w:color w:val="auto"/>
                <w:sz w:val="20"/>
                <w:szCs w:val="20"/>
                <w:lang w:val="es-ES_tradnl"/>
              </w:rPr>
            </w:pPr>
          </w:p>
          <w:p w:rsidR="00542328" w:rsidRDefault="00542328" w:rsidP="00542328">
            <w:pPr>
              <w:pStyle w:val="Default"/>
              <w:jc w:val="both"/>
              <w:rPr>
                <w:rFonts w:ascii="Century Gothic" w:eastAsia="Times New Roman" w:hAnsi="Century Gothic"/>
                <w:color w:val="auto"/>
                <w:sz w:val="20"/>
                <w:szCs w:val="20"/>
                <w:lang w:val="es-ES_tradnl"/>
              </w:rPr>
            </w:pPr>
          </w:p>
          <w:tbl>
            <w:tblPr>
              <w:tblW w:w="10410" w:type="dxa"/>
              <w:tblCellMar>
                <w:left w:w="70" w:type="dxa"/>
                <w:right w:w="70" w:type="dxa"/>
              </w:tblCellMar>
              <w:tblLook w:val="04A0" w:firstRow="1" w:lastRow="0" w:firstColumn="1" w:lastColumn="0" w:noHBand="0" w:noVBand="1"/>
            </w:tblPr>
            <w:tblGrid>
              <w:gridCol w:w="460"/>
              <w:gridCol w:w="2579"/>
              <w:gridCol w:w="1559"/>
              <w:gridCol w:w="1559"/>
              <w:gridCol w:w="1985"/>
              <w:gridCol w:w="2268"/>
            </w:tblGrid>
            <w:tr w:rsidR="00542328" w:rsidRPr="007B5509" w:rsidTr="00542328">
              <w:trPr>
                <w:trHeight w:val="390"/>
              </w:trPr>
              <w:tc>
                <w:tcPr>
                  <w:tcW w:w="46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Nº</w:t>
                  </w:r>
                </w:p>
              </w:tc>
              <w:tc>
                <w:tcPr>
                  <w:tcW w:w="7682" w:type="dxa"/>
                  <w:gridSpan w:val="4"/>
                  <w:tcBorders>
                    <w:top w:val="single" w:sz="8" w:space="0" w:color="auto"/>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b/>
                      <w:bCs/>
                      <w:color w:val="000000"/>
                      <w:sz w:val="16"/>
                      <w:szCs w:val="16"/>
                      <w:lang w:val="es-CO" w:eastAsia="es-CO"/>
                    </w:rPr>
                  </w:pPr>
                  <w:r w:rsidRPr="007B5509">
                    <w:rPr>
                      <w:rFonts w:ascii="Century Gothic" w:eastAsia="Times New Roman" w:hAnsi="Century Gothic"/>
                      <w:b/>
                      <w:bCs/>
                      <w:color w:val="000000"/>
                      <w:sz w:val="16"/>
                      <w:szCs w:val="16"/>
                      <w:lang w:val="es-CO" w:eastAsia="es-CO"/>
                    </w:rPr>
                    <w:t>Aspectos cuantitativos</w:t>
                  </w:r>
                </w:p>
              </w:tc>
              <w:tc>
                <w:tcPr>
                  <w:tcW w:w="2268" w:type="dxa"/>
                  <w:tcBorders>
                    <w:top w:val="single" w:sz="8" w:space="0" w:color="auto"/>
                    <w:left w:val="nil"/>
                    <w:bottom w:val="single" w:sz="4" w:space="0" w:color="auto"/>
                    <w:right w:val="single" w:sz="8" w:space="0" w:color="000000"/>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b/>
                      <w:bCs/>
                      <w:color w:val="000000"/>
                      <w:sz w:val="16"/>
                      <w:szCs w:val="16"/>
                      <w:lang w:val="es-CO" w:eastAsia="es-CO"/>
                    </w:rPr>
                  </w:pPr>
                  <w:r w:rsidRPr="007B5509">
                    <w:rPr>
                      <w:rFonts w:ascii="Century Gothic" w:eastAsia="Times New Roman" w:hAnsi="Century Gothic"/>
                      <w:b/>
                      <w:bCs/>
                      <w:color w:val="000000"/>
                      <w:sz w:val="16"/>
                      <w:szCs w:val="16"/>
                      <w:lang w:val="es-CO" w:eastAsia="es-CO"/>
                    </w:rPr>
                    <w:t>Situaciones encontradas por la OCI</w:t>
                  </w:r>
                </w:p>
              </w:tc>
            </w:tr>
            <w:tr w:rsidR="00542328" w:rsidRPr="007B5509" w:rsidTr="00542328">
              <w:trPr>
                <w:trHeight w:val="76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 </w:t>
                  </w:r>
                </w:p>
              </w:tc>
              <w:tc>
                <w:tcPr>
                  <w:tcW w:w="2579"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jc w:val="center"/>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Concepto</w:t>
                  </w:r>
                </w:p>
              </w:tc>
              <w:tc>
                <w:tcPr>
                  <w:tcW w:w="1559"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Valor pagado entre enero - diciembre de la vigencia 2015</w:t>
                  </w:r>
                </w:p>
              </w:tc>
              <w:tc>
                <w:tcPr>
                  <w:tcW w:w="1559"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Valor pagado entre enero - diciembre de la vigencia 2016</w:t>
                  </w:r>
                </w:p>
              </w:tc>
              <w:tc>
                <w:tcPr>
                  <w:tcW w:w="1985" w:type="dxa"/>
                  <w:tcBorders>
                    <w:top w:val="nil"/>
                    <w:left w:val="nil"/>
                    <w:bottom w:val="single" w:sz="4" w:space="0" w:color="auto"/>
                    <w:right w:val="single" w:sz="4" w:space="0" w:color="auto"/>
                  </w:tcBorders>
                  <w:shd w:val="clear" w:color="auto" w:fill="auto"/>
                  <w:vAlign w:val="center"/>
                  <w:hideMark/>
                </w:tcPr>
                <w:p w:rsidR="00542328" w:rsidRPr="00DA5F97" w:rsidRDefault="00542328" w:rsidP="00542328">
                  <w:pPr>
                    <w:spacing w:after="0"/>
                    <w:jc w:val="center"/>
                    <w:rPr>
                      <w:rFonts w:ascii="Century Gothic" w:eastAsia="Times New Roman" w:hAnsi="Century Gothic"/>
                      <w:b/>
                      <w:bCs/>
                      <w:color w:val="000000"/>
                      <w:sz w:val="14"/>
                      <w:szCs w:val="14"/>
                      <w:lang w:val="es-CO" w:eastAsia="es-CO"/>
                    </w:rPr>
                  </w:pPr>
                  <w:r w:rsidRPr="00DA5F97">
                    <w:rPr>
                      <w:rFonts w:ascii="Century Gothic" w:eastAsia="Times New Roman" w:hAnsi="Century Gothic"/>
                      <w:b/>
                      <w:bCs/>
                      <w:color w:val="000000"/>
                      <w:sz w:val="14"/>
                      <w:szCs w:val="14"/>
                      <w:lang w:val="es-CO" w:eastAsia="es-CO"/>
                    </w:rPr>
                    <w:t>% Variación del valor pagado entre enero - diciembre de 2016 respecto al mismo periodo de la vigencia 2015</w:t>
                  </w:r>
                </w:p>
              </w:tc>
              <w:tc>
                <w:tcPr>
                  <w:tcW w:w="2268" w:type="dxa"/>
                  <w:vMerge w:val="restart"/>
                  <w:tcBorders>
                    <w:top w:val="single" w:sz="4" w:space="0" w:color="auto"/>
                    <w:left w:val="single" w:sz="4" w:space="0" w:color="auto"/>
                    <w:bottom w:val="single" w:sz="8" w:space="0" w:color="000000"/>
                    <w:right w:val="single" w:sz="8" w:space="0" w:color="000000"/>
                  </w:tcBorders>
                  <w:shd w:val="clear" w:color="auto" w:fill="auto"/>
                  <w:noWrap/>
                  <w:vAlign w:val="center"/>
                  <w:hideMark/>
                </w:tcPr>
                <w:p w:rsidR="00542328" w:rsidRPr="007B5509" w:rsidRDefault="00542328" w:rsidP="00542328">
                  <w:pPr>
                    <w:spacing w:after="0"/>
                    <w:jc w:val="both"/>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Como se presenta un incremento en el número de contratos en 12,87%, el rubro de servicios profesionales indirectos refleja una variación de 30,84% respecto al año anterior.</w:t>
                  </w:r>
                </w:p>
              </w:tc>
            </w:tr>
            <w:tr w:rsidR="00542328" w:rsidRPr="007B5509" w:rsidTr="00542328">
              <w:trPr>
                <w:trHeight w:val="495"/>
              </w:trPr>
              <w:tc>
                <w:tcPr>
                  <w:tcW w:w="4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entury Gothic" w:eastAsia="Times New Roman" w:hAnsi="Century Gothic"/>
                      <w:color w:val="000000"/>
                      <w:sz w:val="22"/>
                      <w:szCs w:val="22"/>
                      <w:lang w:val="es-CO" w:eastAsia="es-CO"/>
                    </w:rPr>
                  </w:pPr>
                  <w:r w:rsidRPr="00542328">
                    <w:rPr>
                      <w:rFonts w:ascii="Century Gothic" w:eastAsia="Times New Roman" w:hAnsi="Century Gothic"/>
                      <w:color w:val="000000"/>
                      <w:sz w:val="14"/>
                      <w:szCs w:val="22"/>
                      <w:lang w:val="es-CO" w:eastAsia="es-CO"/>
                    </w:rPr>
                    <w:t>5</w:t>
                  </w:r>
                </w:p>
              </w:tc>
              <w:tc>
                <w:tcPr>
                  <w:tcW w:w="2579" w:type="dxa"/>
                  <w:tcBorders>
                    <w:top w:val="nil"/>
                    <w:left w:val="nil"/>
                    <w:bottom w:val="single" w:sz="4" w:space="0" w:color="auto"/>
                    <w:right w:val="single" w:sz="4" w:space="0" w:color="auto"/>
                  </w:tcBorders>
                  <w:shd w:val="clear" w:color="auto" w:fill="auto"/>
                  <w:vAlign w:val="center"/>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SERVICIOS PERSONALES INDIRECTOS (apoyo)</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 xml:space="preserve">42.257.789.483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 xml:space="preserve">55.291.189.003 </w:t>
                  </w:r>
                </w:p>
              </w:tc>
              <w:tc>
                <w:tcPr>
                  <w:tcW w:w="1985" w:type="dxa"/>
                  <w:tcBorders>
                    <w:top w:val="nil"/>
                    <w:left w:val="nil"/>
                    <w:bottom w:val="single" w:sz="4"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30,84%</w:t>
                  </w:r>
                </w:p>
              </w:tc>
              <w:tc>
                <w:tcPr>
                  <w:tcW w:w="2268" w:type="dxa"/>
                  <w:vMerge/>
                  <w:tcBorders>
                    <w:top w:val="nil"/>
                    <w:left w:val="nil"/>
                    <w:bottom w:val="single" w:sz="4"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r w:rsidR="00542328" w:rsidRPr="007B5509" w:rsidTr="00542328">
              <w:trPr>
                <w:trHeight w:val="390"/>
              </w:trPr>
              <w:tc>
                <w:tcPr>
                  <w:tcW w:w="460" w:type="dxa"/>
                  <w:tcBorders>
                    <w:top w:val="nil"/>
                    <w:left w:val="single" w:sz="8" w:space="0" w:color="auto"/>
                    <w:bottom w:val="single" w:sz="8" w:space="0" w:color="auto"/>
                    <w:right w:val="single" w:sz="4" w:space="0" w:color="auto"/>
                  </w:tcBorders>
                  <w:shd w:val="clear" w:color="auto" w:fill="auto"/>
                  <w:noWrap/>
                  <w:vAlign w:val="center"/>
                  <w:hideMark/>
                </w:tcPr>
                <w:p w:rsidR="00542328" w:rsidRPr="007B5509" w:rsidRDefault="00542328" w:rsidP="00542328">
                  <w:pPr>
                    <w:spacing w:after="0"/>
                    <w:jc w:val="center"/>
                    <w:rPr>
                      <w:rFonts w:ascii="Calibri" w:eastAsia="Times New Roman" w:hAnsi="Calibri"/>
                      <w:color w:val="000000"/>
                      <w:sz w:val="22"/>
                      <w:szCs w:val="22"/>
                      <w:lang w:val="es-CO" w:eastAsia="es-CO"/>
                    </w:rPr>
                  </w:pPr>
                  <w:r w:rsidRPr="007B5509">
                    <w:rPr>
                      <w:rFonts w:ascii="Calibri" w:eastAsia="Times New Roman" w:hAnsi="Calibri"/>
                      <w:color w:val="000000"/>
                      <w:sz w:val="22"/>
                      <w:szCs w:val="22"/>
                      <w:lang w:val="es-CO" w:eastAsia="es-CO"/>
                    </w:rPr>
                    <w:t> </w:t>
                  </w:r>
                </w:p>
              </w:tc>
              <w:tc>
                <w:tcPr>
                  <w:tcW w:w="2579"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TOTALES $</w:t>
                  </w:r>
                </w:p>
              </w:tc>
              <w:tc>
                <w:tcPr>
                  <w:tcW w:w="1559"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 xml:space="preserve">42.257.789.483 </w:t>
                  </w:r>
                </w:p>
              </w:tc>
              <w:tc>
                <w:tcPr>
                  <w:tcW w:w="1559"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b/>
                      <w:bCs/>
                      <w:color w:val="000000"/>
                      <w:sz w:val="14"/>
                      <w:szCs w:val="14"/>
                      <w:lang w:val="es-CO" w:eastAsia="es-CO"/>
                    </w:rPr>
                  </w:pPr>
                  <w:r w:rsidRPr="007B5509">
                    <w:rPr>
                      <w:rFonts w:ascii="Century Gothic" w:eastAsia="Times New Roman" w:hAnsi="Century Gothic"/>
                      <w:b/>
                      <w:bCs/>
                      <w:color w:val="000000"/>
                      <w:sz w:val="14"/>
                      <w:szCs w:val="14"/>
                      <w:lang w:val="es-CO" w:eastAsia="es-CO"/>
                    </w:rPr>
                    <w:t xml:space="preserve">55.291.189.003 </w:t>
                  </w:r>
                </w:p>
              </w:tc>
              <w:tc>
                <w:tcPr>
                  <w:tcW w:w="1985" w:type="dxa"/>
                  <w:tcBorders>
                    <w:top w:val="nil"/>
                    <w:left w:val="nil"/>
                    <w:bottom w:val="single" w:sz="8" w:space="0" w:color="auto"/>
                    <w:right w:val="single" w:sz="4" w:space="0" w:color="auto"/>
                  </w:tcBorders>
                  <w:shd w:val="clear" w:color="auto" w:fill="auto"/>
                  <w:noWrap/>
                  <w:vAlign w:val="center"/>
                  <w:hideMark/>
                </w:tcPr>
                <w:p w:rsidR="00542328" w:rsidRPr="007B5509" w:rsidRDefault="00542328" w:rsidP="00542328">
                  <w:pPr>
                    <w:spacing w:after="0"/>
                    <w:jc w:val="right"/>
                    <w:rPr>
                      <w:rFonts w:ascii="Century Gothic" w:eastAsia="Times New Roman" w:hAnsi="Century Gothic"/>
                      <w:color w:val="000000"/>
                      <w:sz w:val="14"/>
                      <w:szCs w:val="14"/>
                      <w:lang w:val="es-CO" w:eastAsia="es-CO"/>
                    </w:rPr>
                  </w:pPr>
                  <w:r w:rsidRPr="007B5509">
                    <w:rPr>
                      <w:rFonts w:ascii="Century Gothic" w:eastAsia="Times New Roman" w:hAnsi="Century Gothic"/>
                      <w:color w:val="000000"/>
                      <w:sz w:val="14"/>
                      <w:szCs w:val="14"/>
                      <w:lang w:val="es-CO" w:eastAsia="es-CO"/>
                    </w:rPr>
                    <w:t>30,84%</w:t>
                  </w:r>
                </w:p>
              </w:tc>
              <w:tc>
                <w:tcPr>
                  <w:tcW w:w="2268" w:type="dxa"/>
                  <w:vMerge/>
                  <w:tcBorders>
                    <w:top w:val="nil"/>
                    <w:left w:val="nil"/>
                    <w:bottom w:val="single" w:sz="8" w:space="0" w:color="auto"/>
                    <w:right w:val="single" w:sz="4" w:space="0" w:color="auto"/>
                  </w:tcBorders>
                  <w:vAlign w:val="center"/>
                  <w:hideMark/>
                </w:tcPr>
                <w:p w:rsidR="00542328" w:rsidRPr="007B5509"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Prrafodelista"/>
              <w:ind w:left="0"/>
              <w:jc w:val="both"/>
              <w:rPr>
                <w:rFonts w:ascii="Century Gothic" w:hAnsi="Century Gothic"/>
                <w:sz w:val="20"/>
                <w:szCs w:val="20"/>
              </w:rPr>
            </w:pPr>
          </w:p>
          <w:p w:rsidR="00542328" w:rsidRPr="00F577A0" w:rsidRDefault="00542328" w:rsidP="00542328">
            <w:pPr>
              <w:pStyle w:val="Prrafodelista"/>
              <w:ind w:left="0"/>
              <w:jc w:val="both"/>
              <w:rPr>
                <w:rFonts w:ascii="Century Gothic" w:hAnsi="Century Gothic"/>
                <w:sz w:val="20"/>
                <w:szCs w:val="20"/>
              </w:rPr>
            </w:pPr>
          </w:p>
          <w:p w:rsidR="00542328" w:rsidRPr="00FC23F7" w:rsidRDefault="00542328" w:rsidP="00542328">
            <w:pPr>
              <w:pStyle w:val="Prrafodelista"/>
              <w:numPr>
                <w:ilvl w:val="2"/>
                <w:numId w:val="27"/>
              </w:numPr>
              <w:spacing w:after="0"/>
              <w:jc w:val="both"/>
              <w:rPr>
                <w:rFonts w:ascii="Century Gothic" w:hAnsi="Century Gothic"/>
                <w:b/>
                <w:sz w:val="20"/>
                <w:szCs w:val="20"/>
              </w:rPr>
            </w:pPr>
            <w:r w:rsidRPr="00FC23F7">
              <w:rPr>
                <w:rFonts w:ascii="Century Gothic" w:hAnsi="Century Gothic"/>
                <w:b/>
                <w:sz w:val="20"/>
                <w:szCs w:val="20"/>
              </w:rPr>
              <w:t>Relación personal de planta vs personal contratado</w:t>
            </w:r>
          </w:p>
          <w:p w:rsidR="00542328" w:rsidRDefault="00542328" w:rsidP="00542328">
            <w:pPr>
              <w:spacing w:after="0"/>
              <w:jc w:val="both"/>
              <w:rPr>
                <w:rFonts w:ascii="Century Gothic" w:hAnsi="Century Gothic"/>
                <w:b/>
                <w:sz w:val="20"/>
                <w:szCs w:val="20"/>
              </w:rPr>
            </w:pPr>
          </w:p>
          <w:p w:rsidR="00542328" w:rsidRPr="00F577A0" w:rsidRDefault="00542328" w:rsidP="00542328">
            <w:pPr>
              <w:spacing w:after="0"/>
              <w:jc w:val="both"/>
              <w:rPr>
                <w:rFonts w:ascii="Century Gothic" w:hAnsi="Century Gothic"/>
                <w:b/>
                <w:sz w:val="20"/>
                <w:szCs w:val="20"/>
              </w:rPr>
            </w:pPr>
          </w:p>
          <w:tbl>
            <w:tblPr>
              <w:tblW w:w="10410" w:type="dxa"/>
              <w:tblCellMar>
                <w:left w:w="70" w:type="dxa"/>
                <w:right w:w="70" w:type="dxa"/>
              </w:tblCellMar>
              <w:tblLook w:val="04A0" w:firstRow="1" w:lastRow="0" w:firstColumn="1" w:lastColumn="0" w:noHBand="0" w:noVBand="1"/>
            </w:tblPr>
            <w:tblGrid>
              <w:gridCol w:w="487"/>
              <w:gridCol w:w="2552"/>
              <w:gridCol w:w="992"/>
              <w:gridCol w:w="1134"/>
              <w:gridCol w:w="1134"/>
              <w:gridCol w:w="1134"/>
              <w:gridCol w:w="1134"/>
              <w:gridCol w:w="1843"/>
            </w:tblGrid>
            <w:tr w:rsidR="00542328" w:rsidRPr="00935C0D" w:rsidTr="00B601A4">
              <w:trPr>
                <w:trHeight w:val="360"/>
              </w:trPr>
              <w:tc>
                <w:tcPr>
                  <w:tcW w:w="487"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Nº</w:t>
                  </w:r>
                </w:p>
              </w:tc>
              <w:tc>
                <w:tcPr>
                  <w:tcW w:w="8080" w:type="dxa"/>
                  <w:gridSpan w:val="6"/>
                  <w:tcBorders>
                    <w:top w:val="single" w:sz="8" w:space="0" w:color="auto"/>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Aspectos cuantitativos</w:t>
                  </w:r>
                </w:p>
              </w:tc>
              <w:tc>
                <w:tcPr>
                  <w:tcW w:w="1843" w:type="dxa"/>
                  <w:tcBorders>
                    <w:top w:val="single" w:sz="8" w:space="0" w:color="auto"/>
                    <w:left w:val="nil"/>
                    <w:bottom w:val="single" w:sz="4" w:space="0" w:color="auto"/>
                    <w:right w:val="single" w:sz="8"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Situaciones encontradas por la OCI</w:t>
                  </w:r>
                </w:p>
              </w:tc>
            </w:tr>
            <w:tr w:rsidR="00542328" w:rsidRPr="00935C0D" w:rsidTr="00542328">
              <w:trPr>
                <w:trHeight w:val="1282"/>
              </w:trPr>
              <w:tc>
                <w:tcPr>
                  <w:tcW w:w="487" w:type="dxa"/>
                  <w:vMerge/>
                  <w:tcBorders>
                    <w:top w:val="single" w:sz="8" w:space="0" w:color="auto"/>
                    <w:left w:val="single" w:sz="8" w:space="0" w:color="auto"/>
                    <w:bottom w:val="single" w:sz="4" w:space="0" w:color="auto"/>
                    <w:right w:val="single" w:sz="4" w:space="0" w:color="auto"/>
                  </w:tcBorders>
                  <w:vAlign w:val="center"/>
                  <w:hideMark/>
                </w:tcPr>
                <w:p w:rsidR="00542328" w:rsidRPr="00935C0D" w:rsidRDefault="00542328" w:rsidP="00542328">
                  <w:pPr>
                    <w:spacing w:after="0"/>
                    <w:rPr>
                      <w:rFonts w:ascii="Century Gothic" w:eastAsia="Times New Roman" w:hAnsi="Century Gothic"/>
                      <w:b/>
                      <w:bCs/>
                      <w:color w:val="000000"/>
                      <w:sz w:val="14"/>
                      <w:szCs w:val="14"/>
                      <w:lang w:val="es-CO" w:eastAsia="es-CO"/>
                    </w:rPr>
                  </w:pPr>
                </w:p>
              </w:tc>
              <w:tc>
                <w:tcPr>
                  <w:tcW w:w="2552"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Concepto</w:t>
                  </w:r>
                </w:p>
              </w:tc>
              <w:tc>
                <w:tcPr>
                  <w:tcW w:w="992"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Cantidad entre enero - diciembre de la vigencia 2015</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 de la cantidad del personal enero - diciembre de la vigencia 2015</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Cantidad entre enero - diciembre de la vigencia 2016</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 de la cantidad del personal enero - diciembre de la vigencia 2016</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 Variación de cantidad entre enero - diciembre de la vigencia 2016 respecto al mismo periodo de la vigencia 2015</w:t>
                  </w:r>
                </w:p>
              </w:tc>
              <w:tc>
                <w:tcPr>
                  <w:tcW w:w="1843" w:type="dxa"/>
                  <w:vMerge w:val="restart"/>
                  <w:tcBorders>
                    <w:top w:val="nil"/>
                    <w:left w:val="single" w:sz="4" w:space="0" w:color="auto"/>
                    <w:bottom w:val="single" w:sz="8" w:space="0" w:color="000000"/>
                    <w:right w:val="single" w:sz="8" w:space="0" w:color="auto"/>
                  </w:tcBorders>
                  <w:shd w:val="clear" w:color="auto" w:fill="auto"/>
                  <w:vAlign w:val="center"/>
                  <w:hideMark/>
                </w:tcPr>
                <w:p w:rsidR="00542328" w:rsidRPr="00935C0D" w:rsidRDefault="00542328" w:rsidP="00542328">
                  <w:pPr>
                    <w:spacing w:after="0"/>
                    <w:jc w:val="both"/>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Se evidencia que la cantidad de contratistas de las áreas estratégicas, misionales y de apoyo es superior al personal de planta</w:t>
                  </w:r>
                  <w:r w:rsidR="003409D7">
                    <w:rPr>
                      <w:rFonts w:ascii="Century Gothic" w:eastAsia="Times New Roman" w:hAnsi="Century Gothic"/>
                      <w:color w:val="000000"/>
                      <w:sz w:val="14"/>
                      <w:szCs w:val="14"/>
                      <w:lang w:val="es-CO" w:eastAsia="es-CO"/>
                    </w:rPr>
                    <w:t>,</w:t>
                  </w:r>
                  <w:r w:rsidRPr="00935C0D">
                    <w:rPr>
                      <w:rFonts w:ascii="Century Gothic" w:eastAsia="Times New Roman" w:hAnsi="Century Gothic"/>
                      <w:color w:val="000000"/>
                      <w:sz w:val="14"/>
                      <w:szCs w:val="14"/>
                      <w:lang w:val="es-CO" w:eastAsia="es-CO"/>
                    </w:rPr>
                    <w:t xml:space="preserve"> para la vigencia 2015 en 60% y para la vigencia 2016 el personal contratado representa 63%.</w:t>
                  </w:r>
                  <w:r w:rsidRPr="00935C0D">
                    <w:rPr>
                      <w:rFonts w:ascii="Century Gothic" w:eastAsia="Times New Roman" w:hAnsi="Century Gothic"/>
                      <w:color w:val="000000"/>
                      <w:sz w:val="14"/>
                      <w:szCs w:val="14"/>
                      <w:lang w:val="es-CO" w:eastAsia="es-CO"/>
                    </w:rPr>
                    <w:br/>
                  </w:r>
                  <w:r w:rsidRPr="00935C0D">
                    <w:rPr>
                      <w:rFonts w:ascii="Century Gothic" w:eastAsia="Times New Roman" w:hAnsi="Century Gothic"/>
                      <w:color w:val="000000"/>
                      <w:sz w:val="14"/>
                      <w:szCs w:val="14"/>
                      <w:lang w:val="es-CO" w:eastAsia="es-CO"/>
                    </w:rPr>
                    <w:br/>
                    <w:t>Respecto al año anterior se observa que el personal contratado se incrementa en 12,87 y el personal de planta en 0,12%.</w:t>
                  </w:r>
                </w:p>
              </w:tc>
            </w:tr>
            <w:tr w:rsidR="00542328" w:rsidRPr="00935C0D" w:rsidTr="00542328">
              <w:trPr>
                <w:trHeight w:val="298"/>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6</w:t>
                  </w:r>
                </w:p>
              </w:tc>
              <w:tc>
                <w:tcPr>
                  <w:tcW w:w="2552"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Total de personal contratado</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1220</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60%</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1377</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63%</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12,87%</w:t>
                  </w:r>
                </w:p>
              </w:tc>
              <w:tc>
                <w:tcPr>
                  <w:tcW w:w="1843" w:type="dxa"/>
                  <w:vMerge/>
                  <w:tcBorders>
                    <w:top w:val="nil"/>
                    <w:left w:val="single" w:sz="4" w:space="0" w:color="auto"/>
                    <w:bottom w:val="single" w:sz="8" w:space="0" w:color="000000"/>
                    <w:right w:val="single" w:sz="8" w:space="0" w:color="auto"/>
                  </w:tcBorders>
                  <w:vAlign w:val="center"/>
                  <w:hideMark/>
                </w:tcPr>
                <w:p w:rsidR="00542328" w:rsidRPr="00935C0D" w:rsidRDefault="00542328" w:rsidP="00542328">
                  <w:pPr>
                    <w:spacing w:after="0"/>
                    <w:rPr>
                      <w:rFonts w:ascii="Century Gothic" w:eastAsia="Times New Roman" w:hAnsi="Century Gothic"/>
                      <w:color w:val="000000"/>
                      <w:sz w:val="14"/>
                      <w:szCs w:val="14"/>
                      <w:lang w:val="es-CO" w:eastAsia="es-CO"/>
                    </w:rPr>
                  </w:pPr>
                </w:p>
              </w:tc>
            </w:tr>
            <w:tr w:rsidR="00542328" w:rsidRPr="00935C0D" w:rsidTr="00542328">
              <w:trPr>
                <w:trHeight w:val="389"/>
              </w:trPr>
              <w:tc>
                <w:tcPr>
                  <w:tcW w:w="487" w:type="dxa"/>
                  <w:tcBorders>
                    <w:top w:val="nil"/>
                    <w:left w:val="single" w:sz="8" w:space="0" w:color="auto"/>
                    <w:bottom w:val="single" w:sz="4"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7</w:t>
                  </w:r>
                </w:p>
              </w:tc>
              <w:tc>
                <w:tcPr>
                  <w:tcW w:w="2552"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Total personal vinculado de planta</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802</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40%</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803</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37%</w:t>
                  </w:r>
                </w:p>
              </w:tc>
              <w:tc>
                <w:tcPr>
                  <w:tcW w:w="1134" w:type="dxa"/>
                  <w:tcBorders>
                    <w:top w:val="nil"/>
                    <w:left w:val="nil"/>
                    <w:bottom w:val="single" w:sz="4" w:space="0" w:color="auto"/>
                    <w:right w:val="single" w:sz="4" w:space="0" w:color="auto"/>
                  </w:tcBorders>
                  <w:shd w:val="clear" w:color="auto" w:fill="auto"/>
                  <w:vAlign w:val="center"/>
                  <w:hideMark/>
                </w:tcPr>
                <w:p w:rsidR="00542328" w:rsidRPr="00935C0D" w:rsidRDefault="00542328" w:rsidP="00542328">
                  <w:pPr>
                    <w:spacing w:after="0"/>
                    <w:jc w:val="right"/>
                    <w:rPr>
                      <w:rFonts w:ascii="Century Gothic" w:eastAsia="Times New Roman" w:hAnsi="Century Gothic"/>
                      <w:color w:val="000000"/>
                      <w:sz w:val="14"/>
                      <w:szCs w:val="14"/>
                      <w:lang w:val="es-CO" w:eastAsia="es-CO"/>
                    </w:rPr>
                  </w:pPr>
                  <w:r w:rsidRPr="00935C0D">
                    <w:rPr>
                      <w:rFonts w:ascii="Century Gothic" w:eastAsia="Times New Roman" w:hAnsi="Century Gothic"/>
                      <w:color w:val="000000"/>
                      <w:sz w:val="14"/>
                      <w:szCs w:val="14"/>
                      <w:lang w:val="es-CO" w:eastAsia="es-CO"/>
                    </w:rPr>
                    <w:t>0,12%</w:t>
                  </w:r>
                </w:p>
              </w:tc>
              <w:tc>
                <w:tcPr>
                  <w:tcW w:w="1843" w:type="dxa"/>
                  <w:vMerge/>
                  <w:tcBorders>
                    <w:top w:val="nil"/>
                    <w:left w:val="single" w:sz="4" w:space="0" w:color="auto"/>
                    <w:bottom w:val="single" w:sz="8" w:space="0" w:color="000000"/>
                    <w:right w:val="single" w:sz="8" w:space="0" w:color="auto"/>
                  </w:tcBorders>
                  <w:vAlign w:val="center"/>
                  <w:hideMark/>
                </w:tcPr>
                <w:p w:rsidR="00542328" w:rsidRPr="00935C0D" w:rsidRDefault="00542328" w:rsidP="00542328">
                  <w:pPr>
                    <w:spacing w:after="0"/>
                    <w:rPr>
                      <w:rFonts w:ascii="Century Gothic" w:eastAsia="Times New Roman" w:hAnsi="Century Gothic"/>
                      <w:color w:val="000000"/>
                      <w:sz w:val="14"/>
                      <w:szCs w:val="14"/>
                      <w:lang w:val="es-CO" w:eastAsia="es-CO"/>
                    </w:rPr>
                  </w:pPr>
                </w:p>
              </w:tc>
            </w:tr>
            <w:tr w:rsidR="00542328" w:rsidRPr="00935C0D" w:rsidTr="00542328">
              <w:trPr>
                <w:trHeight w:val="408"/>
              </w:trPr>
              <w:tc>
                <w:tcPr>
                  <w:tcW w:w="3039"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542328" w:rsidRPr="00935C0D" w:rsidRDefault="00542328" w:rsidP="00542328">
                  <w:pPr>
                    <w:spacing w:after="0"/>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Total Servidores Públicos de la UARIV (Planta + Contratistas)</w:t>
                  </w:r>
                </w:p>
              </w:tc>
              <w:tc>
                <w:tcPr>
                  <w:tcW w:w="992" w:type="dxa"/>
                  <w:tcBorders>
                    <w:top w:val="nil"/>
                    <w:left w:val="nil"/>
                    <w:bottom w:val="single" w:sz="8"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2.022</w:t>
                  </w:r>
                </w:p>
              </w:tc>
              <w:tc>
                <w:tcPr>
                  <w:tcW w:w="1134" w:type="dxa"/>
                  <w:tcBorders>
                    <w:top w:val="nil"/>
                    <w:left w:val="nil"/>
                    <w:bottom w:val="single" w:sz="8"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100%</w:t>
                  </w:r>
                </w:p>
              </w:tc>
              <w:tc>
                <w:tcPr>
                  <w:tcW w:w="1134" w:type="dxa"/>
                  <w:tcBorders>
                    <w:top w:val="nil"/>
                    <w:left w:val="nil"/>
                    <w:bottom w:val="single" w:sz="8"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2.180</w:t>
                  </w:r>
                </w:p>
              </w:tc>
              <w:tc>
                <w:tcPr>
                  <w:tcW w:w="1134" w:type="dxa"/>
                  <w:tcBorders>
                    <w:top w:val="nil"/>
                    <w:left w:val="nil"/>
                    <w:bottom w:val="single" w:sz="8" w:space="0" w:color="auto"/>
                    <w:right w:val="single" w:sz="4" w:space="0" w:color="auto"/>
                  </w:tcBorders>
                  <w:shd w:val="clear" w:color="auto" w:fill="auto"/>
                  <w:noWrap/>
                  <w:vAlign w:val="center"/>
                  <w:hideMark/>
                </w:tcPr>
                <w:p w:rsidR="00542328" w:rsidRPr="00935C0D" w:rsidRDefault="00542328" w:rsidP="00542328">
                  <w:pPr>
                    <w:spacing w:after="0"/>
                    <w:jc w:val="right"/>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100%</w:t>
                  </w:r>
                </w:p>
              </w:tc>
              <w:tc>
                <w:tcPr>
                  <w:tcW w:w="1134" w:type="dxa"/>
                  <w:tcBorders>
                    <w:top w:val="nil"/>
                    <w:left w:val="nil"/>
                    <w:bottom w:val="single" w:sz="8" w:space="0" w:color="auto"/>
                    <w:right w:val="single" w:sz="4" w:space="0" w:color="auto"/>
                  </w:tcBorders>
                  <w:shd w:val="clear" w:color="auto" w:fill="auto"/>
                  <w:vAlign w:val="center"/>
                  <w:hideMark/>
                </w:tcPr>
                <w:p w:rsidR="00542328" w:rsidRPr="00935C0D" w:rsidRDefault="00542328" w:rsidP="00542328">
                  <w:pPr>
                    <w:spacing w:after="0"/>
                    <w:jc w:val="center"/>
                    <w:rPr>
                      <w:rFonts w:ascii="Century Gothic" w:eastAsia="Times New Roman" w:hAnsi="Century Gothic"/>
                      <w:b/>
                      <w:bCs/>
                      <w:color w:val="000000"/>
                      <w:sz w:val="14"/>
                      <w:szCs w:val="14"/>
                      <w:lang w:val="es-CO" w:eastAsia="es-CO"/>
                    </w:rPr>
                  </w:pPr>
                  <w:r w:rsidRPr="00935C0D">
                    <w:rPr>
                      <w:rFonts w:ascii="Century Gothic" w:eastAsia="Times New Roman" w:hAnsi="Century Gothic"/>
                      <w:b/>
                      <w:bCs/>
                      <w:color w:val="000000"/>
                      <w:sz w:val="14"/>
                      <w:szCs w:val="14"/>
                      <w:lang w:val="es-CO" w:eastAsia="es-CO"/>
                    </w:rPr>
                    <w:t>N/A</w:t>
                  </w:r>
                </w:p>
              </w:tc>
              <w:tc>
                <w:tcPr>
                  <w:tcW w:w="1843" w:type="dxa"/>
                  <w:vMerge/>
                  <w:tcBorders>
                    <w:top w:val="nil"/>
                    <w:left w:val="single" w:sz="4" w:space="0" w:color="auto"/>
                    <w:bottom w:val="single" w:sz="8" w:space="0" w:color="000000"/>
                    <w:right w:val="single" w:sz="8" w:space="0" w:color="auto"/>
                  </w:tcBorders>
                  <w:vAlign w:val="center"/>
                  <w:hideMark/>
                </w:tcPr>
                <w:p w:rsidR="00542328" w:rsidRPr="00935C0D" w:rsidRDefault="00542328" w:rsidP="00542328">
                  <w:pPr>
                    <w:spacing w:after="0"/>
                    <w:rPr>
                      <w:rFonts w:ascii="Century Gothic" w:eastAsia="Times New Roman" w:hAnsi="Century Gothic"/>
                      <w:color w:val="000000"/>
                      <w:sz w:val="14"/>
                      <w:szCs w:val="14"/>
                      <w:lang w:val="es-CO" w:eastAsia="es-CO"/>
                    </w:rPr>
                  </w:pPr>
                </w:p>
              </w:tc>
            </w:tr>
          </w:tbl>
          <w:p w:rsidR="00542328" w:rsidRPr="00F577A0" w:rsidRDefault="00542328" w:rsidP="00542328">
            <w:pPr>
              <w:spacing w:after="0"/>
              <w:jc w:val="both"/>
              <w:rPr>
                <w:rFonts w:ascii="Century Gothic" w:hAnsi="Century Gothic"/>
                <w:b/>
                <w:sz w:val="20"/>
                <w:szCs w:val="20"/>
              </w:rPr>
            </w:pPr>
          </w:p>
          <w:p w:rsidR="00542328" w:rsidRPr="00F577A0" w:rsidRDefault="00542328" w:rsidP="00542328">
            <w:pPr>
              <w:pStyle w:val="Prrafodelista"/>
              <w:ind w:left="0"/>
              <w:jc w:val="both"/>
              <w:rPr>
                <w:rFonts w:ascii="Century Gothic" w:hAnsi="Century Gothic"/>
                <w:sz w:val="20"/>
                <w:szCs w:val="20"/>
              </w:rPr>
            </w:pPr>
          </w:p>
          <w:p w:rsidR="00542328" w:rsidRPr="00F577A0" w:rsidRDefault="00542328" w:rsidP="00542328">
            <w:pPr>
              <w:pStyle w:val="Prrafodelista"/>
              <w:numPr>
                <w:ilvl w:val="1"/>
                <w:numId w:val="27"/>
              </w:numPr>
              <w:spacing w:after="0"/>
              <w:jc w:val="both"/>
              <w:rPr>
                <w:rFonts w:ascii="Century Gothic" w:hAnsi="Century Gothic"/>
                <w:b/>
                <w:sz w:val="20"/>
                <w:szCs w:val="20"/>
              </w:rPr>
            </w:pPr>
            <w:r w:rsidRPr="00F577A0">
              <w:rPr>
                <w:rFonts w:ascii="Century Gothic" w:hAnsi="Century Gothic"/>
                <w:b/>
                <w:sz w:val="20"/>
                <w:szCs w:val="20"/>
              </w:rPr>
              <w:t>Otros temas relacionados con personal.</w:t>
            </w:r>
          </w:p>
          <w:p w:rsidR="00542328" w:rsidRPr="00633A77" w:rsidRDefault="00542328" w:rsidP="00542328">
            <w:pPr>
              <w:jc w:val="both"/>
              <w:rPr>
                <w:rFonts w:ascii="Century Gothic" w:hAnsi="Century Gothic"/>
                <w:sz w:val="2"/>
                <w:szCs w:val="20"/>
              </w:rPr>
            </w:pPr>
          </w:p>
          <w:p w:rsidR="00542328" w:rsidRPr="00F577A0" w:rsidRDefault="00542328" w:rsidP="00542328">
            <w:pPr>
              <w:pStyle w:val="Ttulo2"/>
              <w:spacing w:before="200"/>
              <w:jc w:val="both"/>
              <w:rPr>
                <w:rFonts w:ascii="Century Gothic" w:hAnsi="Century Gothic" w:cs="Arial"/>
                <w:color w:val="auto"/>
                <w:sz w:val="20"/>
                <w:szCs w:val="20"/>
                <w:lang w:eastAsia="es-CO"/>
              </w:rPr>
            </w:pPr>
            <w:r w:rsidRPr="00F577A0">
              <w:rPr>
                <w:rFonts w:ascii="Century Gothic" w:hAnsi="Century Gothic" w:cs="Arial"/>
                <w:color w:val="auto"/>
                <w:sz w:val="20"/>
                <w:szCs w:val="20"/>
                <w:lang w:eastAsia="es-CO"/>
              </w:rPr>
              <w:t>Los temas relacionados en la norma como son la certificación de no existencia de personal, v</w:t>
            </w:r>
            <w:r>
              <w:rPr>
                <w:rFonts w:ascii="Century Gothic" w:hAnsi="Century Gothic" w:cs="Arial"/>
                <w:color w:val="auto"/>
                <w:sz w:val="20"/>
                <w:szCs w:val="20"/>
                <w:lang w:eastAsia="es-CO"/>
              </w:rPr>
              <w:t>inculación y desvinculación de p</w:t>
            </w:r>
            <w:r w:rsidRPr="00F577A0">
              <w:rPr>
                <w:rFonts w:ascii="Century Gothic" w:hAnsi="Century Gothic" w:cs="Arial"/>
                <w:color w:val="auto"/>
                <w:sz w:val="20"/>
                <w:szCs w:val="20"/>
                <w:lang w:eastAsia="es-CO"/>
              </w:rPr>
              <w:t xml:space="preserve">ersonal, remuneración servicios técnicos, </w:t>
            </w:r>
            <w:r w:rsidRPr="00F577A0">
              <w:rPr>
                <w:rFonts w:ascii="Century Gothic" w:hAnsi="Century Gothic" w:cs="Arial"/>
                <w:color w:val="auto"/>
                <w:sz w:val="20"/>
                <w:szCs w:val="20"/>
                <w:lang w:val="es-MX" w:eastAsia="es-MX"/>
              </w:rPr>
              <w:t xml:space="preserve">supernumerarios, </w:t>
            </w:r>
            <w:r w:rsidRPr="00F577A0">
              <w:rPr>
                <w:rFonts w:ascii="Century Gothic" w:hAnsi="Century Gothic" w:cs="Arial"/>
                <w:color w:val="auto"/>
                <w:sz w:val="20"/>
                <w:szCs w:val="20"/>
                <w:lang w:eastAsia="es-CO"/>
              </w:rPr>
              <w:t>horas extras y comisiones son temas que se relacionan en</w:t>
            </w:r>
            <w:r>
              <w:rPr>
                <w:rFonts w:ascii="Century Gothic" w:hAnsi="Century Gothic" w:cs="Arial"/>
                <w:color w:val="auto"/>
                <w:sz w:val="20"/>
                <w:szCs w:val="20"/>
                <w:lang w:eastAsia="es-CO"/>
              </w:rPr>
              <w:t xml:space="preserve"> la siguiente tabla en donde el Grupo de Gestión de Talento Humano y Contractual </w:t>
            </w:r>
            <w:r w:rsidRPr="00F577A0">
              <w:rPr>
                <w:rFonts w:ascii="Century Gothic" w:hAnsi="Century Gothic" w:cs="Arial"/>
                <w:color w:val="auto"/>
                <w:sz w:val="20"/>
                <w:szCs w:val="20"/>
                <w:lang w:eastAsia="es-CO"/>
              </w:rPr>
              <w:t>manifiesta que se cumple con la normatividad.</w:t>
            </w:r>
          </w:p>
          <w:p w:rsidR="00542328" w:rsidRDefault="00542328" w:rsidP="00542328">
            <w:pPr>
              <w:rPr>
                <w:rFonts w:ascii="Century Gothic" w:hAnsi="Century Gothic"/>
                <w:sz w:val="20"/>
                <w:szCs w:val="20"/>
                <w:lang w:eastAsia="es-CO"/>
              </w:rPr>
            </w:pPr>
          </w:p>
          <w:p w:rsidR="003409D7" w:rsidRDefault="003409D7" w:rsidP="00542328">
            <w:pPr>
              <w:rPr>
                <w:rFonts w:ascii="Century Gothic" w:hAnsi="Century Gothic"/>
                <w:sz w:val="20"/>
                <w:szCs w:val="20"/>
                <w:lang w:eastAsia="es-CO"/>
              </w:rPr>
            </w:pPr>
          </w:p>
          <w:p w:rsidR="003409D7" w:rsidRDefault="003409D7" w:rsidP="00542328">
            <w:pPr>
              <w:rPr>
                <w:rFonts w:ascii="Century Gothic" w:hAnsi="Century Gothic"/>
                <w:sz w:val="20"/>
                <w:szCs w:val="20"/>
                <w:lang w:eastAsia="es-CO"/>
              </w:rPr>
            </w:pPr>
          </w:p>
          <w:p w:rsidR="003409D7" w:rsidRDefault="003409D7" w:rsidP="00542328">
            <w:pPr>
              <w:rPr>
                <w:rFonts w:ascii="Century Gothic" w:hAnsi="Century Gothic"/>
                <w:sz w:val="20"/>
                <w:szCs w:val="20"/>
                <w:lang w:eastAsia="es-CO"/>
              </w:rPr>
            </w:pPr>
          </w:p>
          <w:p w:rsidR="003409D7" w:rsidRDefault="003409D7" w:rsidP="00542328">
            <w:pPr>
              <w:rPr>
                <w:rFonts w:ascii="Century Gothic" w:hAnsi="Century Gothic"/>
                <w:sz w:val="20"/>
                <w:szCs w:val="20"/>
                <w:lang w:eastAsia="es-CO"/>
              </w:rPr>
            </w:pPr>
          </w:p>
          <w:p w:rsidR="003409D7" w:rsidRDefault="003409D7" w:rsidP="00542328">
            <w:pPr>
              <w:rPr>
                <w:rFonts w:ascii="Century Gothic" w:hAnsi="Century Gothic"/>
                <w:sz w:val="20"/>
                <w:szCs w:val="20"/>
                <w:lang w:eastAsia="es-CO"/>
              </w:rPr>
            </w:pPr>
          </w:p>
          <w:p w:rsidR="003409D7" w:rsidRPr="00F577A0" w:rsidRDefault="003409D7" w:rsidP="00542328">
            <w:pPr>
              <w:rPr>
                <w:rFonts w:ascii="Century Gothic" w:hAnsi="Century Gothic"/>
                <w:sz w:val="20"/>
                <w:szCs w:val="20"/>
                <w:lang w:eastAsia="es-CO"/>
              </w:rPr>
            </w:pPr>
          </w:p>
          <w:p w:rsidR="00542328" w:rsidRPr="00F577A0" w:rsidRDefault="00542328" w:rsidP="00542328">
            <w:pPr>
              <w:pStyle w:val="Prrafodelista"/>
              <w:numPr>
                <w:ilvl w:val="2"/>
                <w:numId w:val="27"/>
              </w:numPr>
              <w:spacing w:after="0"/>
              <w:jc w:val="both"/>
              <w:rPr>
                <w:rFonts w:ascii="Century Gothic" w:hAnsi="Century Gothic"/>
                <w:b/>
                <w:sz w:val="20"/>
                <w:szCs w:val="20"/>
              </w:rPr>
            </w:pPr>
            <w:r w:rsidRPr="00F577A0">
              <w:rPr>
                <w:rFonts w:ascii="Century Gothic" w:hAnsi="Century Gothic"/>
                <w:b/>
                <w:sz w:val="20"/>
                <w:szCs w:val="20"/>
              </w:rPr>
              <w:t>Talento Humano.</w:t>
            </w:r>
          </w:p>
          <w:p w:rsidR="00542328" w:rsidRPr="00F577A0" w:rsidRDefault="00542328" w:rsidP="00542328">
            <w:pPr>
              <w:rPr>
                <w:rFonts w:ascii="Century Gothic" w:hAnsi="Century Gothic"/>
                <w:sz w:val="20"/>
                <w:szCs w:val="20"/>
                <w:lang w:eastAsia="es-CO"/>
              </w:rPr>
            </w:pPr>
          </w:p>
          <w:p w:rsidR="00542328" w:rsidRDefault="00542328" w:rsidP="00542328">
            <w:pPr>
              <w:rPr>
                <w:rFonts w:ascii="Century Gothic" w:hAnsi="Century Gothic"/>
                <w:sz w:val="20"/>
                <w:szCs w:val="20"/>
                <w:lang w:eastAsia="es-CO"/>
              </w:rPr>
            </w:pPr>
            <w:r w:rsidRPr="00F577A0">
              <w:rPr>
                <w:rFonts w:ascii="Century Gothic" w:hAnsi="Century Gothic"/>
                <w:noProof/>
                <w:sz w:val="20"/>
                <w:szCs w:val="20"/>
                <w:lang w:val="es-CO" w:eastAsia="es-CO"/>
              </w:rPr>
              <w:drawing>
                <wp:inline distT="0" distB="0" distL="0" distR="0" wp14:anchorId="108091D6" wp14:editId="2F678015">
                  <wp:extent cx="6516806" cy="23685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21931" cy="2370413"/>
                          </a:xfrm>
                          <a:prstGeom prst="rect">
                            <a:avLst/>
                          </a:prstGeom>
                          <a:noFill/>
                          <a:ln>
                            <a:noFill/>
                          </a:ln>
                        </pic:spPr>
                      </pic:pic>
                    </a:graphicData>
                  </a:graphic>
                </wp:inline>
              </w:drawing>
            </w:r>
          </w:p>
          <w:p w:rsidR="00542328" w:rsidRPr="00F577A0" w:rsidRDefault="00542328" w:rsidP="00542328">
            <w:pPr>
              <w:jc w:val="both"/>
              <w:rPr>
                <w:rFonts w:ascii="Century Gothic" w:hAnsi="Century Gothic"/>
                <w:sz w:val="20"/>
                <w:szCs w:val="20"/>
              </w:rPr>
            </w:pPr>
          </w:p>
          <w:p w:rsidR="00542328" w:rsidRPr="00AE1D7B" w:rsidRDefault="00542328" w:rsidP="00542328">
            <w:pPr>
              <w:pStyle w:val="Prrafodelista"/>
              <w:numPr>
                <w:ilvl w:val="2"/>
                <w:numId w:val="27"/>
              </w:numPr>
              <w:rPr>
                <w:rFonts w:ascii="Century Gothic" w:hAnsi="Century Gothic"/>
                <w:b/>
                <w:sz w:val="20"/>
                <w:szCs w:val="20"/>
                <w:lang w:eastAsia="es-CO"/>
              </w:rPr>
            </w:pPr>
            <w:r>
              <w:rPr>
                <w:rFonts w:ascii="Century Gothic" w:hAnsi="Century Gothic"/>
                <w:b/>
                <w:sz w:val="20"/>
                <w:szCs w:val="20"/>
                <w:lang w:eastAsia="es-CO"/>
              </w:rPr>
              <w:t>Contratos</w:t>
            </w:r>
          </w:p>
          <w:p w:rsidR="00542328" w:rsidRDefault="00542328" w:rsidP="00542328">
            <w:pPr>
              <w:rPr>
                <w:rFonts w:ascii="Century Gothic" w:hAnsi="Century Gothic"/>
                <w:b/>
                <w:sz w:val="20"/>
                <w:szCs w:val="20"/>
                <w:lang w:val="es-CO" w:eastAsia="es-CO"/>
              </w:rPr>
            </w:pPr>
            <w:r w:rsidRPr="000F4E92">
              <w:rPr>
                <w:rFonts w:ascii="Century Gothic" w:hAnsi="Century Gothic"/>
                <w:b/>
                <w:noProof/>
                <w:sz w:val="20"/>
                <w:szCs w:val="20"/>
                <w:lang w:val="es-CO" w:eastAsia="es-CO"/>
              </w:rPr>
              <w:drawing>
                <wp:inline distT="0" distB="0" distL="0" distR="0" wp14:anchorId="30A96817" wp14:editId="6E0B189D">
                  <wp:extent cx="6656705" cy="2077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6705" cy="2077720"/>
                          </a:xfrm>
                          <a:prstGeom prst="rect">
                            <a:avLst/>
                          </a:prstGeom>
                          <a:noFill/>
                          <a:ln>
                            <a:noFill/>
                          </a:ln>
                        </pic:spPr>
                      </pic:pic>
                    </a:graphicData>
                  </a:graphic>
                </wp:inline>
              </w:drawing>
            </w:r>
          </w:p>
          <w:p w:rsidR="00542328" w:rsidRPr="00633A77" w:rsidRDefault="00542328" w:rsidP="00542328">
            <w:pPr>
              <w:rPr>
                <w:rFonts w:ascii="Century Gothic" w:hAnsi="Century Gothic"/>
                <w:b/>
                <w:sz w:val="4"/>
                <w:szCs w:val="20"/>
                <w:lang w:val="es-CO" w:eastAsia="es-CO"/>
              </w:rPr>
            </w:pPr>
          </w:p>
          <w:p w:rsidR="00542328" w:rsidRPr="00F577A0" w:rsidRDefault="00542328" w:rsidP="00542328">
            <w:pPr>
              <w:pStyle w:val="Prrafodelista"/>
              <w:numPr>
                <w:ilvl w:val="1"/>
                <w:numId w:val="27"/>
              </w:numPr>
              <w:rPr>
                <w:rFonts w:ascii="Century Gothic" w:hAnsi="Century Gothic"/>
                <w:b/>
                <w:sz w:val="20"/>
                <w:szCs w:val="20"/>
                <w:lang w:eastAsia="es-CO"/>
              </w:rPr>
            </w:pPr>
            <w:r>
              <w:rPr>
                <w:rFonts w:ascii="Century Gothic" w:hAnsi="Century Gothic"/>
                <w:b/>
                <w:sz w:val="20"/>
                <w:szCs w:val="20"/>
                <w:lang w:eastAsia="es-CO"/>
              </w:rPr>
              <w:t xml:space="preserve"> </w:t>
            </w:r>
            <w:r w:rsidRPr="00F577A0">
              <w:rPr>
                <w:rFonts w:ascii="Century Gothic" w:hAnsi="Century Gothic"/>
                <w:b/>
                <w:sz w:val="20"/>
                <w:szCs w:val="20"/>
                <w:lang w:eastAsia="es-CO"/>
              </w:rPr>
              <w:t xml:space="preserve">Tiquetes comisiones al exterior. </w:t>
            </w:r>
          </w:p>
          <w:p w:rsidR="00542328" w:rsidRDefault="00542328" w:rsidP="00542328">
            <w:pPr>
              <w:jc w:val="both"/>
              <w:rPr>
                <w:rFonts w:ascii="Century Gothic" w:hAnsi="Century Gothic"/>
                <w:sz w:val="20"/>
                <w:szCs w:val="20"/>
                <w:lang w:val="es-MX" w:eastAsia="es-MX"/>
              </w:rPr>
            </w:pPr>
            <w:r w:rsidRPr="00F577A0">
              <w:rPr>
                <w:rFonts w:ascii="Century Gothic" w:hAnsi="Century Gothic"/>
                <w:sz w:val="20"/>
                <w:szCs w:val="20"/>
                <w:lang w:val="es-MX" w:eastAsia="es-MX"/>
              </w:rPr>
              <w:t xml:space="preserve">En el siguiente cuadro se relaciona los tiquetes para el exterior dando cumplimiento al Art. 1 del Decreto 2890 de 2005; </w:t>
            </w:r>
            <w:r w:rsidRPr="00F577A0">
              <w:rPr>
                <w:rFonts w:ascii="Century Gothic" w:hAnsi="Century Gothic" w:cs="Arial"/>
                <w:color w:val="000000"/>
                <w:sz w:val="20"/>
                <w:szCs w:val="20"/>
                <w:shd w:val="clear" w:color="auto" w:fill="FFFFFF"/>
              </w:rPr>
              <w:t>a los comisionados al exterior se les podrá suministrar pasajes aéreos, marítimos o terrestres solo en clase económica.</w:t>
            </w:r>
            <w:r w:rsidRPr="00F577A0">
              <w:rPr>
                <w:rFonts w:ascii="Century Gothic" w:hAnsi="Century Gothic"/>
                <w:sz w:val="20"/>
                <w:szCs w:val="20"/>
                <w:lang w:val="es-MX" w:eastAsia="es-MX"/>
              </w:rPr>
              <w:t xml:space="preserve"> </w:t>
            </w:r>
          </w:p>
          <w:p w:rsidR="003409D7" w:rsidRDefault="003409D7" w:rsidP="00542328">
            <w:pPr>
              <w:jc w:val="both"/>
              <w:rPr>
                <w:rFonts w:ascii="Century Gothic" w:hAnsi="Century Gothic"/>
                <w:sz w:val="20"/>
                <w:szCs w:val="20"/>
                <w:lang w:val="es-MX" w:eastAsia="es-MX"/>
              </w:rPr>
            </w:pPr>
          </w:p>
          <w:p w:rsidR="003409D7" w:rsidRDefault="003409D7" w:rsidP="00542328">
            <w:pPr>
              <w:jc w:val="both"/>
              <w:rPr>
                <w:rFonts w:ascii="Century Gothic" w:hAnsi="Century Gothic"/>
                <w:sz w:val="20"/>
                <w:szCs w:val="20"/>
                <w:lang w:val="es-MX" w:eastAsia="es-MX"/>
              </w:rPr>
            </w:pPr>
          </w:p>
          <w:p w:rsidR="003409D7" w:rsidRPr="00542328" w:rsidRDefault="003409D7" w:rsidP="00542328">
            <w:pPr>
              <w:jc w:val="both"/>
              <w:rPr>
                <w:rFonts w:ascii="Century Gothic" w:hAnsi="Century Gothic"/>
                <w:sz w:val="20"/>
                <w:szCs w:val="20"/>
                <w:lang w:val="es-MX" w:eastAsia="es-MX"/>
              </w:rPr>
            </w:pPr>
          </w:p>
          <w:tbl>
            <w:tblPr>
              <w:tblW w:w="10410" w:type="dxa"/>
              <w:tblCellMar>
                <w:left w:w="70" w:type="dxa"/>
                <w:right w:w="70" w:type="dxa"/>
              </w:tblCellMar>
              <w:tblLook w:val="04A0" w:firstRow="1" w:lastRow="0" w:firstColumn="1" w:lastColumn="0" w:noHBand="0" w:noVBand="1"/>
            </w:tblPr>
            <w:tblGrid>
              <w:gridCol w:w="1190"/>
              <w:gridCol w:w="983"/>
              <w:gridCol w:w="1129"/>
              <w:gridCol w:w="1271"/>
              <w:gridCol w:w="987"/>
              <w:gridCol w:w="1265"/>
              <w:gridCol w:w="3585"/>
            </w:tblGrid>
            <w:tr w:rsidR="00542328" w:rsidRPr="00542328" w:rsidTr="00B601A4">
              <w:trPr>
                <w:trHeight w:val="330"/>
              </w:trPr>
              <w:tc>
                <w:tcPr>
                  <w:tcW w:w="10410"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lastRenderedPageBreak/>
                    <w:t>En el cumplimiento del Art. 1 del Decreto 2890 de 2005 - TIQUETES EN EL EXTERIOR del 1 octubre - 31 diciembre del 2016</w:t>
                  </w:r>
                </w:p>
              </w:tc>
            </w:tr>
            <w:tr w:rsidR="00542328" w:rsidRPr="00542328" w:rsidTr="00B601A4">
              <w:trPr>
                <w:trHeight w:val="600"/>
              </w:trPr>
              <w:tc>
                <w:tcPr>
                  <w:tcW w:w="1190" w:type="dxa"/>
                  <w:tcBorders>
                    <w:top w:val="nil"/>
                    <w:left w:val="single" w:sz="8" w:space="0" w:color="auto"/>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FECHA DE EMISIÓN</w:t>
                  </w:r>
                </w:p>
              </w:tc>
              <w:tc>
                <w:tcPr>
                  <w:tcW w:w="983"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NOMBRE</w:t>
                  </w:r>
                </w:p>
              </w:tc>
              <w:tc>
                <w:tcPr>
                  <w:tcW w:w="112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Nº DE TIQUETE</w:t>
                  </w:r>
                </w:p>
              </w:tc>
              <w:tc>
                <w:tcPr>
                  <w:tcW w:w="1271"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CLASE</w:t>
                  </w:r>
                </w:p>
              </w:tc>
              <w:tc>
                <w:tcPr>
                  <w:tcW w:w="98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RUTA</w:t>
                  </w:r>
                </w:p>
              </w:tc>
              <w:tc>
                <w:tcPr>
                  <w:tcW w:w="126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VALOR</w:t>
                  </w:r>
                </w:p>
              </w:tc>
              <w:tc>
                <w:tcPr>
                  <w:tcW w:w="3585" w:type="dxa"/>
                  <w:tcBorders>
                    <w:top w:val="nil"/>
                    <w:left w:val="nil"/>
                    <w:bottom w:val="single" w:sz="4" w:space="0" w:color="auto"/>
                    <w:right w:val="single" w:sz="8"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Situaciones encontradas por la OCI</w:t>
                  </w:r>
                </w:p>
              </w:tc>
            </w:tr>
            <w:tr w:rsidR="00542328" w:rsidRPr="00542328" w:rsidTr="00B601A4">
              <w:trPr>
                <w:trHeight w:val="961"/>
              </w:trPr>
              <w:tc>
                <w:tcPr>
                  <w:tcW w:w="1190" w:type="dxa"/>
                  <w:tcBorders>
                    <w:top w:val="nil"/>
                    <w:left w:val="single" w:sz="8" w:space="0" w:color="auto"/>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15/10/20116</w:t>
                  </w:r>
                </w:p>
              </w:tc>
              <w:tc>
                <w:tcPr>
                  <w:tcW w:w="983"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Claudia Viviana Ferro Buitrago</w:t>
                  </w:r>
                </w:p>
              </w:tc>
              <w:tc>
                <w:tcPr>
                  <w:tcW w:w="112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Billete electrónico IB 075-1018957621</w:t>
                  </w:r>
                </w:p>
              </w:tc>
              <w:tc>
                <w:tcPr>
                  <w:tcW w:w="1271"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ECONÓMICA</w:t>
                  </w:r>
                </w:p>
              </w:tc>
              <w:tc>
                <w:tcPr>
                  <w:tcW w:w="98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BOGOTÁ-MADRID-GINEBRA-MADRID-BOGOTÁ</w:t>
                  </w:r>
                </w:p>
              </w:tc>
              <w:tc>
                <w:tcPr>
                  <w:tcW w:w="126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right"/>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$12.360.600</w:t>
                  </w:r>
                </w:p>
              </w:tc>
              <w:tc>
                <w:tcPr>
                  <w:tcW w:w="3585" w:type="dxa"/>
                  <w:vMerge w:val="restart"/>
                  <w:tcBorders>
                    <w:top w:val="nil"/>
                    <w:left w:val="single" w:sz="4" w:space="0" w:color="auto"/>
                    <w:bottom w:val="single" w:sz="8" w:space="0" w:color="000000"/>
                    <w:right w:val="single" w:sz="8" w:space="0" w:color="auto"/>
                  </w:tcBorders>
                  <w:shd w:val="clear" w:color="auto" w:fill="auto"/>
                  <w:vAlign w:val="center"/>
                  <w:hideMark/>
                </w:tcPr>
                <w:p w:rsidR="00542328" w:rsidRPr="00542328" w:rsidRDefault="00542328" w:rsidP="00542328">
                  <w:pPr>
                    <w:spacing w:after="0"/>
                    <w:jc w:val="both"/>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Para el cuarto trimestre de 2016, se presenta dos comisiones p</w:t>
                  </w:r>
                  <w:r w:rsidR="003409D7">
                    <w:rPr>
                      <w:rFonts w:ascii="Century Gothic" w:eastAsia="Times New Roman" w:hAnsi="Century Gothic"/>
                      <w:color w:val="000000"/>
                      <w:sz w:val="14"/>
                      <w:szCs w:val="16"/>
                      <w:lang w:val="es-CO" w:eastAsia="es-CO"/>
                    </w:rPr>
                    <w:t>ara el exterior utilizado por</w:t>
                  </w:r>
                  <w:r w:rsidRPr="00542328">
                    <w:rPr>
                      <w:rFonts w:ascii="Century Gothic" w:eastAsia="Times New Roman" w:hAnsi="Century Gothic"/>
                      <w:color w:val="000000"/>
                      <w:sz w:val="14"/>
                      <w:szCs w:val="16"/>
                      <w:lang w:val="es-CO" w:eastAsia="es-CO"/>
                    </w:rPr>
                    <w:t xml:space="preserve"> CLAUDIA VIVIANA FERRO BUITRAGO con las rutas Bogotá - BOGOTÁ-MADRID-GINEBRA-MADRID-BOGOTÁ y BOGOTÁ -QUITO-BOGOTÁ para representar al estado colombiano durante la sustentación del VII informe de Colombia al Comité de Derechos Humanos sobre el Pacto Internacional de Derechos Civiles y Políticos. Y para la brigada de Socialización ley 1448 de 2011y atención de víctimas que se encuentren en Quito - Ecuador. Lo anterior cumple con la norma, debido a que los tiquetes al exterior son de clase económica.</w:t>
                  </w:r>
                </w:p>
              </w:tc>
            </w:tr>
            <w:tr w:rsidR="00542328" w:rsidRPr="00542328" w:rsidTr="00B601A4">
              <w:trPr>
                <w:trHeight w:val="1376"/>
              </w:trPr>
              <w:tc>
                <w:tcPr>
                  <w:tcW w:w="1190" w:type="dxa"/>
                  <w:tcBorders>
                    <w:top w:val="nil"/>
                    <w:left w:val="single" w:sz="8" w:space="0" w:color="auto"/>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12/12/2016</w:t>
                  </w:r>
                </w:p>
              </w:tc>
              <w:tc>
                <w:tcPr>
                  <w:tcW w:w="983"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Claudia Viviana Ferro Buitrago</w:t>
                  </w:r>
                </w:p>
              </w:tc>
              <w:tc>
                <w:tcPr>
                  <w:tcW w:w="112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Billete electrónico AV 134-1153346895</w:t>
                  </w:r>
                </w:p>
              </w:tc>
              <w:tc>
                <w:tcPr>
                  <w:tcW w:w="1271"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ECONÓMICA</w:t>
                  </w:r>
                </w:p>
              </w:tc>
              <w:tc>
                <w:tcPr>
                  <w:tcW w:w="987"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BOGOTÁ -QUITO-BOGOTÁ</w:t>
                  </w:r>
                </w:p>
              </w:tc>
              <w:tc>
                <w:tcPr>
                  <w:tcW w:w="126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right"/>
                    <w:rPr>
                      <w:rFonts w:ascii="Century Gothic" w:eastAsia="Times New Roman" w:hAnsi="Century Gothic"/>
                      <w:color w:val="000000"/>
                      <w:sz w:val="14"/>
                      <w:szCs w:val="16"/>
                      <w:lang w:val="es-CO" w:eastAsia="es-CO"/>
                    </w:rPr>
                  </w:pPr>
                  <w:r w:rsidRPr="00542328">
                    <w:rPr>
                      <w:rFonts w:ascii="Century Gothic" w:eastAsia="Times New Roman" w:hAnsi="Century Gothic"/>
                      <w:color w:val="000000"/>
                      <w:sz w:val="14"/>
                      <w:szCs w:val="16"/>
                      <w:lang w:val="es-CO" w:eastAsia="es-CO"/>
                    </w:rPr>
                    <w:t>$1.617.940</w:t>
                  </w:r>
                </w:p>
              </w:tc>
              <w:tc>
                <w:tcPr>
                  <w:tcW w:w="3585" w:type="dxa"/>
                  <w:vMerge/>
                  <w:tcBorders>
                    <w:top w:val="nil"/>
                    <w:left w:val="single" w:sz="4" w:space="0" w:color="auto"/>
                    <w:bottom w:val="single" w:sz="8" w:space="0" w:color="000000"/>
                    <w:right w:val="single" w:sz="8"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p>
              </w:tc>
            </w:tr>
            <w:tr w:rsidR="00542328" w:rsidRPr="00542328" w:rsidTr="00B601A4">
              <w:trPr>
                <w:trHeight w:val="404"/>
              </w:trPr>
              <w:tc>
                <w:tcPr>
                  <w:tcW w:w="5560" w:type="dxa"/>
                  <w:gridSpan w:val="5"/>
                  <w:tcBorders>
                    <w:top w:val="single" w:sz="4" w:space="0" w:color="auto"/>
                    <w:left w:val="single" w:sz="8" w:space="0" w:color="auto"/>
                    <w:bottom w:val="single" w:sz="8" w:space="0" w:color="auto"/>
                    <w:right w:val="single" w:sz="4" w:space="0" w:color="auto"/>
                  </w:tcBorders>
                  <w:shd w:val="clear" w:color="auto" w:fill="auto"/>
                  <w:vAlign w:val="center"/>
                  <w:hideMark/>
                </w:tcPr>
                <w:p w:rsidR="00542328" w:rsidRPr="00542328" w:rsidRDefault="00542328" w:rsidP="00542328">
                  <w:pPr>
                    <w:spacing w:after="0"/>
                    <w:jc w:val="right"/>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Total de tiquetes $</w:t>
                  </w:r>
                </w:p>
              </w:tc>
              <w:tc>
                <w:tcPr>
                  <w:tcW w:w="1265" w:type="dxa"/>
                  <w:tcBorders>
                    <w:top w:val="nil"/>
                    <w:left w:val="nil"/>
                    <w:bottom w:val="single" w:sz="8" w:space="0" w:color="auto"/>
                    <w:right w:val="single" w:sz="4" w:space="0" w:color="auto"/>
                  </w:tcBorders>
                  <w:shd w:val="clear" w:color="auto" w:fill="auto"/>
                  <w:vAlign w:val="center"/>
                  <w:hideMark/>
                </w:tcPr>
                <w:p w:rsidR="00542328" w:rsidRPr="00542328" w:rsidRDefault="00542328" w:rsidP="00542328">
                  <w:pPr>
                    <w:spacing w:after="0"/>
                    <w:jc w:val="right"/>
                    <w:rPr>
                      <w:rFonts w:ascii="Century Gothic" w:eastAsia="Times New Roman" w:hAnsi="Century Gothic"/>
                      <w:b/>
                      <w:bCs/>
                      <w:color w:val="000000"/>
                      <w:sz w:val="14"/>
                      <w:szCs w:val="16"/>
                      <w:lang w:val="es-CO" w:eastAsia="es-CO"/>
                    </w:rPr>
                  </w:pPr>
                  <w:r w:rsidRPr="00542328">
                    <w:rPr>
                      <w:rFonts w:ascii="Century Gothic" w:eastAsia="Times New Roman" w:hAnsi="Century Gothic"/>
                      <w:b/>
                      <w:bCs/>
                      <w:color w:val="000000"/>
                      <w:sz w:val="14"/>
                      <w:szCs w:val="16"/>
                      <w:lang w:val="es-CO" w:eastAsia="es-CO"/>
                    </w:rPr>
                    <w:t>$13.978.540,00</w:t>
                  </w:r>
                </w:p>
              </w:tc>
              <w:tc>
                <w:tcPr>
                  <w:tcW w:w="3585" w:type="dxa"/>
                  <w:vMerge/>
                  <w:tcBorders>
                    <w:top w:val="nil"/>
                    <w:left w:val="single" w:sz="4" w:space="0" w:color="auto"/>
                    <w:bottom w:val="single" w:sz="8" w:space="0" w:color="000000"/>
                    <w:right w:val="single" w:sz="8"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6"/>
                      <w:lang w:val="es-CO" w:eastAsia="es-CO"/>
                    </w:rPr>
                  </w:pPr>
                </w:p>
              </w:tc>
            </w:tr>
          </w:tbl>
          <w:p w:rsidR="00542328" w:rsidRDefault="00542328" w:rsidP="00542328">
            <w:pPr>
              <w:jc w:val="both"/>
              <w:rPr>
                <w:rFonts w:ascii="Century Gothic" w:hAnsi="Century Gothic"/>
                <w:sz w:val="20"/>
                <w:szCs w:val="20"/>
              </w:rPr>
            </w:pPr>
          </w:p>
          <w:p w:rsidR="00542328" w:rsidRPr="00BF17DA" w:rsidRDefault="00542328" w:rsidP="00542328">
            <w:pPr>
              <w:pStyle w:val="Ttulo1"/>
              <w:keepLines/>
              <w:numPr>
                <w:ilvl w:val="0"/>
                <w:numId w:val="27"/>
              </w:numPr>
              <w:spacing w:before="480"/>
              <w:jc w:val="left"/>
              <w:rPr>
                <w:rFonts w:ascii="Century Gothic" w:hAnsi="Century Gothic"/>
                <w:sz w:val="20"/>
                <w:szCs w:val="20"/>
              </w:rPr>
            </w:pPr>
            <w:r>
              <w:rPr>
                <w:rFonts w:ascii="Century Gothic" w:hAnsi="Century Gothic"/>
                <w:sz w:val="20"/>
                <w:szCs w:val="20"/>
              </w:rPr>
              <w:t>PUBLICIDAD Y PUBLICACIONES</w:t>
            </w:r>
          </w:p>
          <w:p w:rsidR="00542328" w:rsidRPr="00633A77" w:rsidRDefault="00542328" w:rsidP="00542328">
            <w:pPr>
              <w:rPr>
                <w:rFonts w:ascii="Century Gothic" w:hAnsi="Century Gothic"/>
                <w:sz w:val="4"/>
                <w:szCs w:val="20"/>
              </w:rPr>
            </w:pPr>
          </w:p>
          <w:p w:rsidR="00542328" w:rsidRDefault="00542328" w:rsidP="00542328">
            <w:pPr>
              <w:pStyle w:val="NormalWeb"/>
              <w:spacing w:before="0" w:beforeAutospacing="0" w:after="0" w:afterAutospacing="0"/>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capítulo III del Decreto de Austeridad (Decreto 1737 de 199</w:t>
            </w:r>
            <w:r>
              <w:rPr>
                <w:rFonts w:ascii="Century Gothic" w:hAnsi="Century Gothic" w:cs="Arial"/>
                <w:sz w:val="20"/>
                <w:szCs w:val="20"/>
                <w:lang w:val="es-CO" w:eastAsia="es-CO"/>
              </w:rPr>
              <w:t>8) y Art. 13 del capítulo IV,</w:t>
            </w:r>
            <w:r w:rsidRPr="00BF17DA">
              <w:rPr>
                <w:rFonts w:ascii="Century Gothic" w:hAnsi="Century Gothic" w:cs="Arial"/>
                <w:sz w:val="20"/>
                <w:szCs w:val="20"/>
                <w:lang w:val="es-CO" w:eastAsia="es-CO"/>
              </w:rPr>
              <w:t xml:space="preserve"> se realizaron pagos en el trimestre de </w:t>
            </w:r>
            <w:r w:rsidRPr="00816186">
              <w:rPr>
                <w:rFonts w:ascii="Century Gothic" w:hAnsi="Century Gothic" w:cs="Arial"/>
                <w:sz w:val="20"/>
                <w:szCs w:val="20"/>
                <w:lang w:val="es-CO" w:eastAsia="es-CO"/>
              </w:rPr>
              <w:t>octubre</w:t>
            </w:r>
            <w:r w:rsidRPr="006C3A9C">
              <w:rPr>
                <w:rFonts w:ascii="Century Gothic" w:hAnsi="Century Gothic" w:cs="Arial"/>
                <w:sz w:val="20"/>
                <w:szCs w:val="20"/>
                <w:lang w:val="es-CO" w:eastAsia="es-CO"/>
              </w:rPr>
              <w:t xml:space="preserve"> - diciembre</w:t>
            </w:r>
            <w:r w:rsidRPr="006C3A9C">
              <w:rPr>
                <w:rFonts w:ascii="Century Gothic" w:hAnsi="Century Gothic"/>
                <w:b/>
                <w:bCs/>
                <w:color w:val="000000"/>
                <w:sz w:val="16"/>
                <w:szCs w:val="16"/>
                <w:lang w:val="es-CO" w:eastAsia="es-CO"/>
              </w:rPr>
              <w:t xml:space="preserve"> </w:t>
            </w:r>
            <w:r>
              <w:rPr>
                <w:rFonts w:ascii="Century Gothic" w:hAnsi="Century Gothic" w:cs="Arial"/>
                <w:sz w:val="20"/>
                <w:szCs w:val="20"/>
                <w:lang w:val="es-CO" w:eastAsia="es-CO"/>
              </w:rPr>
              <w:t xml:space="preserve">2015 y 2016, </w:t>
            </w:r>
            <w:r w:rsidRPr="00BF17DA">
              <w:rPr>
                <w:rFonts w:ascii="Century Gothic" w:hAnsi="Century Gothic" w:cs="Arial"/>
                <w:sz w:val="20"/>
                <w:szCs w:val="20"/>
                <w:lang w:val="es-CO" w:eastAsia="es-CO"/>
              </w:rPr>
              <w:t>como s</w:t>
            </w:r>
            <w:r>
              <w:rPr>
                <w:rFonts w:ascii="Century Gothic" w:hAnsi="Century Gothic" w:cs="Arial"/>
                <w:sz w:val="20"/>
                <w:szCs w:val="20"/>
                <w:lang w:val="es-CO" w:eastAsia="es-CO"/>
              </w:rPr>
              <w:t xml:space="preserve">e observa en el siguiente cuadro: </w:t>
            </w:r>
          </w:p>
          <w:p w:rsidR="00542328" w:rsidRDefault="00542328" w:rsidP="00542328">
            <w:pPr>
              <w:pStyle w:val="NormalWeb"/>
              <w:spacing w:before="0" w:beforeAutospacing="0" w:after="0" w:afterAutospacing="0"/>
              <w:jc w:val="both"/>
              <w:rPr>
                <w:rFonts w:ascii="Century Gothic" w:hAnsi="Century Gothic" w:cs="Arial"/>
                <w:sz w:val="20"/>
                <w:szCs w:val="20"/>
                <w:lang w:val="es-CO" w:eastAsia="es-CO"/>
              </w:rPr>
            </w:pPr>
          </w:p>
          <w:tbl>
            <w:tblPr>
              <w:tblW w:w="10410" w:type="dxa"/>
              <w:tblCellMar>
                <w:left w:w="70" w:type="dxa"/>
                <w:right w:w="70" w:type="dxa"/>
              </w:tblCellMar>
              <w:tblLook w:val="04A0" w:firstRow="1" w:lastRow="0" w:firstColumn="1" w:lastColumn="0" w:noHBand="0" w:noVBand="1"/>
            </w:tblPr>
            <w:tblGrid>
              <w:gridCol w:w="375"/>
              <w:gridCol w:w="1528"/>
              <w:gridCol w:w="1559"/>
              <w:gridCol w:w="994"/>
              <w:gridCol w:w="1416"/>
              <w:gridCol w:w="1419"/>
              <w:gridCol w:w="1418"/>
              <w:gridCol w:w="1701"/>
            </w:tblGrid>
            <w:tr w:rsidR="00542328" w:rsidRPr="00542328" w:rsidTr="00B601A4">
              <w:trPr>
                <w:trHeight w:val="645"/>
              </w:trPr>
              <w:tc>
                <w:tcPr>
                  <w:tcW w:w="375"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Nº</w:t>
                  </w:r>
                </w:p>
              </w:tc>
              <w:tc>
                <w:tcPr>
                  <w:tcW w:w="8334" w:type="dxa"/>
                  <w:gridSpan w:val="6"/>
                  <w:tcBorders>
                    <w:top w:val="single" w:sz="8" w:space="0" w:color="auto"/>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Aspectos cuantitativos</w:t>
                  </w:r>
                </w:p>
              </w:tc>
              <w:tc>
                <w:tcPr>
                  <w:tcW w:w="1701" w:type="dxa"/>
                  <w:tcBorders>
                    <w:top w:val="single" w:sz="8" w:space="0" w:color="auto"/>
                    <w:left w:val="nil"/>
                    <w:bottom w:val="single" w:sz="4" w:space="0" w:color="auto"/>
                    <w:right w:val="single" w:sz="8" w:space="0" w:color="000000"/>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Situaciones encontradas por la OCI</w:t>
                  </w:r>
                </w:p>
              </w:tc>
            </w:tr>
            <w:tr w:rsidR="00542328" w:rsidRPr="00542328" w:rsidTr="00B601A4">
              <w:trPr>
                <w:trHeight w:val="1575"/>
              </w:trPr>
              <w:tc>
                <w:tcPr>
                  <w:tcW w:w="375" w:type="dxa"/>
                  <w:vMerge/>
                  <w:tcBorders>
                    <w:top w:val="single" w:sz="8" w:space="0" w:color="auto"/>
                    <w:left w:val="single" w:sz="8"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c>
                <w:tcPr>
                  <w:tcW w:w="1528"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Concepto</w:t>
                  </w:r>
                </w:p>
              </w:tc>
              <w:tc>
                <w:tcPr>
                  <w:tcW w:w="155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Nombre del rubro</w:t>
                  </w:r>
                </w:p>
              </w:tc>
              <w:tc>
                <w:tcPr>
                  <w:tcW w:w="994"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Código del rubro</w:t>
                  </w:r>
                </w:p>
              </w:tc>
              <w:tc>
                <w:tcPr>
                  <w:tcW w:w="1416"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de la vigencia 2015</w:t>
                  </w:r>
                </w:p>
              </w:tc>
              <w:tc>
                <w:tcPr>
                  <w:tcW w:w="141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de la vigencia 2016</w:t>
                  </w:r>
                </w:p>
              </w:tc>
              <w:tc>
                <w:tcPr>
                  <w:tcW w:w="1418"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Variación del valor pagado entre octubre - diciembre de 2016 respecto al mismo periodo de la vigencia 2015</w:t>
                  </w:r>
                </w:p>
              </w:tc>
              <w:tc>
                <w:tcPr>
                  <w:tcW w:w="1701"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Se observa que se usaron </w:t>
                  </w:r>
                  <w:r w:rsidR="003409D7">
                    <w:rPr>
                      <w:rFonts w:ascii="Century Gothic" w:eastAsia="Times New Roman" w:hAnsi="Century Gothic"/>
                      <w:color w:val="000000"/>
                      <w:sz w:val="14"/>
                      <w:szCs w:val="14"/>
                      <w:lang w:val="es-CO" w:eastAsia="es-CO"/>
                    </w:rPr>
                    <w:t>seis</w:t>
                  </w:r>
                  <w:r w:rsidRPr="00542328">
                    <w:rPr>
                      <w:rFonts w:ascii="Century Gothic" w:eastAsia="Times New Roman" w:hAnsi="Century Gothic"/>
                      <w:color w:val="000000"/>
                      <w:sz w:val="14"/>
                      <w:szCs w:val="14"/>
                      <w:lang w:val="es-CO" w:eastAsia="es-CO"/>
                    </w:rPr>
                    <w:t xml:space="preserve"> (6) rubros para el contrato 1075 de 2015 para el cuarto trimestre de 2015</w:t>
                  </w:r>
                  <w:r w:rsidR="003409D7">
                    <w:rPr>
                      <w:rFonts w:ascii="Century Gothic" w:eastAsia="Times New Roman" w:hAnsi="Century Gothic"/>
                      <w:color w:val="000000"/>
                      <w:sz w:val="14"/>
                      <w:szCs w:val="14"/>
                      <w:lang w:val="es-CO" w:eastAsia="es-CO"/>
                    </w:rPr>
                    <w:t xml:space="preserve">, utilizando </w:t>
                  </w:r>
                  <w:r w:rsidRPr="00542328">
                    <w:rPr>
                      <w:rFonts w:ascii="Century Gothic" w:eastAsia="Times New Roman" w:hAnsi="Century Gothic"/>
                      <w:color w:val="000000"/>
                      <w:sz w:val="14"/>
                      <w:szCs w:val="14"/>
                      <w:lang w:val="es-CO" w:eastAsia="es-CO"/>
                    </w:rPr>
                    <w:t xml:space="preserve">$ 720.385.454,36 </w:t>
                  </w:r>
                  <w:r w:rsidR="003409D7">
                    <w:rPr>
                      <w:rFonts w:ascii="Century Gothic" w:eastAsia="Times New Roman" w:hAnsi="Century Gothic"/>
                      <w:color w:val="000000"/>
                      <w:sz w:val="14"/>
                      <w:szCs w:val="14"/>
                      <w:lang w:val="es-CO" w:eastAsia="es-CO"/>
                    </w:rPr>
                    <w:t xml:space="preserve"> y </w:t>
                  </w:r>
                  <w:r w:rsidRPr="00542328">
                    <w:rPr>
                      <w:rFonts w:ascii="Century Gothic" w:eastAsia="Times New Roman" w:hAnsi="Century Gothic"/>
                      <w:color w:val="000000"/>
                      <w:sz w:val="14"/>
                      <w:szCs w:val="14"/>
                      <w:lang w:val="es-CO" w:eastAsia="es-CO"/>
                    </w:rPr>
                    <w:t xml:space="preserve">para el 2016 se utilizó 544.989.952 bajo el contrato 1303 - 2016 usando </w:t>
                  </w:r>
                  <w:r w:rsidR="003409D7">
                    <w:rPr>
                      <w:rFonts w:ascii="Century Gothic" w:eastAsia="Times New Roman" w:hAnsi="Century Gothic"/>
                      <w:color w:val="000000"/>
                      <w:sz w:val="14"/>
                      <w:szCs w:val="14"/>
                      <w:lang w:val="es-CO" w:eastAsia="es-CO"/>
                    </w:rPr>
                    <w:t>siete</w:t>
                  </w:r>
                  <w:r w:rsidRPr="00542328">
                    <w:rPr>
                      <w:rFonts w:ascii="Century Gothic" w:eastAsia="Times New Roman" w:hAnsi="Century Gothic"/>
                      <w:color w:val="000000"/>
                      <w:sz w:val="14"/>
                      <w:szCs w:val="14"/>
                      <w:lang w:val="es-CO" w:eastAsia="es-CO"/>
                    </w:rPr>
                    <w:t xml:space="preserve"> (7) rubros, presentando una variación negativa de 24,35%, dando cumplimiento a la política de austeridad.</w:t>
                  </w:r>
                </w:p>
              </w:tc>
            </w:tr>
            <w:tr w:rsidR="00542328" w:rsidRPr="00542328" w:rsidTr="00B601A4">
              <w:trPr>
                <w:trHeight w:val="76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w:t>
                  </w:r>
                </w:p>
              </w:tc>
              <w:tc>
                <w:tcPr>
                  <w:tcW w:w="1528" w:type="dxa"/>
                  <w:vMerge w:val="restart"/>
                  <w:tcBorders>
                    <w:top w:val="nil"/>
                    <w:left w:val="single" w:sz="4" w:space="0" w:color="auto"/>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 xml:space="preserve">Imprenta Nacional de Colombia Contrato Interadministrativo 1075- 2015 </w:t>
                  </w: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Fondo para la Reparación de las Víctimas (APD) COMUNICACIONES</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A-3-6-3-12-1</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$ 251.261.753,40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765"/>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2</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Fondo para la Reparación de las Víctimas (APVND) COMUNICACIONES</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A-3-6-3-12-2</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$ 47.859.381,60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3</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(APD) ESCUELA DE REPARACIÓN</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C-320-1507-2-0-452</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$ 288.129.105,60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4 </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(APVND) ESCUELA DE REPARACIÓN</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C-320-1507-2-0-453</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$ 54.881.734,40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5</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(APD) REGISTRO</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C-223-1507-2-0-322</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$ 65.732.922,66</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6</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(APVND) REGISTRO</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C-223-1507-2-0-323</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$ 12.520.556,70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7</w:t>
                  </w:r>
                </w:p>
              </w:tc>
              <w:tc>
                <w:tcPr>
                  <w:tcW w:w="1528" w:type="dxa"/>
                  <w:vMerge w:val="restart"/>
                  <w:tcBorders>
                    <w:top w:val="nil"/>
                    <w:left w:val="single" w:sz="4" w:space="0" w:color="auto"/>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 xml:space="preserve">Imprenta Nacional de Colombia Contrato </w:t>
                  </w:r>
                  <w:r w:rsidRPr="00542328">
                    <w:rPr>
                      <w:rFonts w:ascii="Century Gothic" w:eastAsia="Times New Roman" w:hAnsi="Century Gothic"/>
                      <w:bCs/>
                      <w:color w:val="000000"/>
                      <w:sz w:val="14"/>
                      <w:szCs w:val="14"/>
                      <w:lang w:val="es-CO" w:eastAsia="es-CO"/>
                    </w:rPr>
                    <w:lastRenderedPageBreak/>
                    <w:t>Interadministrativo 1303- 2016</w:t>
                  </w: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lastRenderedPageBreak/>
                    <w:t>Infraestructura para la Atención de Víctimas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C-223-1507-1-0-340</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lastRenderedPageBreak/>
                    <w:t>8</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Infraestructura para la Atención de Víctimas (APVND)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C-223-1507-1-0-341</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9</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Contribución Áreas de Apoyo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C-320-1507-4-0-474</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$ 151.864.792,00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10</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C-310-1000-1-0-382</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$ 92.451.819,04</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11</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(APVND)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C-310-1000-1-0-383</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$ 15.305.336,96</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12</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Gastos Operativos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C-320-1507-4-0-472</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$ 131.440.876,00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1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13</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Contribución Áreas de Apoyo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C-320-1507-4-0-474</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$ 48.828.808,00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14</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Valoración y Registro (APD)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C-223-1507-2-0-320</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$ 88.282.589,00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375"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15</w:t>
                  </w:r>
                </w:p>
              </w:tc>
              <w:tc>
                <w:tcPr>
                  <w:tcW w:w="1528" w:type="dxa"/>
                  <w:vMerge/>
                  <w:tcBorders>
                    <w:top w:val="nil"/>
                    <w:left w:val="single" w:sz="4" w:space="0" w:color="auto"/>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c>
                <w:tcPr>
                  <w:tcW w:w="1559"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Valoración y Registro (APVND)</w:t>
                  </w:r>
                </w:p>
              </w:tc>
              <w:tc>
                <w:tcPr>
                  <w:tcW w:w="994"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center"/>
                    <w:rPr>
                      <w:rFonts w:ascii="Century Gothic" w:eastAsia="Times New Roman" w:hAnsi="Century Gothic"/>
                      <w:bCs/>
                      <w:color w:val="000000"/>
                      <w:sz w:val="14"/>
                      <w:szCs w:val="14"/>
                      <w:lang w:val="es-CO" w:eastAsia="es-CO"/>
                    </w:rPr>
                  </w:pPr>
                  <w:r w:rsidRPr="00542328">
                    <w:rPr>
                      <w:rFonts w:ascii="Century Gothic" w:eastAsia="Times New Roman" w:hAnsi="Century Gothic"/>
                      <w:bCs/>
                      <w:color w:val="000000"/>
                      <w:sz w:val="14"/>
                      <w:szCs w:val="14"/>
                      <w:lang w:val="es-CO" w:eastAsia="es-CO"/>
                    </w:rPr>
                    <w:t>C-223-1507-2-0-321</w:t>
                  </w:r>
                </w:p>
              </w:tc>
              <w:tc>
                <w:tcPr>
                  <w:tcW w:w="1416"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$ 0,00</w:t>
                  </w:r>
                </w:p>
              </w:tc>
              <w:tc>
                <w:tcPr>
                  <w:tcW w:w="1419" w:type="dxa"/>
                  <w:tcBorders>
                    <w:top w:val="nil"/>
                    <w:left w:val="nil"/>
                    <w:bottom w:val="single" w:sz="4" w:space="0" w:color="auto"/>
                    <w:right w:val="single" w:sz="4" w:space="0" w:color="auto"/>
                  </w:tcBorders>
                  <w:shd w:val="clear" w:color="000000" w:fill="FFFFFF"/>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$ 16.815.731,00</w:t>
                  </w:r>
                </w:p>
              </w:tc>
              <w:tc>
                <w:tcPr>
                  <w:tcW w:w="1418" w:type="dxa"/>
                  <w:tcBorders>
                    <w:top w:val="nil"/>
                    <w:left w:val="nil"/>
                    <w:bottom w:val="single" w:sz="4" w:space="0" w:color="auto"/>
                    <w:right w:val="single" w:sz="4" w:space="0" w:color="auto"/>
                  </w:tcBorders>
                  <w:shd w:val="clear" w:color="000000" w:fill="FFFFFF"/>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30"/>
              </w:trPr>
              <w:tc>
                <w:tcPr>
                  <w:tcW w:w="4456" w:type="dxa"/>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TOTALES $</w:t>
                  </w:r>
                </w:p>
              </w:tc>
              <w:tc>
                <w:tcPr>
                  <w:tcW w:w="1416"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$ 720.385.454,36</w:t>
                  </w:r>
                </w:p>
              </w:tc>
              <w:tc>
                <w:tcPr>
                  <w:tcW w:w="141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$ 544.989.952</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-24,35%</w:t>
                  </w:r>
                </w:p>
              </w:tc>
              <w:tc>
                <w:tcPr>
                  <w:tcW w:w="1701"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405"/>
              </w:trPr>
              <w:tc>
                <w:tcPr>
                  <w:tcW w:w="10410" w:type="dxa"/>
                  <w:gridSpan w:val="8"/>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Para el concepto Imprenta Nacional bajo el contrato 1075-2015 por el valor de $ 1.190.000.000 millones, se utilizaron diferentes rubros para el pago del material requerido por diferentes dependencias. En el cuarto trimestre del año 2015 se realizaron pagos por el valor de $ 720,385,454,36 resultante de la sumatoria del consumo de los rubros.</w:t>
                  </w:r>
                </w:p>
                <w:p w:rsidR="00542328" w:rsidRPr="00542328" w:rsidRDefault="00542328" w:rsidP="00542328">
                  <w:pPr>
                    <w:spacing w:after="0"/>
                    <w:jc w:val="both"/>
                    <w:rPr>
                      <w:rFonts w:ascii="Century Gothic" w:eastAsia="Times New Roman" w:hAnsi="Century Gothic"/>
                      <w:color w:val="000000"/>
                      <w:sz w:val="14"/>
                      <w:szCs w:val="14"/>
                      <w:lang w:val="es-CO" w:eastAsia="es-CO"/>
                    </w:rPr>
                  </w:pP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Para el año 2016, el contrato No.1303-2016 fue suscrito en el mes de mayo por un valor de $ 1.071.000.000, En el mes de Julio se empezó a ejecutar el contrato y para el cuarto trimestre se realizó un pago por el valor de $ 544.989.952.</w:t>
                  </w:r>
                </w:p>
              </w:tc>
            </w:tr>
            <w:tr w:rsidR="00542328" w:rsidRPr="00542328" w:rsidTr="00B601A4">
              <w:trPr>
                <w:trHeight w:val="775"/>
              </w:trPr>
              <w:tc>
                <w:tcPr>
                  <w:tcW w:w="10410" w:type="dxa"/>
                  <w:gridSpan w:val="8"/>
                  <w:vMerge/>
                  <w:tcBorders>
                    <w:top w:val="single" w:sz="4" w:space="0" w:color="auto"/>
                    <w:left w:val="single" w:sz="8" w:space="0" w:color="auto"/>
                    <w:bottom w:val="single" w:sz="8" w:space="0" w:color="000000"/>
                    <w:right w:val="single" w:sz="8" w:space="0" w:color="000000"/>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jc w:val="both"/>
              <w:rPr>
                <w:rFonts w:ascii="Century Gothic" w:hAnsi="Century Gothic"/>
                <w:sz w:val="20"/>
                <w:szCs w:val="20"/>
                <w:lang w:val="es-CO"/>
              </w:rPr>
            </w:pPr>
          </w:p>
          <w:p w:rsidR="00542328" w:rsidRDefault="00542328" w:rsidP="00542328">
            <w:pPr>
              <w:pStyle w:val="Ttulo1"/>
              <w:keepLines/>
              <w:spacing w:before="480"/>
              <w:jc w:val="left"/>
              <w:rPr>
                <w:rFonts w:ascii="Century Gothic" w:hAnsi="Century Gothic"/>
                <w:sz w:val="20"/>
                <w:szCs w:val="20"/>
              </w:rPr>
            </w:pPr>
            <w:r w:rsidRPr="00F577A0">
              <w:rPr>
                <w:rFonts w:ascii="Century Gothic" w:hAnsi="Century Gothic"/>
                <w:sz w:val="20"/>
                <w:szCs w:val="20"/>
              </w:rPr>
              <w:t xml:space="preserve">2.1. Otros temas relacionados con </w:t>
            </w:r>
            <w:r w:rsidRPr="00BF17DA">
              <w:rPr>
                <w:rFonts w:ascii="Century Gothic" w:hAnsi="Century Gothic"/>
                <w:sz w:val="20"/>
                <w:szCs w:val="20"/>
              </w:rPr>
              <w:t>publicidad y publicaciones</w:t>
            </w:r>
            <w:r>
              <w:rPr>
                <w:rFonts w:ascii="Century Gothic" w:hAnsi="Century Gothic"/>
                <w:sz w:val="20"/>
                <w:szCs w:val="20"/>
              </w:rPr>
              <w:t>.</w:t>
            </w:r>
          </w:p>
          <w:p w:rsidR="00542328" w:rsidRPr="00633A77" w:rsidRDefault="00542328" w:rsidP="00542328">
            <w:pPr>
              <w:rPr>
                <w:sz w:val="4"/>
                <w:lang w:val="es-ES" w:eastAsia="es-ES"/>
              </w:rPr>
            </w:pPr>
          </w:p>
          <w:p w:rsidR="00542328" w:rsidRPr="00F577A0" w:rsidRDefault="00542328" w:rsidP="00542328">
            <w:pPr>
              <w:pStyle w:val="Ttulo2"/>
              <w:spacing w:before="200"/>
              <w:jc w:val="both"/>
              <w:rPr>
                <w:rFonts w:ascii="Century Gothic" w:hAnsi="Century Gothic" w:cs="Arial"/>
                <w:b/>
                <w:color w:val="auto"/>
                <w:sz w:val="20"/>
                <w:szCs w:val="20"/>
                <w:lang w:eastAsia="es-CO"/>
              </w:rPr>
            </w:pPr>
            <w:r w:rsidRPr="00F577A0">
              <w:rPr>
                <w:rFonts w:ascii="Century Gothic" w:hAnsi="Century Gothic" w:cs="Arial"/>
                <w:color w:val="auto"/>
                <w:sz w:val="20"/>
                <w:szCs w:val="20"/>
                <w:lang w:eastAsia="es-CO"/>
              </w:rPr>
              <w:t xml:space="preserve">A continuación, se relaciona los temas relacionados en la norma como son la </w:t>
            </w:r>
            <w:r w:rsidRPr="00F577A0">
              <w:rPr>
                <w:rFonts w:ascii="Century Gothic" w:hAnsi="Century Gothic"/>
                <w:color w:val="auto"/>
                <w:sz w:val="20"/>
                <w:szCs w:val="20"/>
                <w:lang w:val="es-MX" w:eastAsia="es-MX"/>
              </w:rPr>
              <w:t>Imprenta Nacional, gastos suntuarios, la impresión, suministro y utilización con cargo al Tesoro Público</w:t>
            </w:r>
            <w:r w:rsidRPr="00F577A0">
              <w:rPr>
                <w:rFonts w:ascii="Century Gothic" w:hAnsi="Century Gothic" w:cs="Arial"/>
                <w:color w:val="auto"/>
                <w:sz w:val="20"/>
                <w:szCs w:val="20"/>
                <w:lang w:eastAsia="es-CO"/>
              </w:rPr>
              <w:t>. Al respecto la dependencia manifiesta que se cumple con la normatividad:</w:t>
            </w:r>
          </w:p>
          <w:p w:rsidR="00542328" w:rsidRDefault="00542328" w:rsidP="00542328">
            <w:pPr>
              <w:rPr>
                <w:lang w:eastAsia="es-ES"/>
              </w:rPr>
            </w:pPr>
          </w:p>
          <w:p w:rsidR="00542328" w:rsidRPr="003D00B9" w:rsidRDefault="00542328" w:rsidP="00542328">
            <w:pPr>
              <w:rPr>
                <w:lang w:eastAsia="es-ES"/>
              </w:rPr>
            </w:pPr>
            <w:r w:rsidRPr="00737FC1">
              <w:rPr>
                <w:noProof/>
                <w:lang w:val="es-CO" w:eastAsia="es-CO"/>
              </w:rPr>
              <w:drawing>
                <wp:inline distT="0" distB="0" distL="0" distR="0" wp14:anchorId="3E56CD4A" wp14:editId="230E5CC3">
                  <wp:extent cx="6591868" cy="9652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99978" cy="966387"/>
                          </a:xfrm>
                          <a:prstGeom prst="rect">
                            <a:avLst/>
                          </a:prstGeom>
                          <a:noFill/>
                          <a:ln>
                            <a:noFill/>
                          </a:ln>
                        </pic:spPr>
                      </pic:pic>
                    </a:graphicData>
                  </a:graphic>
                </wp:inline>
              </w:drawing>
            </w:r>
          </w:p>
          <w:p w:rsidR="00542328" w:rsidRDefault="00542328" w:rsidP="00542328">
            <w:pPr>
              <w:pStyle w:val="Ttulo1"/>
              <w:keepLines/>
              <w:numPr>
                <w:ilvl w:val="0"/>
                <w:numId w:val="27"/>
              </w:numPr>
              <w:spacing w:before="480"/>
              <w:jc w:val="left"/>
              <w:rPr>
                <w:rFonts w:ascii="Century Gothic" w:hAnsi="Century Gothic"/>
                <w:sz w:val="20"/>
                <w:szCs w:val="20"/>
              </w:rPr>
            </w:pPr>
            <w:r w:rsidRPr="00975CE4">
              <w:rPr>
                <w:rFonts w:ascii="Century Gothic" w:hAnsi="Century Gothic"/>
                <w:sz w:val="20"/>
                <w:szCs w:val="20"/>
              </w:rPr>
              <w:t>SERVICIOS ADMINISTRATIVOS</w:t>
            </w:r>
            <w:r>
              <w:rPr>
                <w:rFonts w:ascii="Century Gothic" w:hAnsi="Century Gothic"/>
                <w:sz w:val="20"/>
                <w:szCs w:val="20"/>
              </w:rPr>
              <w:t>.</w:t>
            </w:r>
          </w:p>
          <w:p w:rsidR="00542328" w:rsidRDefault="00542328" w:rsidP="00542328">
            <w:pPr>
              <w:rPr>
                <w:lang w:val="es-ES" w:eastAsia="es-ES"/>
              </w:rPr>
            </w:pPr>
          </w:p>
          <w:tbl>
            <w:tblPr>
              <w:tblW w:w="10268" w:type="dxa"/>
              <w:tblCellMar>
                <w:left w:w="70" w:type="dxa"/>
                <w:right w:w="70" w:type="dxa"/>
              </w:tblCellMar>
              <w:tblLook w:val="04A0" w:firstRow="1" w:lastRow="0" w:firstColumn="1" w:lastColumn="0" w:noHBand="0" w:noVBand="1"/>
            </w:tblPr>
            <w:tblGrid>
              <w:gridCol w:w="343"/>
              <w:gridCol w:w="1845"/>
              <w:gridCol w:w="1418"/>
              <w:gridCol w:w="1559"/>
              <w:gridCol w:w="1559"/>
              <w:gridCol w:w="3544"/>
            </w:tblGrid>
            <w:tr w:rsidR="00542328" w:rsidRPr="00542328" w:rsidTr="00B601A4">
              <w:trPr>
                <w:trHeight w:val="300"/>
              </w:trPr>
              <w:tc>
                <w:tcPr>
                  <w:tcW w:w="343" w:type="dxa"/>
                  <w:tcBorders>
                    <w:top w:val="single" w:sz="8" w:space="0" w:color="auto"/>
                    <w:left w:val="single" w:sz="8" w:space="0" w:color="auto"/>
                    <w:bottom w:val="nil"/>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Nº</w:t>
                  </w:r>
                </w:p>
              </w:tc>
              <w:tc>
                <w:tcPr>
                  <w:tcW w:w="6381" w:type="dxa"/>
                  <w:gridSpan w:val="4"/>
                  <w:tcBorders>
                    <w:top w:val="single" w:sz="8" w:space="0" w:color="auto"/>
                    <w:left w:val="nil"/>
                    <w:bottom w:val="single" w:sz="4" w:space="0" w:color="auto"/>
                    <w:right w:val="single" w:sz="4" w:space="0" w:color="auto"/>
                  </w:tcBorders>
                  <w:shd w:val="clear" w:color="auto" w:fill="auto"/>
                  <w:noWrap/>
                  <w:vAlign w:val="bottom"/>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Aspectos cuantitativos</w:t>
                  </w:r>
                </w:p>
              </w:tc>
              <w:tc>
                <w:tcPr>
                  <w:tcW w:w="3544" w:type="dxa"/>
                  <w:tcBorders>
                    <w:top w:val="single" w:sz="8" w:space="0" w:color="auto"/>
                    <w:left w:val="nil"/>
                    <w:bottom w:val="single" w:sz="4" w:space="0" w:color="auto"/>
                    <w:right w:val="single" w:sz="8" w:space="0" w:color="000000"/>
                  </w:tcBorders>
                  <w:shd w:val="clear" w:color="auto" w:fill="auto"/>
                  <w:noWrap/>
                  <w:vAlign w:val="bottom"/>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Situaciones encontradas por la OCI</w:t>
                  </w:r>
                </w:p>
              </w:tc>
            </w:tr>
            <w:tr w:rsidR="00542328" w:rsidRPr="00542328" w:rsidTr="00B601A4">
              <w:trPr>
                <w:trHeight w:val="1020"/>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Concepto</w:t>
                  </w:r>
                </w:p>
              </w:tc>
              <w:tc>
                <w:tcPr>
                  <w:tcW w:w="1418"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vigencia 2015</w:t>
                  </w:r>
                </w:p>
              </w:tc>
              <w:tc>
                <w:tcPr>
                  <w:tcW w:w="155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de la vigencia 2016</w:t>
                  </w:r>
                </w:p>
              </w:tc>
              <w:tc>
                <w:tcPr>
                  <w:tcW w:w="1559"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Variación del valor pagado entre octubre - diciembre de 2016 respecto al mismo periodo de la vigencia 2015</w:t>
                  </w:r>
                </w:p>
              </w:tc>
              <w:tc>
                <w:tcPr>
                  <w:tcW w:w="3544"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Dando cumplimiento al Art. 14 a 16 Capitulo IV del Decreto1737 de 1998 en temas relacionados en servicios administrativos, telefonía y servicios públicos, se presenta la información remitida por Administrativa donde se relaciona los pagos por cada concepto y una breve explicación del mismo.</w:t>
                  </w:r>
                  <w:r w:rsidRPr="00542328">
                    <w:rPr>
                      <w:rFonts w:ascii="Century Gothic" w:eastAsia="Times New Roman" w:hAnsi="Century Gothic"/>
                      <w:color w:val="000000"/>
                      <w:sz w:val="14"/>
                      <w:szCs w:val="14"/>
                      <w:lang w:val="es-CO" w:eastAsia="es-CO"/>
                    </w:rPr>
                    <w:br/>
                  </w:r>
                  <w:r w:rsidRPr="00542328">
                    <w:rPr>
                      <w:rFonts w:ascii="Century Gothic" w:eastAsia="Times New Roman" w:hAnsi="Century Gothic"/>
                      <w:color w:val="000000"/>
                      <w:sz w:val="14"/>
                      <w:szCs w:val="14"/>
                      <w:lang w:val="es-CO" w:eastAsia="es-CO"/>
                    </w:rPr>
                    <w:br/>
                    <w:t xml:space="preserve">Al realizar el análisis del comportamiento en la variación de servicios públicos se observa que la entidad presentó un aumento en los rubros: Energía y Gas Natural por varios factores como son el incremento en el consumo de los mismos por la </w:t>
                  </w:r>
                  <w:r w:rsidRPr="00542328">
                    <w:rPr>
                      <w:rFonts w:ascii="Century Gothic" w:eastAsia="Times New Roman" w:hAnsi="Century Gothic"/>
                      <w:color w:val="000000"/>
                      <w:sz w:val="14"/>
                      <w:szCs w:val="14"/>
                      <w:lang w:val="es-CO" w:eastAsia="es-CO"/>
                    </w:rPr>
                    <w:lastRenderedPageBreak/>
                    <w:t>ampliación del personal, el aumento en el precio de los servicios y entre otros que manifiesta el área encargada.</w:t>
                  </w:r>
                  <w:r w:rsidRPr="00542328">
                    <w:rPr>
                      <w:rFonts w:ascii="Century Gothic" w:eastAsia="Times New Roman" w:hAnsi="Century Gothic"/>
                      <w:color w:val="000000"/>
                      <w:sz w:val="14"/>
                      <w:szCs w:val="14"/>
                      <w:lang w:val="es-CO" w:eastAsia="es-CO"/>
                    </w:rPr>
                    <w:br/>
                  </w:r>
                  <w:r w:rsidRPr="00542328">
                    <w:rPr>
                      <w:rFonts w:ascii="Century Gothic" w:eastAsia="Times New Roman" w:hAnsi="Century Gothic"/>
                      <w:color w:val="000000"/>
                      <w:sz w:val="14"/>
                      <w:szCs w:val="14"/>
                      <w:lang w:val="es-CO" w:eastAsia="es-CO"/>
                    </w:rPr>
                    <w:br/>
                    <w:t xml:space="preserve">Para </w:t>
                  </w:r>
                  <w:r w:rsidR="003409D7">
                    <w:rPr>
                      <w:rFonts w:ascii="Century Gothic" w:eastAsia="Times New Roman" w:hAnsi="Century Gothic"/>
                      <w:color w:val="000000"/>
                      <w:sz w:val="14"/>
                      <w:szCs w:val="14"/>
                      <w:lang w:val="es-CO" w:eastAsia="es-CO"/>
                    </w:rPr>
                    <w:t xml:space="preserve">la vigencia 2016 </w:t>
                  </w:r>
                  <w:r w:rsidRPr="00542328">
                    <w:rPr>
                      <w:rFonts w:ascii="Century Gothic" w:eastAsia="Times New Roman" w:hAnsi="Century Gothic"/>
                      <w:color w:val="000000"/>
                      <w:sz w:val="14"/>
                      <w:szCs w:val="14"/>
                      <w:lang w:val="es-CO" w:eastAsia="es-CO"/>
                    </w:rPr>
                    <w:t xml:space="preserve">se </w:t>
                  </w:r>
                  <w:r w:rsidR="003409D7">
                    <w:rPr>
                      <w:rFonts w:ascii="Century Gothic" w:eastAsia="Times New Roman" w:hAnsi="Century Gothic"/>
                      <w:color w:val="000000"/>
                      <w:sz w:val="14"/>
                      <w:szCs w:val="14"/>
                      <w:lang w:val="es-CO" w:eastAsia="es-CO"/>
                    </w:rPr>
                    <w:t>observa</w:t>
                  </w:r>
                  <w:r w:rsidRPr="00542328">
                    <w:rPr>
                      <w:rFonts w:ascii="Century Gothic" w:eastAsia="Times New Roman" w:hAnsi="Century Gothic"/>
                      <w:color w:val="000000"/>
                      <w:sz w:val="14"/>
                      <w:szCs w:val="14"/>
                      <w:lang w:val="es-CO" w:eastAsia="es-CO"/>
                    </w:rPr>
                    <w:t xml:space="preserve"> la aplicación de la austeridad para los rubros de Acueducto, Alcantarillado y Aseo, Telefonía Móvil Celular, Teléfono, Fax y Otros, Otros Servicios Públicos.</w:t>
                  </w:r>
                  <w:r w:rsidRPr="00542328">
                    <w:rPr>
                      <w:rFonts w:ascii="Century Gothic" w:eastAsia="Times New Roman" w:hAnsi="Century Gothic"/>
                      <w:color w:val="000000"/>
                      <w:sz w:val="14"/>
                      <w:szCs w:val="14"/>
                      <w:lang w:val="es-CO" w:eastAsia="es-CO"/>
                    </w:rPr>
                    <w:br/>
                  </w:r>
                  <w:r w:rsidRPr="00542328">
                    <w:rPr>
                      <w:rFonts w:ascii="Century Gothic" w:eastAsia="Times New Roman" w:hAnsi="Century Gothic"/>
                      <w:color w:val="000000"/>
                      <w:sz w:val="14"/>
                      <w:szCs w:val="14"/>
                      <w:lang w:val="es-CO" w:eastAsia="es-CO"/>
                    </w:rPr>
                    <w:br/>
                    <w:t>Para el rubro de Mantenimiento se observa un incremento de 47,71% al contratar al operador Construcciones Arquitectónicas Caceres - CONSARCA LTDA, suministros de bombillos, tornillo, mantenimiento de aires acondicionados, etc.</w:t>
                  </w:r>
                </w:p>
              </w:tc>
            </w:tr>
            <w:tr w:rsidR="00542328" w:rsidRPr="00542328" w:rsidTr="00B601A4">
              <w:trPr>
                <w:trHeight w:val="735"/>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ACUEDUCTO ALCANTARILLADO Y ASEO</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15.938.861,87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14.837.472,02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-6,91%</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465"/>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2</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ENERGIA</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173.357.889,23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191.087.054,54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10,23%</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465"/>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lastRenderedPageBreak/>
                    <w:t>3</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GAS NATURAL</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97.676,00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193.929,00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98,54%</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675"/>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4</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TELEFONIA MOVIL CELULAR</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9.122.944,22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6.523.778,63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-28,49%</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70"/>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5</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TELEFONO, FAX Y OTROS</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17.791.282,40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15.838.659,77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-10,98%</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660"/>
              </w:trPr>
              <w:tc>
                <w:tcPr>
                  <w:tcW w:w="343" w:type="dxa"/>
                  <w:tcBorders>
                    <w:top w:val="nil"/>
                    <w:left w:val="single" w:sz="8" w:space="0" w:color="auto"/>
                    <w:bottom w:val="single" w:sz="4" w:space="0" w:color="auto"/>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6</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OTROS SERVICIOS PÚBLICOS</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30.692.382,00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13.912.467,00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-54,67%</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660"/>
              </w:trPr>
              <w:tc>
                <w:tcPr>
                  <w:tcW w:w="343" w:type="dxa"/>
                  <w:tcBorders>
                    <w:top w:val="nil"/>
                    <w:left w:val="single" w:sz="8" w:space="0" w:color="auto"/>
                    <w:bottom w:val="nil"/>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7</w:t>
                  </w:r>
                </w:p>
              </w:tc>
              <w:tc>
                <w:tcPr>
                  <w:tcW w:w="1845" w:type="dxa"/>
                  <w:tcBorders>
                    <w:top w:val="nil"/>
                    <w:left w:val="nil"/>
                    <w:bottom w:val="single" w:sz="4" w:space="0" w:color="auto"/>
                    <w:right w:val="single" w:sz="4" w:space="0" w:color="auto"/>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MANTENIMIENTO</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631.213.741,81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1.054.777.084,44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67,10%</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40"/>
              </w:trPr>
              <w:tc>
                <w:tcPr>
                  <w:tcW w:w="343" w:type="dxa"/>
                  <w:tcBorders>
                    <w:top w:val="single" w:sz="4" w:space="0" w:color="auto"/>
                    <w:left w:val="single" w:sz="8" w:space="0" w:color="auto"/>
                    <w:bottom w:val="nil"/>
                    <w:right w:val="single" w:sz="4"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w:t>
                  </w:r>
                </w:p>
              </w:tc>
              <w:tc>
                <w:tcPr>
                  <w:tcW w:w="1845"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TOTALES $</w:t>
                  </w:r>
                </w:p>
              </w:tc>
              <w:tc>
                <w:tcPr>
                  <w:tcW w:w="1418"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878.214.777,53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1.297.170.445,40   </w:t>
                  </w:r>
                </w:p>
              </w:tc>
              <w:tc>
                <w:tcPr>
                  <w:tcW w:w="1559" w:type="dxa"/>
                  <w:tcBorders>
                    <w:top w:val="nil"/>
                    <w:left w:val="nil"/>
                    <w:bottom w:val="single" w:sz="4" w:space="0" w:color="auto"/>
                    <w:right w:val="single" w:sz="4"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47,71%</w:t>
                  </w:r>
                </w:p>
              </w:tc>
              <w:tc>
                <w:tcPr>
                  <w:tcW w:w="3544" w:type="dxa"/>
                  <w:vMerge/>
                  <w:tcBorders>
                    <w:top w:val="nil"/>
                    <w:left w:val="nil"/>
                    <w:bottom w:val="single" w:sz="4" w:space="0" w:color="auto"/>
                    <w:right w:val="single" w:sz="4"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1487"/>
              </w:trPr>
              <w:tc>
                <w:tcPr>
                  <w:tcW w:w="343" w:type="dxa"/>
                  <w:tcBorders>
                    <w:top w:val="nil"/>
                    <w:left w:val="single" w:sz="8" w:space="0" w:color="auto"/>
                    <w:bottom w:val="nil"/>
                    <w:right w:val="single" w:sz="4" w:space="0" w:color="auto"/>
                  </w:tcBorders>
                  <w:shd w:val="clear" w:color="auto" w:fill="auto"/>
                  <w:noWrap/>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w:t>
                  </w:r>
                </w:p>
              </w:tc>
              <w:tc>
                <w:tcPr>
                  <w:tcW w:w="9925" w:type="dxa"/>
                  <w:gridSpan w:val="5"/>
                  <w:vMerge w:val="restart"/>
                  <w:tcBorders>
                    <w:top w:val="single" w:sz="4" w:space="0" w:color="auto"/>
                    <w:left w:val="single" w:sz="4" w:space="0" w:color="auto"/>
                    <w:bottom w:val="single" w:sz="8" w:space="0" w:color="000000"/>
                    <w:right w:val="single" w:sz="8" w:space="0" w:color="000000"/>
                  </w:tcBorders>
                  <w:shd w:val="clear" w:color="auto" w:fill="auto"/>
                  <w:hideMark/>
                </w:tcPr>
                <w:p w:rsidR="00542328" w:rsidRPr="00542328" w:rsidRDefault="00542328" w:rsidP="00542328">
                  <w:pPr>
                    <w:spacing w:after="0"/>
                    <w:jc w:val="both"/>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Información enviada por el proceso:</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1. </w:t>
                  </w:r>
                  <w:r w:rsidRPr="00542328">
                    <w:rPr>
                      <w:rFonts w:ascii="Century Gothic" w:eastAsia="Times New Roman" w:hAnsi="Century Gothic"/>
                      <w:color w:val="000000"/>
                      <w:sz w:val="14"/>
                      <w:szCs w:val="14"/>
                      <w:lang w:val="es-CO" w:eastAsia="es-CO"/>
                    </w:rPr>
                    <w:t>La disminución en el valor pagado por el servicio de acueducto, alcantarillado y aseo para el período octubre - diciembre en el 2016 con respecto al 2015 responde principalmente a una disminución en el consumo de las sedes de Afinsa piso 3, Bucaramanga, Cartagena, Mocoa, Neiva y Yopal que en el 2015 para el período en análisis el consumo fue por valor de $3,049,998,43 mientras que para el 2016 fue de $2,319,540,23 lo cual representa una disminución de $730,458,2. Para las demás sedes el consumo fue similar.</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color w:val="000000"/>
                      <w:sz w:val="14"/>
                      <w:szCs w:val="14"/>
                      <w:lang w:val="es-CO" w:eastAsia="es-CO"/>
                    </w:rPr>
                    <w:t>2.</w:t>
                  </w:r>
                  <w:r w:rsidRPr="00542328">
                    <w:rPr>
                      <w:rFonts w:ascii="Century Gothic" w:eastAsia="Times New Roman" w:hAnsi="Century Gothic"/>
                      <w:color w:val="000000"/>
                      <w:sz w:val="14"/>
                      <w:szCs w:val="14"/>
                      <w:lang w:val="es-CO" w:eastAsia="es-CO"/>
                    </w:rPr>
                    <w:t xml:space="preserve"> El aumento en el valor pagado por el servicio de energía para el período octubre -diciembre en el 2016 con respecto al 2015 responde a las siguientes razones principalmente: en primer lugar, con el cambio de la sede de Villavicencio se pasó de pagar una factura mensual a pagar 3, lo que en valor representó $3,360,970 en 2015 y $6,006,154 en 2016. En segundo lugar, en la sede de la bodega de Fontibón en 2015 se paga únicamente lo correspondiente a un (1) contador porque el dueño tenía una reclamación por el segundo contador. Para el 2016 esta reclamación ya se había resuelto y se empezaron a pagar dos facturas mensuales, pasando de pagar en 2015 $13,717,270 a pagar en 2016 $ 15,314,940.  Así mismo hubo un aumento significativo en el consumo de las sedes de Cali, Cúcuta y Medellín debido al incremento de personal y puesta en funcionamiento de aires acondicionados que se encontraban dañados.</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color w:val="000000"/>
                      <w:sz w:val="14"/>
                      <w:szCs w:val="14"/>
                      <w:lang w:val="es-CO" w:eastAsia="es-CO"/>
                    </w:rPr>
                    <w:t>3.</w:t>
                  </w:r>
                  <w:r w:rsidRPr="00542328">
                    <w:rPr>
                      <w:rFonts w:ascii="Century Gothic" w:eastAsia="Times New Roman" w:hAnsi="Century Gothic"/>
                      <w:color w:val="000000"/>
                      <w:sz w:val="14"/>
                      <w:szCs w:val="14"/>
                      <w:lang w:val="es-CO" w:eastAsia="es-CO"/>
                    </w:rPr>
                    <w:t xml:space="preserve"> El aumento en el valor pagado por el servicio de gas natural para el período octubre -diciembre en el 2016 con respecto al 2015 responde a que en la ciudad de Cali el consumo pasó de $50,537 en 2015 a $135,885 en 2016.</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color w:val="000000"/>
                      <w:sz w:val="14"/>
                      <w:szCs w:val="14"/>
                      <w:lang w:val="es-CO" w:eastAsia="es-CO"/>
                    </w:rPr>
                    <w:t>4.</w:t>
                  </w:r>
                  <w:r w:rsidRPr="00542328">
                    <w:rPr>
                      <w:rFonts w:ascii="Century Gothic" w:eastAsia="Times New Roman" w:hAnsi="Century Gothic"/>
                      <w:color w:val="000000"/>
                      <w:sz w:val="14"/>
                      <w:szCs w:val="14"/>
                      <w:lang w:val="es-CO" w:eastAsia="es-CO"/>
                    </w:rPr>
                    <w:t xml:space="preserve"> La disminución en el valor de servicio de telefonía móvil celular se debe a la variación del consumo según la necesidad de las líneas del Director, Subdirectora y Secretaria General que cuentan con planes abiertos. Las demás líneas tienen planes cerrados y se incrementan únicamente cuando la tarifa sube al cambio de año.</w:t>
                  </w:r>
                </w:p>
                <w:p w:rsid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color w:val="000000"/>
                      <w:sz w:val="14"/>
                      <w:szCs w:val="14"/>
                      <w:lang w:val="es-CO" w:eastAsia="es-CO"/>
                    </w:rPr>
                    <w:t>5.</w:t>
                  </w:r>
                  <w:r w:rsidRPr="00542328">
                    <w:rPr>
                      <w:rFonts w:ascii="Century Gothic" w:eastAsia="Times New Roman" w:hAnsi="Century Gothic"/>
                      <w:color w:val="000000"/>
                      <w:sz w:val="14"/>
                      <w:szCs w:val="14"/>
                      <w:lang w:val="es-CO" w:eastAsia="es-CO"/>
                    </w:rPr>
                    <w:t xml:space="preserve"> La disminución en el valor pagado por el servicio de telefonía fija para el período octubre -diciembre en el 2016 con respecto al 2015 responde principalmente a una disminución en el consumo del servicio de llamadas de larga distancia nacional y celulares que se presta a las extensiones autorizadas y el cual depende de las necesidades del momento. En 2015 por este servicio en el período de análisis se pagaron $2,772,109,10 mientras que en el 2016 se pagaron $1,384,267,09.</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color w:val="000000"/>
                      <w:sz w:val="14"/>
                      <w:szCs w:val="14"/>
                      <w:lang w:val="es-CO" w:eastAsia="es-CO"/>
                    </w:rPr>
                    <w:t>6.</w:t>
                  </w:r>
                  <w:r w:rsidRPr="00542328">
                    <w:rPr>
                      <w:rFonts w:ascii="Century Gothic" w:eastAsia="Times New Roman" w:hAnsi="Century Gothic"/>
                      <w:color w:val="000000"/>
                      <w:sz w:val="14"/>
                      <w:szCs w:val="14"/>
                      <w:lang w:val="es-CO" w:eastAsia="es-CO"/>
                    </w:rPr>
                    <w:t xml:space="preserve"> La disminución en el rubro de otros servicios públicos a través del cual se paga el servicio de AVANTEL, se debe a que en 2016 se devolvieron 50 líneas.</w:t>
                  </w:r>
                </w:p>
                <w:p w:rsidR="00542328" w:rsidRPr="00542328" w:rsidRDefault="00542328" w:rsidP="00542328">
                  <w:pPr>
                    <w:spacing w:after="0"/>
                    <w:jc w:val="both"/>
                    <w:rPr>
                      <w:rFonts w:ascii="Century Gothic" w:eastAsia="Times New Roman" w:hAnsi="Century Gothic"/>
                      <w:b/>
                      <w:bCs/>
                      <w:color w:val="000000"/>
                      <w:sz w:val="14"/>
                      <w:szCs w:val="14"/>
                      <w:lang w:val="es-CO" w:eastAsia="es-CO"/>
                    </w:rPr>
                  </w:pPr>
                  <w:r w:rsidRPr="00542328">
                    <w:rPr>
                      <w:rFonts w:ascii="Century Gothic" w:eastAsia="Times New Roman" w:hAnsi="Century Gothic"/>
                      <w:b/>
                      <w:color w:val="000000"/>
                      <w:sz w:val="14"/>
                      <w:szCs w:val="14"/>
                      <w:lang w:val="es-CO" w:eastAsia="es-CO"/>
                    </w:rPr>
                    <w:t>7.</w:t>
                  </w:r>
                  <w:r w:rsidRPr="00542328">
                    <w:rPr>
                      <w:rFonts w:ascii="Century Gothic" w:eastAsia="Times New Roman" w:hAnsi="Century Gothic"/>
                      <w:color w:val="000000"/>
                      <w:sz w:val="14"/>
                      <w:szCs w:val="14"/>
                      <w:lang w:val="es-CO" w:eastAsia="es-CO"/>
                    </w:rPr>
                    <w:t xml:space="preserve"> </w:t>
                  </w:r>
                  <w:r w:rsidRPr="00542328">
                    <w:rPr>
                      <w:rFonts w:ascii="Century Gothic" w:eastAsia="Times New Roman" w:hAnsi="Century Gothic"/>
                      <w:b/>
                      <w:bCs/>
                      <w:color w:val="000000"/>
                      <w:sz w:val="14"/>
                      <w:szCs w:val="14"/>
                      <w:lang w:val="es-CO" w:eastAsia="es-CO"/>
                    </w:rPr>
                    <w:t xml:space="preserve">Observaciones al ítem de Mantenimiento en el marco del contrato con el operador CONSARCA: </w:t>
                  </w:r>
                  <w:r w:rsidRPr="00542328">
                    <w:rPr>
                      <w:rFonts w:ascii="Century Gothic" w:eastAsia="Times New Roman" w:hAnsi="Century Gothic"/>
                      <w:color w:val="000000"/>
                      <w:sz w:val="14"/>
                      <w:szCs w:val="14"/>
                      <w:lang w:val="es-CO" w:eastAsia="es-CO"/>
                    </w:rPr>
                    <w:t>dado que el contrato de mantenimiento se empezó a ejecutar en el mes de septiembre de 2016, la ejecución de todo el año se concentró en los meses de septiembre, octubre, noviembre y diciembre.</w:t>
                  </w:r>
                </w:p>
              </w:tc>
            </w:tr>
          </w:tbl>
          <w:p w:rsidR="00542328" w:rsidRDefault="00542328" w:rsidP="00542328">
            <w:pPr>
              <w:pStyle w:val="Ttulo1"/>
              <w:keepLines/>
              <w:numPr>
                <w:ilvl w:val="1"/>
                <w:numId w:val="31"/>
              </w:numPr>
              <w:spacing w:before="480"/>
              <w:ind w:hanging="40"/>
              <w:jc w:val="left"/>
              <w:rPr>
                <w:rFonts w:ascii="Century Gothic" w:hAnsi="Century Gothic"/>
                <w:sz w:val="20"/>
                <w:szCs w:val="20"/>
              </w:rPr>
            </w:pPr>
            <w:r w:rsidRPr="00F577A0">
              <w:rPr>
                <w:rFonts w:ascii="Century Gothic" w:hAnsi="Century Gothic"/>
                <w:sz w:val="20"/>
                <w:szCs w:val="20"/>
              </w:rPr>
              <w:t>Vehículos.</w:t>
            </w:r>
          </w:p>
          <w:p w:rsidR="00542328" w:rsidRPr="00633A77" w:rsidRDefault="00542328" w:rsidP="00542328">
            <w:pPr>
              <w:rPr>
                <w:rFonts w:ascii="Century Gothic" w:hAnsi="Century Gothic" w:cs="Arial"/>
                <w:sz w:val="2"/>
                <w:szCs w:val="20"/>
                <w:lang w:val="es-CO" w:eastAsia="es-CO"/>
              </w:rPr>
            </w:pPr>
          </w:p>
          <w:p w:rsidR="00542328" w:rsidRDefault="00542328" w:rsidP="00542328">
            <w:pPr>
              <w:rPr>
                <w:rFonts w:ascii="Century Gothic" w:hAnsi="Century Gothic" w:cs="Arial"/>
                <w:sz w:val="20"/>
                <w:szCs w:val="20"/>
                <w:lang w:val="es-CO" w:eastAsia="es-CO"/>
              </w:rPr>
            </w:pP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r>
            <w:r w:rsidRPr="00633A77">
              <w:rPr>
                <w:rFonts w:ascii="Century Gothic" w:hAnsi="Century Gothic" w:cs="Arial"/>
                <w:sz w:val="18"/>
                <w:szCs w:val="20"/>
                <w:lang w:val="es-CO" w:eastAsia="es-CO"/>
              </w:rPr>
              <w:softHyphen/>
              <w:t>Dando</w:t>
            </w:r>
            <w:r w:rsidRPr="00BF17DA">
              <w:rPr>
                <w:rFonts w:ascii="Century Gothic" w:hAnsi="Century Gothic" w:cs="Arial"/>
                <w:sz w:val="20"/>
                <w:szCs w:val="20"/>
                <w:lang w:val="es-CO" w:eastAsia="es-CO"/>
              </w:rPr>
              <w:t xml:space="preserve"> cumplimiento al Art. 17 a 19 Capitulo IV del Decreto1737 de 1998 en temas relacionados en servicios administrativos – vehículos, se presenta a continuación la tabla donde se relaciona los pagos por cada concepto y una breve explicación de la dependencia</w:t>
            </w:r>
            <w:r>
              <w:rPr>
                <w:rFonts w:ascii="Century Gothic" w:hAnsi="Century Gothic" w:cs="Arial"/>
                <w:sz w:val="20"/>
                <w:szCs w:val="20"/>
                <w:lang w:val="es-CO" w:eastAsia="es-CO"/>
              </w:rPr>
              <w:t>.</w:t>
            </w:r>
          </w:p>
          <w:p w:rsidR="004672EE" w:rsidRDefault="004672EE" w:rsidP="00542328">
            <w:pPr>
              <w:rPr>
                <w:rFonts w:ascii="Century Gothic" w:hAnsi="Century Gothic" w:cs="Arial"/>
                <w:sz w:val="20"/>
                <w:szCs w:val="20"/>
                <w:lang w:val="es-CO" w:eastAsia="es-CO"/>
              </w:rPr>
            </w:pPr>
          </w:p>
          <w:p w:rsidR="004672EE" w:rsidRDefault="004672EE" w:rsidP="00542328">
            <w:pPr>
              <w:rPr>
                <w:rFonts w:ascii="Century Gothic" w:hAnsi="Century Gothic" w:cs="Arial"/>
                <w:sz w:val="20"/>
                <w:szCs w:val="20"/>
                <w:lang w:val="es-CO" w:eastAsia="es-CO"/>
              </w:rPr>
            </w:pPr>
          </w:p>
          <w:p w:rsidR="004672EE" w:rsidRDefault="004672EE" w:rsidP="00542328">
            <w:pPr>
              <w:rPr>
                <w:rFonts w:ascii="Century Gothic" w:hAnsi="Century Gothic" w:cs="Arial"/>
                <w:sz w:val="20"/>
                <w:szCs w:val="20"/>
                <w:lang w:val="es-CO" w:eastAsia="es-CO"/>
              </w:rPr>
            </w:pPr>
          </w:p>
          <w:p w:rsidR="004672EE" w:rsidRDefault="004672EE" w:rsidP="00542328">
            <w:pPr>
              <w:rPr>
                <w:rFonts w:ascii="Century Gothic" w:hAnsi="Century Gothic" w:cs="Arial"/>
                <w:sz w:val="20"/>
                <w:szCs w:val="20"/>
                <w:lang w:val="es-CO" w:eastAsia="es-CO"/>
              </w:rPr>
            </w:pPr>
          </w:p>
          <w:p w:rsidR="004672EE" w:rsidRDefault="004672EE" w:rsidP="00542328">
            <w:pPr>
              <w:rPr>
                <w:rFonts w:ascii="Century Gothic" w:hAnsi="Century Gothic" w:cs="Arial"/>
                <w:sz w:val="20"/>
                <w:szCs w:val="20"/>
                <w:lang w:val="es-CO" w:eastAsia="es-CO"/>
              </w:rPr>
            </w:pPr>
          </w:p>
          <w:p w:rsidR="004672EE" w:rsidRDefault="004672EE" w:rsidP="00542328">
            <w:pPr>
              <w:rPr>
                <w:rFonts w:ascii="Century Gothic" w:hAnsi="Century Gothic" w:cs="Arial"/>
                <w:sz w:val="20"/>
                <w:szCs w:val="20"/>
                <w:lang w:val="es-CO" w:eastAsia="es-CO"/>
              </w:rPr>
            </w:pPr>
          </w:p>
          <w:tbl>
            <w:tblPr>
              <w:tblW w:w="10410" w:type="dxa"/>
              <w:tblCellMar>
                <w:left w:w="70" w:type="dxa"/>
                <w:right w:w="70" w:type="dxa"/>
              </w:tblCellMar>
              <w:tblLook w:val="04A0" w:firstRow="1" w:lastRow="0" w:firstColumn="1" w:lastColumn="0" w:noHBand="0" w:noVBand="1"/>
            </w:tblPr>
            <w:tblGrid>
              <w:gridCol w:w="360"/>
              <w:gridCol w:w="1118"/>
              <w:gridCol w:w="1134"/>
              <w:gridCol w:w="992"/>
              <w:gridCol w:w="992"/>
              <w:gridCol w:w="1134"/>
              <w:gridCol w:w="992"/>
              <w:gridCol w:w="995"/>
              <w:gridCol w:w="850"/>
              <w:gridCol w:w="1843"/>
            </w:tblGrid>
            <w:tr w:rsidR="00542328" w:rsidRPr="00AD43CB" w:rsidTr="00B601A4">
              <w:trPr>
                <w:trHeight w:val="450"/>
              </w:trPr>
              <w:tc>
                <w:tcPr>
                  <w:tcW w:w="3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rsidR="00542328" w:rsidRPr="00AD43CB" w:rsidRDefault="00542328" w:rsidP="00542328">
                  <w:pPr>
                    <w:spacing w:after="0"/>
                    <w:jc w:val="center"/>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lastRenderedPageBreak/>
                    <w:t>Nº</w:t>
                  </w:r>
                </w:p>
              </w:tc>
              <w:tc>
                <w:tcPr>
                  <w:tcW w:w="8207" w:type="dxa"/>
                  <w:gridSpan w:val="8"/>
                  <w:tcBorders>
                    <w:top w:val="single" w:sz="8" w:space="0" w:color="auto"/>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Aspectos cuantitativos</w:t>
                  </w:r>
                </w:p>
              </w:tc>
              <w:tc>
                <w:tcPr>
                  <w:tcW w:w="1843" w:type="dxa"/>
                  <w:tcBorders>
                    <w:top w:val="single" w:sz="8" w:space="0" w:color="auto"/>
                    <w:left w:val="nil"/>
                    <w:bottom w:val="single" w:sz="4" w:space="0" w:color="auto"/>
                    <w:right w:val="single" w:sz="8" w:space="0" w:color="000000"/>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Situaciones encontradas por la OCI</w:t>
                  </w:r>
                </w:p>
              </w:tc>
            </w:tr>
            <w:tr w:rsidR="00542328" w:rsidRPr="00AD43CB" w:rsidTr="00B601A4">
              <w:trPr>
                <w:trHeight w:val="855"/>
              </w:trPr>
              <w:tc>
                <w:tcPr>
                  <w:tcW w:w="360" w:type="dxa"/>
                  <w:vMerge/>
                  <w:tcBorders>
                    <w:top w:val="single" w:sz="8" w:space="0" w:color="auto"/>
                    <w:left w:val="single" w:sz="8" w:space="0" w:color="auto"/>
                    <w:bottom w:val="single" w:sz="4" w:space="0" w:color="000000"/>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c>
                <w:tcPr>
                  <w:tcW w:w="1118" w:type="dxa"/>
                  <w:vMerge w:val="restart"/>
                  <w:tcBorders>
                    <w:top w:val="nil"/>
                    <w:left w:val="single" w:sz="4" w:space="0" w:color="auto"/>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Costo del servicio (Vehículos)</w:t>
                  </w:r>
                </w:p>
              </w:tc>
              <w:tc>
                <w:tcPr>
                  <w:tcW w:w="3118" w:type="dxa"/>
                  <w:gridSpan w:val="3"/>
                  <w:tcBorders>
                    <w:top w:val="single" w:sz="4" w:space="0" w:color="auto"/>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pagado entre octubre - diciembre de la vigencia 2015</w:t>
                  </w:r>
                </w:p>
              </w:tc>
              <w:tc>
                <w:tcPr>
                  <w:tcW w:w="3121" w:type="dxa"/>
                  <w:gridSpan w:val="3"/>
                  <w:tcBorders>
                    <w:top w:val="single" w:sz="4" w:space="0" w:color="auto"/>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pagado entre octubre - diciembre de la vigencia 2016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Variación del valor pagado entre octubre - diciembre de 2016 respecto al mismo periodo de la vigencia 2015</w:t>
                  </w:r>
                </w:p>
              </w:tc>
              <w:tc>
                <w:tcPr>
                  <w:tcW w:w="1843"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542328" w:rsidRPr="00AD43CB" w:rsidRDefault="00002249" w:rsidP="00542328">
                  <w:pPr>
                    <w:spacing w:after="0"/>
                    <w:jc w:val="both"/>
                    <w:rPr>
                      <w:rFonts w:ascii="Century Gothic" w:eastAsia="Times New Roman" w:hAnsi="Century Gothic"/>
                      <w:color w:val="000000"/>
                      <w:sz w:val="14"/>
                      <w:szCs w:val="14"/>
                      <w:lang w:val="es-CO" w:eastAsia="es-CO"/>
                    </w:rPr>
                  </w:pPr>
                  <w:r w:rsidRPr="00002249">
                    <w:rPr>
                      <w:rFonts w:ascii="Century Gothic" w:eastAsia="Times New Roman" w:hAnsi="Century Gothic"/>
                      <w:color w:val="000000"/>
                      <w:sz w:val="14"/>
                      <w:szCs w:val="14"/>
                      <w:lang w:val="es-CO" w:eastAsia="es-CO"/>
                    </w:rPr>
                    <w:t>Para Administrativa se observa un aumento de 144% en comparación al año anterior debido a que para la vigencia 2016 administrativa se encontraba supervisando los vehículos que estaban a cargo de Servicio al Ciudadano y se presentó un fenómeno por reducción de comisiones por austeridad, se acogieron a los servicios de vehículos para el cumplimiento de las actividades en cada proceso. Para el caso de FRV se observa una reducción de 64% debido a que para noviembre hubo una reducción del 50% aproximadamente y en diciembre de 2016 no se utilizó vehículos por lineamientos impartidos desde la Dirección General en la reducción del 11% sobre el valor autorizado para los rubros de tiquetes y gastos de desplazamiento.</w:t>
                  </w:r>
                </w:p>
              </w:tc>
            </w:tr>
            <w:tr w:rsidR="00542328" w:rsidRPr="00AD43CB" w:rsidTr="00B601A4">
              <w:trPr>
                <w:trHeight w:val="855"/>
              </w:trPr>
              <w:tc>
                <w:tcPr>
                  <w:tcW w:w="360" w:type="dxa"/>
                  <w:vMerge/>
                  <w:tcBorders>
                    <w:top w:val="single" w:sz="8" w:space="0" w:color="auto"/>
                    <w:left w:val="single" w:sz="8" w:space="0" w:color="auto"/>
                    <w:bottom w:val="single" w:sz="4" w:space="0" w:color="000000"/>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c>
                <w:tcPr>
                  <w:tcW w:w="1118" w:type="dxa"/>
                  <w:vMerge/>
                  <w:tcBorders>
                    <w:top w:val="nil"/>
                    <w:left w:val="single" w:sz="4" w:space="0" w:color="auto"/>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p>
              </w:tc>
              <w:tc>
                <w:tcPr>
                  <w:tcW w:w="1134"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del servicio</w:t>
                  </w:r>
                </w:p>
              </w:tc>
              <w:tc>
                <w:tcPr>
                  <w:tcW w:w="992"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de hora extra</w:t>
                  </w:r>
                </w:p>
              </w:tc>
              <w:tc>
                <w:tcPr>
                  <w:tcW w:w="1134"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facturado</w:t>
                  </w:r>
                </w:p>
              </w:tc>
              <w:tc>
                <w:tcPr>
                  <w:tcW w:w="992"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del servicio</w:t>
                  </w:r>
                </w:p>
              </w:tc>
              <w:tc>
                <w:tcPr>
                  <w:tcW w:w="995"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jc w:val="center"/>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Valor total de hora extra</w:t>
                  </w:r>
                </w:p>
              </w:tc>
              <w:tc>
                <w:tcPr>
                  <w:tcW w:w="850" w:type="dxa"/>
                  <w:vMerge/>
                  <w:tcBorders>
                    <w:top w:val="nil"/>
                    <w:left w:val="single" w:sz="4" w:space="0" w:color="auto"/>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p>
              </w:tc>
              <w:tc>
                <w:tcPr>
                  <w:tcW w:w="1843" w:type="dxa"/>
                  <w:vMerge/>
                  <w:tcBorders>
                    <w:top w:val="single" w:sz="4" w:space="0" w:color="auto"/>
                    <w:left w:val="single" w:sz="4" w:space="0" w:color="auto"/>
                    <w:bottom w:val="single" w:sz="4" w:space="0" w:color="auto"/>
                    <w:right w:val="single" w:sz="8" w:space="0" w:color="000000"/>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r w:rsidR="00542328" w:rsidRPr="00AD43CB" w:rsidTr="00B601A4">
              <w:trPr>
                <w:trHeight w:val="855"/>
              </w:trPr>
              <w:tc>
                <w:tcPr>
                  <w:tcW w:w="3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D43CB" w:rsidRDefault="00542328" w:rsidP="00542328">
                  <w:pPr>
                    <w:spacing w:after="0"/>
                    <w:jc w:val="center"/>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1</w:t>
                  </w:r>
                </w:p>
              </w:tc>
              <w:tc>
                <w:tcPr>
                  <w:tcW w:w="1118"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Administrativa</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558.635.345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513.930.246</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44.705.099</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1.109.476.017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967.949.460 </w:t>
                  </w:r>
                </w:p>
              </w:tc>
              <w:tc>
                <w:tcPr>
                  <w:tcW w:w="995"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141.526.557 </w:t>
                  </w:r>
                </w:p>
              </w:tc>
              <w:tc>
                <w:tcPr>
                  <w:tcW w:w="850" w:type="dxa"/>
                  <w:tcBorders>
                    <w:top w:val="nil"/>
                    <w:left w:val="nil"/>
                    <w:bottom w:val="single" w:sz="4" w:space="0" w:color="auto"/>
                    <w:right w:val="single" w:sz="4" w:space="0" w:color="auto"/>
                  </w:tcBorders>
                  <w:shd w:val="clear" w:color="auto" w:fill="auto"/>
                  <w:noWrap/>
                  <w:vAlign w:val="center"/>
                  <w:hideMark/>
                </w:tcPr>
                <w:p w:rsidR="00542328" w:rsidRPr="00AD43CB" w:rsidRDefault="004405D7"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144</w:t>
                  </w:r>
                  <w:r w:rsidR="00542328" w:rsidRPr="00AD43CB">
                    <w:rPr>
                      <w:rFonts w:ascii="Century Gothic" w:eastAsia="Times New Roman" w:hAnsi="Century Gothic"/>
                      <w:color w:val="000000"/>
                      <w:sz w:val="14"/>
                      <w:szCs w:val="14"/>
                      <w:lang w:val="es-CO" w:eastAsia="es-CO"/>
                    </w:rPr>
                    <w:t>%</w:t>
                  </w:r>
                </w:p>
              </w:tc>
              <w:tc>
                <w:tcPr>
                  <w:tcW w:w="1843" w:type="dxa"/>
                  <w:vMerge/>
                  <w:tcBorders>
                    <w:top w:val="nil"/>
                    <w:left w:val="nil"/>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r w:rsidR="00002249" w:rsidRPr="00AD43CB" w:rsidTr="00B601A4">
              <w:trPr>
                <w:trHeight w:val="855"/>
              </w:trPr>
              <w:tc>
                <w:tcPr>
                  <w:tcW w:w="360" w:type="dxa"/>
                  <w:tcBorders>
                    <w:top w:val="nil"/>
                    <w:left w:val="single" w:sz="8" w:space="0" w:color="auto"/>
                    <w:bottom w:val="single" w:sz="4" w:space="0" w:color="auto"/>
                    <w:right w:val="single" w:sz="4" w:space="0" w:color="auto"/>
                  </w:tcBorders>
                  <w:shd w:val="clear" w:color="auto" w:fill="auto"/>
                  <w:noWrap/>
                  <w:vAlign w:val="center"/>
                </w:tcPr>
                <w:p w:rsidR="00002249" w:rsidRPr="00AD43CB" w:rsidRDefault="00002249"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2</w:t>
                  </w:r>
                </w:p>
              </w:tc>
              <w:tc>
                <w:tcPr>
                  <w:tcW w:w="1118"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rPr>
                      <w:rFonts w:ascii="Century Gothic" w:eastAsia="Times New Roman" w:hAnsi="Century Gothic"/>
                      <w:b/>
                      <w:bCs/>
                      <w:color w:val="000000"/>
                      <w:sz w:val="14"/>
                      <w:szCs w:val="14"/>
                      <w:lang w:val="es-CO" w:eastAsia="es-CO"/>
                    </w:rPr>
                  </w:pPr>
                  <w:r w:rsidRPr="00002249">
                    <w:rPr>
                      <w:rFonts w:ascii="Century Gothic" w:eastAsia="Times New Roman" w:hAnsi="Century Gothic"/>
                      <w:b/>
                      <w:bCs/>
                      <w:color w:val="000000"/>
                      <w:sz w:val="14"/>
                      <w:szCs w:val="14"/>
                      <w:lang w:val="es-CO" w:eastAsia="es-CO"/>
                    </w:rPr>
                    <w:t xml:space="preserve">Servicio al </w:t>
                  </w:r>
                  <w:r w:rsidR="009576EC">
                    <w:rPr>
                      <w:rFonts w:ascii="Century Gothic" w:eastAsia="Times New Roman" w:hAnsi="Century Gothic"/>
                      <w:b/>
                      <w:bCs/>
                      <w:color w:val="000000"/>
                      <w:sz w:val="14"/>
                      <w:szCs w:val="14"/>
                      <w:lang w:val="es-CO" w:eastAsia="es-CO"/>
                    </w:rPr>
                    <w:t>C</w:t>
                  </w:r>
                  <w:r w:rsidRPr="00002249">
                    <w:rPr>
                      <w:rFonts w:ascii="Century Gothic" w:eastAsia="Times New Roman" w:hAnsi="Century Gothic"/>
                      <w:b/>
                      <w:bCs/>
                      <w:color w:val="000000"/>
                      <w:sz w:val="14"/>
                      <w:szCs w:val="14"/>
                      <w:lang w:val="es-CO" w:eastAsia="es-CO"/>
                    </w:rPr>
                    <w:t>iudadano</w:t>
                  </w:r>
                </w:p>
              </w:tc>
              <w:tc>
                <w:tcPr>
                  <w:tcW w:w="1134"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sidRPr="00002249">
                    <w:rPr>
                      <w:rFonts w:ascii="Century Gothic" w:eastAsia="Times New Roman" w:hAnsi="Century Gothic"/>
                      <w:color w:val="000000"/>
                      <w:sz w:val="14"/>
                      <w:szCs w:val="14"/>
                      <w:lang w:val="es-CO" w:eastAsia="es-CO"/>
                    </w:rPr>
                    <w:t>133</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574</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218</w:t>
                  </w:r>
                </w:p>
              </w:tc>
              <w:tc>
                <w:tcPr>
                  <w:tcW w:w="992" w:type="dxa"/>
                  <w:tcBorders>
                    <w:top w:val="nil"/>
                    <w:left w:val="nil"/>
                    <w:bottom w:val="single" w:sz="4" w:space="0" w:color="auto"/>
                    <w:right w:val="single" w:sz="4" w:space="0" w:color="auto"/>
                  </w:tcBorders>
                  <w:shd w:val="clear" w:color="auto" w:fill="auto"/>
                  <w:noWrap/>
                  <w:vAlign w:val="center"/>
                </w:tcPr>
                <w:p w:rsidR="00002249" w:rsidRDefault="00002249" w:rsidP="00542328">
                  <w:pPr>
                    <w:spacing w:after="0"/>
                    <w:jc w:val="right"/>
                    <w:rPr>
                      <w:rFonts w:ascii="Century Gothic" w:eastAsia="Times New Roman" w:hAnsi="Century Gothic"/>
                      <w:color w:val="000000"/>
                      <w:sz w:val="14"/>
                      <w:szCs w:val="14"/>
                      <w:lang w:val="es-CO" w:eastAsia="es-CO"/>
                    </w:rPr>
                  </w:pPr>
                  <w:r w:rsidRPr="00002249">
                    <w:rPr>
                      <w:rFonts w:ascii="Century Gothic" w:eastAsia="Times New Roman" w:hAnsi="Century Gothic"/>
                      <w:color w:val="000000"/>
                      <w:sz w:val="14"/>
                      <w:szCs w:val="14"/>
                      <w:lang w:val="es-CO" w:eastAsia="es-CO"/>
                    </w:rPr>
                    <w:t>117</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129</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218</w:t>
                  </w:r>
                </w:p>
              </w:tc>
              <w:tc>
                <w:tcPr>
                  <w:tcW w:w="992"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sidRPr="00002249">
                    <w:rPr>
                      <w:rFonts w:ascii="Century Gothic" w:eastAsia="Times New Roman" w:hAnsi="Century Gothic"/>
                      <w:color w:val="000000"/>
                      <w:sz w:val="14"/>
                      <w:szCs w:val="14"/>
                      <w:lang w:val="es-CO" w:eastAsia="es-CO"/>
                    </w:rPr>
                    <w:t>16</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445</w:t>
                  </w:r>
                  <w:r>
                    <w:rPr>
                      <w:rFonts w:ascii="Century Gothic" w:eastAsia="Times New Roman" w:hAnsi="Century Gothic"/>
                      <w:color w:val="000000"/>
                      <w:sz w:val="14"/>
                      <w:szCs w:val="14"/>
                      <w:lang w:val="es-CO" w:eastAsia="es-CO"/>
                    </w:rPr>
                    <w:t>.</w:t>
                  </w:r>
                  <w:r w:rsidRPr="00002249">
                    <w:rPr>
                      <w:rFonts w:ascii="Century Gothic" w:eastAsia="Times New Roman" w:hAnsi="Century Gothic"/>
                      <w:color w:val="000000"/>
                      <w:sz w:val="14"/>
                      <w:szCs w:val="14"/>
                      <w:lang w:val="es-CO" w:eastAsia="es-CO"/>
                    </w:rPr>
                    <w:t>000</w:t>
                  </w:r>
                </w:p>
              </w:tc>
              <w:tc>
                <w:tcPr>
                  <w:tcW w:w="1134"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992"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995"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850" w:type="dxa"/>
                  <w:tcBorders>
                    <w:top w:val="nil"/>
                    <w:left w:val="nil"/>
                    <w:bottom w:val="single" w:sz="4" w:space="0" w:color="auto"/>
                    <w:right w:val="single" w:sz="4" w:space="0" w:color="auto"/>
                  </w:tcBorders>
                  <w:shd w:val="clear" w:color="auto" w:fill="auto"/>
                  <w:noWrap/>
                  <w:vAlign w:val="center"/>
                </w:tcPr>
                <w:p w:rsidR="00002249" w:rsidRPr="00AD43CB" w:rsidRDefault="00002249"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1843" w:type="dxa"/>
                  <w:vMerge/>
                  <w:tcBorders>
                    <w:top w:val="nil"/>
                    <w:left w:val="nil"/>
                    <w:bottom w:val="single" w:sz="4" w:space="0" w:color="auto"/>
                    <w:right w:val="single" w:sz="4" w:space="0" w:color="auto"/>
                  </w:tcBorders>
                  <w:vAlign w:val="center"/>
                </w:tcPr>
                <w:p w:rsidR="00002249" w:rsidRPr="00AD43CB" w:rsidRDefault="00002249" w:rsidP="00542328">
                  <w:pPr>
                    <w:spacing w:after="0"/>
                    <w:rPr>
                      <w:rFonts w:ascii="Century Gothic" w:eastAsia="Times New Roman" w:hAnsi="Century Gothic"/>
                      <w:color w:val="000000"/>
                      <w:sz w:val="14"/>
                      <w:szCs w:val="14"/>
                      <w:lang w:val="es-CO" w:eastAsia="es-CO"/>
                    </w:rPr>
                  </w:pPr>
                </w:p>
              </w:tc>
            </w:tr>
            <w:tr w:rsidR="00542328" w:rsidRPr="00AD43CB" w:rsidTr="00B601A4">
              <w:trPr>
                <w:trHeight w:val="855"/>
              </w:trPr>
              <w:tc>
                <w:tcPr>
                  <w:tcW w:w="360" w:type="dxa"/>
                  <w:tcBorders>
                    <w:top w:val="nil"/>
                    <w:left w:val="single" w:sz="8" w:space="0" w:color="auto"/>
                    <w:bottom w:val="single" w:sz="4" w:space="0" w:color="auto"/>
                    <w:right w:val="single" w:sz="4" w:space="0" w:color="auto"/>
                  </w:tcBorders>
                  <w:shd w:val="clear" w:color="auto" w:fill="auto"/>
                  <w:noWrap/>
                  <w:vAlign w:val="center"/>
                  <w:hideMark/>
                </w:tcPr>
                <w:p w:rsidR="00542328" w:rsidRPr="00AD43CB" w:rsidRDefault="00002249"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3</w:t>
                  </w:r>
                </w:p>
              </w:tc>
              <w:tc>
                <w:tcPr>
                  <w:tcW w:w="1118" w:type="dxa"/>
                  <w:tcBorders>
                    <w:top w:val="nil"/>
                    <w:left w:val="nil"/>
                    <w:bottom w:val="single" w:sz="4" w:space="0" w:color="auto"/>
                    <w:right w:val="single" w:sz="4" w:space="0" w:color="auto"/>
                  </w:tcBorders>
                  <w:shd w:val="clear" w:color="auto" w:fill="auto"/>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Fondo de Reparación</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102.981.659 </w:t>
                  </w:r>
                </w:p>
              </w:tc>
              <w:tc>
                <w:tcPr>
                  <w:tcW w:w="992" w:type="dxa"/>
                  <w:tcBorders>
                    <w:top w:val="nil"/>
                    <w:left w:val="nil"/>
                    <w:bottom w:val="single" w:sz="4" w:space="0" w:color="auto"/>
                    <w:right w:val="single" w:sz="4" w:space="0" w:color="auto"/>
                  </w:tcBorders>
                  <w:shd w:val="clear" w:color="000000" w:fill="FFFFFF"/>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77.916.659 </w:t>
                  </w:r>
                </w:p>
              </w:tc>
              <w:tc>
                <w:tcPr>
                  <w:tcW w:w="992" w:type="dxa"/>
                  <w:tcBorders>
                    <w:top w:val="nil"/>
                    <w:left w:val="nil"/>
                    <w:bottom w:val="single" w:sz="4" w:space="0" w:color="auto"/>
                    <w:right w:val="single" w:sz="4" w:space="0" w:color="auto"/>
                  </w:tcBorders>
                  <w:shd w:val="clear" w:color="000000" w:fill="FFFFFF"/>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25.065.000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36.779.775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31.487.775 </w:t>
                  </w:r>
                </w:p>
              </w:tc>
              <w:tc>
                <w:tcPr>
                  <w:tcW w:w="995"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 xml:space="preserve">5.292.000 </w:t>
                  </w:r>
                </w:p>
              </w:tc>
              <w:tc>
                <w:tcPr>
                  <w:tcW w:w="850"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color w:val="000000"/>
                      <w:sz w:val="14"/>
                      <w:szCs w:val="14"/>
                      <w:lang w:val="es-CO" w:eastAsia="es-CO"/>
                    </w:rPr>
                  </w:pPr>
                  <w:r w:rsidRPr="00AD43CB">
                    <w:rPr>
                      <w:rFonts w:ascii="Century Gothic" w:eastAsia="Times New Roman" w:hAnsi="Century Gothic"/>
                      <w:color w:val="000000"/>
                      <w:sz w:val="14"/>
                      <w:szCs w:val="14"/>
                      <w:lang w:val="es-CO" w:eastAsia="es-CO"/>
                    </w:rPr>
                    <w:t>-64%</w:t>
                  </w:r>
                </w:p>
              </w:tc>
              <w:tc>
                <w:tcPr>
                  <w:tcW w:w="1843" w:type="dxa"/>
                  <w:vMerge/>
                  <w:tcBorders>
                    <w:top w:val="nil"/>
                    <w:left w:val="nil"/>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r w:rsidR="00542328" w:rsidRPr="00AD43CB" w:rsidTr="00B601A4">
              <w:trPr>
                <w:trHeight w:val="855"/>
              </w:trPr>
              <w:tc>
                <w:tcPr>
                  <w:tcW w:w="147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SUBTOTALES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661.617.004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591.846.905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69.770.099 </w:t>
                  </w:r>
                </w:p>
              </w:tc>
              <w:tc>
                <w:tcPr>
                  <w:tcW w:w="1134"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1.146.255.792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999.437.235 </w:t>
                  </w:r>
                </w:p>
              </w:tc>
              <w:tc>
                <w:tcPr>
                  <w:tcW w:w="995"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xml:space="preserve">146.818.557 </w:t>
                  </w:r>
                </w:p>
              </w:tc>
              <w:tc>
                <w:tcPr>
                  <w:tcW w:w="850"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 </w:t>
                  </w:r>
                </w:p>
              </w:tc>
              <w:tc>
                <w:tcPr>
                  <w:tcW w:w="1843" w:type="dxa"/>
                  <w:vMerge/>
                  <w:tcBorders>
                    <w:top w:val="nil"/>
                    <w:left w:val="nil"/>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r w:rsidR="00542328" w:rsidRPr="00AD43CB" w:rsidTr="00B601A4">
              <w:trPr>
                <w:trHeight w:val="855"/>
              </w:trPr>
              <w:tc>
                <w:tcPr>
                  <w:tcW w:w="147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TOTALES $</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hideMark/>
                </w:tcPr>
                <w:p w:rsidR="00542328" w:rsidRPr="005B6D72" w:rsidRDefault="00542328" w:rsidP="00542328">
                  <w:pPr>
                    <w:spacing w:after="0"/>
                    <w:jc w:val="right"/>
                    <w:rPr>
                      <w:rFonts w:ascii="Century Gothic" w:eastAsia="Times New Roman" w:hAnsi="Century Gothic"/>
                      <w:b/>
                      <w:bCs/>
                      <w:color w:val="000000"/>
                      <w:sz w:val="16"/>
                      <w:szCs w:val="14"/>
                      <w:lang w:val="es-CO" w:eastAsia="es-CO"/>
                    </w:rPr>
                  </w:pPr>
                  <w:r w:rsidRPr="005B6D72">
                    <w:rPr>
                      <w:rFonts w:ascii="Century Gothic" w:eastAsia="Times New Roman" w:hAnsi="Century Gothic"/>
                      <w:b/>
                      <w:bCs/>
                      <w:color w:val="000000"/>
                      <w:sz w:val="16"/>
                      <w:szCs w:val="14"/>
                      <w:lang w:val="es-CO" w:eastAsia="es-CO"/>
                    </w:rPr>
                    <w:t xml:space="preserve">661.617.004,00 </w:t>
                  </w:r>
                </w:p>
              </w:tc>
              <w:tc>
                <w:tcPr>
                  <w:tcW w:w="3121" w:type="dxa"/>
                  <w:gridSpan w:val="3"/>
                  <w:tcBorders>
                    <w:top w:val="single" w:sz="4" w:space="0" w:color="auto"/>
                    <w:left w:val="nil"/>
                    <w:bottom w:val="single" w:sz="4" w:space="0" w:color="auto"/>
                    <w:right w:val="single" w:sz="4" w:space="0" w:color="auto"/>
                  </w:tcBorders>
                  <w:shd w:val="clear" w:color="auto" w:fill="auto"/>
                  <w:noWrap/>
                  <w:vAlign w:val="center"/>
                  <w:hideMark/>
                </w:tcPr>
                <w:p w:rsidR="00542328" w:rsidRPr="005B6D72" w:rsidRDefault="00542328" w:rsidP="00542328">
                  <w:pPr>
                    <w:spacing w:after="0"/>
                    <w:jc w:val="right"/>
                    <w:rPr>
                      <w:rFonts w:ascii="Century Gothic" w:eastAsia="Times New Roman" w:hAnsi="Century Gothic"/>
                      <w:b/>
                      <w:bCs/>
                      <w:color w:val="000000"/>
                      <w:sz w:val="16"/>
                      <w:szCs w:val="14"/>
                      <w:lang w:val="es-CO" w:eastAsia="es-CO"/>
                    </w:rPr>
                  </w:pPr>
                  <w:r w:rsidRPr="005B6D72">
                    <w:rPr>
                      <w:rFonts w:ascii="Century Gothic" w:eastAsia="Times New Roman" w:hAnsi="Century Gothic"/>
                      <w:b/>
                      <w:bCs/>
                      <w:color w:val="000000"/>
                      <w:sz w:val="16"/>
                      <w:szCs w:val="14"/>
                      <w:lang w:val="es-CO" w:eastAsia="es-CO"/>
                    </w:rPr>
                    <w:t xml:space="preserve">1.146.255.792 </w:t>
                  </w:r>
                </w:p>
              </w:tc>
              <w:tc>
                <w:tcPr>
                  <w:tcW w:w="850" w:type="dxa"/>
                  <w:tcBorders>
                    <w:top w:val="nil"/>
                    <w:left w:val="nil"/>
                    <w:bottom w:val="single" w:sz="4" w:space="0" w:color="auto"/>
                    <w:right w:val="single" w:sz="4" w:space="0" w:color="auto"/>
                  </w:tcBorders>
                  <w:shd w:val="clear" w:color="auto" w:fill="auto"/>
                  <w:noWrap/>
                  <w:vAlign w:val="center"/>
                  <w:hideMark/>
                </w:tcPr>
                <w:p w:rsidR="00542328" w:rsidRPr="00AD43CB" w:rsidRDefault="00542328" w:rsidP="00542328">
                  <w:pPr>
                    <w:spacing w:after="0"/>
                    <w:jc w:val="right"/>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73%</w:t>
                  </w:r>
                </w:p>
              </w:tc>
              <w:tc>
                <w:tcPr>
                  <w:tcW w:w="1843" w:type="dxa"/>
                  <w:vMerge/>
                  <w:tcBorders>
                    <w:top w:val="nil"/>
                    <w:left w:val="nil"/>
                    <w:bottom w:val="single" w:sz="4" w:space="0" w:color="auto"/>
                    <w:right w:val="single" w:sz="4" w:space="0" w:color="auto"/>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r w:rsidR="00542328" w:rsidRPr="00AD43CB" w:rsidTr="00B601A4">
              <w:trPr>
                <w:trHeight w:val="2025"/>
              </w:trPr>
              <w:tc>
                <w:tcPr>
                  <w:tcW w:w="10410" w:type="dxa"/>
                  <w:gridSpan w:val="10"/>
                  <w:vMerge w:val="restart"/>
                  <w:tcBorders>
                    <w:top w:val="single" w:sz="4" w:space="0" w:color="auto"/>
                    <w:left w:val="single" w:sz="8" w:space="0" w:color="auto"/>
                    <w:bottom w:val="single" w:sz="8" w:space="0" w:color="000000"/>
                    <w:right w:val="single" w:sz="8" w:space="0" w:color="000000"/>
                  </w:tcBorders>
                  <w:shd w:val="clear" w:color="auto" w:fill="auto"/>
                  <w:vAlign w:val="center"/>
                  <w:hideMark/>
                </w:tcPr>
                <w:p w:rsidR="00542328" w:rsidRDefault="00542328" w:rsidP="00542328">
                  <w:pPr>
                    <w:spacing w:after="0"/>
                    <w:jc w:val="both"/>
                    <w:rPr>
                      <w:rFonts w:ascii="Century Gothic" w:eastAsia="Times New Roman" w:hAnsi="Century Gothic"/>
                      <w:b/>
                      <w:bCs/>
                      <w:color w:val="000000"/>
                      <w:sz w:val="14"/>
                      <w:szCs w:val="14"/>
                      <w:lang w:val="es-CO" w:eastAsia="es-CO"/>
                    </w:rPr>
                  </w:pPr>
                  <w:r w:rsidRPr="00AD43CB">
                    <w:rPr>
                      <w:rFonts w:ascii="Century Gothic" w:eastAsia="Times New Roman" w:hAnsi="Century Gothic"/>
                      <w:b/>
                      <w:bCs/>
                      <w:color w:val="000000"/>
                      <w:sz w:val="14"/>
                      <w:szCs w:val="14"/>
                      <w:lang w:val="es-CO" w:eastAsia="es-CO"/>
                    </w:rPr>
                    <w:t>Información enviada por el proceso:</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b/>
                      <w:bCs/>
                      <w:color w:val="C00000"/>
                      <w:sz w:val="14"/>
                      <w:szCs w:val="14"/>
                      <w:lang w:val="es-CO" w:eastAsia="es-CO"/>
                    </w:rPr>
                    <w:br/>
                  </w:r>
                  <w:r w:rsidRPr="00AD43CB">
                    <w:rPr>
                      <w:rFonts w:ascii="Century Gothic" w:eastAsia="Times New Roman" w:hAnsi="Century Gothic"/>
                      <w:b/>
                      <w:bCs/>
                      <w:sz w:val="14"/>
                      <w:szCs w:val="14"/>
                      <w:u w:val="single"/>
                      <w:lang w:val="es-CO" w:eastAsia="es-CO"/>
                    </w:rPr>
                    <w:t>Administrativa</w:t>
                  </w:r>
                  <w:r w:rsidRPr="00AD43CB">
                    <w:rPr>
                      <w:rFonts w:ascii="Century Gothic" w:eastAsia="Times New Roman" w:hAnsi="Century Gothic"/>
                      <w:b/>
                      <w:bCs/>
                      <w:sz w:val="14"/>
                      <w:szCs w:val="14"/>
                      <w:lang w:val="es-CO" w:eastAsia="es-CO"/>
                    </w:rPr>
                    <w:t>:</w:t>
                  </w:r>
                  <w:r w:rsidRPr="00AD43CB">
                    <w:rPr>
                      <w:rFonts w:ascii="Century Gothic" w:eastAsia="Times New Roman" w:hAnsi="Century Gothic"/>
                      <w:b/>
                      <w:bCs/>
                      <w:sz w:val="14"/>
                      <w:szCs w:val="14"/>
                      <w:lang w:val="es-CO" w:eastAsia="es-CO"/>
                    </w:rPr>
                    <w:br/>
                  </w:r>
                  <w:r w:rsidRPr="00AD43CB">
                    <w:rPr>
                      <w:rFonts w:ascii="Century Gothic" w:eastAsia="Times New Roman" w:hAnsi="Century Gothic"/>
                      <w:sz w:val="14"/>
                      <w:szCs w:val="14"/>
                      <w:lang w:val="es-CO" w:eastAsia="es-CO"/>
                    </w:rPr>
                    <w:t xml:space="preserve">En el </w:t>
                  </w:r>
                  <w:r w:rsidRPr="00AD43CB">
                    <w:rPr>
                      <w:rFonts w:ascii="Century Gothic" w:eastAsia="Times New Roman" w:hAnsi="Century Gothic"/>
                      <w:b/>
                      <w:bCs/>
                      <w:sz w:val="14"/>
                      <w:szCs w:val="14"/>
                      <w:lang w:val="es-CO" w:eastAsia="es-CO"/>
                    </w:rPr>
                    <w:t>2015</w:t>
                  </w:r>
                  <w:r w:rsidRPr="00AD43CB">
                    <w:rPr>
                      <w:rFonts w:ascii="Century Gothic" w:eastAsia="Times New Roman" w:hAnsi="Century Gothic"/>
                      <w:sz w:val="14"/>
                      <w:szCs w:val="14"/>
                      <w:lang w:val="es-CO" w:eastAsia="es-CO"/>
                    </w:rPr>
                    <w:t xml:space="preserve"> los precios de las Camionetas fueron: Station Wagon $369.379 y 4X4 $391.54.</w:t>
                  </w:r>
                  <w:r>
                    <w:rPr>
                      <w:rFonts w:ascii="Century Gothic" w:eastAsia="Times New Roman" w:hAnsi="Century Gothic"/>
                      <w:sz w:val="14"/>
                      <w:szCs w:val="14"/>
                      <w:lang w:val="es-CO" w:eastAsia="es-CO"/>
                    </w:rPr>
                    <w:t xml:space="preserve"> </w:t>
                  </w:r>
                </w:p>
                <w:p w:rsidR="00542328" w:rsidRPr="00AD43CB"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u w:val="single"/>
                      <w:lang w:val="es-CO" w:eastAsia="es-CO"/>
                    </w:rPr>
                    <w:t>Camionetas Fijas</w:t>
                  </w:r>
                  <w:r w:rsidRPr="00AD43CB">
                    <w:rPr>
                      <w:rFonts w:ascii="Century Gothic" w:eastAsia="Times New Roman" w:hAnsi="Century Gothic"/>
                      <w:sz w:val="14"/>
                      <w:szCs w:val="14"/>
                      <w:lang w:val="es-CO" w:eastAsia="es-CO"/>
                    </w:rPr>
                    <w:t>: lo facturado de las camionetas fijas fue: Mes de Octubre $202</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269</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 xml:space="preserve">995, Mes de </w:t>
                  </w:r>
                  <w:r>
                    <w:rPr>
                      <w:rFonts w:ascii="Century Gothic" w:eastAsia="Times New Roman" w:hAnsi="Century Gothic"/>
                      <w:sz w:val="14"/>
                      <w:szCs w:val="14"/>
                      <w:lang w:val="es-CO" w:eastAsia="es-CO"/>
                    </w:rPr>
                    <w:t>n</w:t>
                  </w:r>
                  <w:r w:rsidRPr="00AD43CB">
                    <w:rPr>
                      <w:rFonts w:ascii="Century Gothic" w:eastAsia="Times New Roman" w:hAnsi="Century Gothic"/>
                      <w:sz w:val="14"/>
                      <w:szCs w:val="14"/>
                      <w:lang w:val="es-CO" w:eastAsia="es-CO"/>
                    </w:rPr>
                    <w:t>oviembre $187</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106</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 xml:space="preserve">437, mes de </w:t>
                  </w:r>
                  <w:r>
                    <w:rPr>
                      <w:rFonts w:ascii="Century Gothic" w:eastAsia="Times New Roman" w:hAnsi="Century Gothic"/>
                      <w:sz w:val="14"/>
                      <w:szCs w:val="14"/>
                      <w:lang w:val="es-CO" w:eastAsia="es-CO"/>
                    </w:rPr>
                    <w:t>d</w:t>
                  </w:r>
                  <w:r w:rsidRPr="00AD43CB">
                    <w:rPr>
                      <w:rFonts w:ascii="Century Gothic" w:eastAsia="Times New Roman" w:hAnsi="Century Gothic"/>
                      <w:sz w:val="14"/>
                      <w:szCs w:val="14"/>
                      <w:lang w:val="es-CO" w:eastAsia="es-CO"/>
                    </w:rPr>
                    <w:t>iciembre $17</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282</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t>268</w:t>
                  </w:r>
                  <w:r w:rsidRPr="00AD43CB">
                    <w:rPr>
                      <w:rFonts w:ascii="Century Gothic" w:eastAsia="Times New Roman" w:hAnsi="Century Gothic"/>
                      <w:sz w:val="14"/>
                      <w:szCs w:val="14"/>
                      <w:lang w:val="es-CO" w:eastAsia="es-CO"/>
                    </w:rPr>
                    <w:br/>
                  </w:r>
                  <w:r w:rsidRPr="00AD43CB">
                    <w:rPr>
                      <w:rFonts w:ascii="Century Gothic" w:eastAsia="Times New Roman" w:hAnsi="Century Gothic"/>
                      <w:sz w:val="14"/>
                      <w:szCs w:val="14"/>
                      <w:u w:val="single"/>
                      <w:lang w:val="es-CO" w:eastAsia="es-CO"/>
                    </w:rPr>
                    <w:t>Camionetas Por demanda</w:t>
                  </w:r>
                  <w:r w:rsidRPr="00AD43CB">
                    <w:rPr>
                      <w:rFonts w:ascii="Century Gothic" w:eastAsia="Times New Roman" w:hAnsi="Century Gothic"/>
                      <w:sz w:val="14"/>
                      <w:szCs w:val="14"/>
                      <w:lang w:val="es-CO" w:eastAsia="es-CO"/>
                    </w:rPr>
                    <w:t xml:space="preserve">: estos vehículos no tienen un valor fijo y cada mes varia octubre fue de $4.306.951, </w:t>
                  </w:r>
                  <w:r>
                    <w:rPr>
                      <w:rFonts w:ascii="Century Gothic" w:eastAsia="Times New Roman" w:hAnsi="Century Gothic"/>
                      <w:sz w:val="14"/>
                      <w:szCs w:val="14"/>
                      <w:lang w:val="es-CO" w:eastAsia="es-CO"/>
                    </w:rPr>
                    <w:t>n</w:t>
                  </w:r>
                  <w:r w:rsidRPr="00AD43CB">
                    <w:rPr>
                      <w:rFonts w:ascii="Century Gothic" w:eastAsia="Times New Roman" w:hAnsi="Century Gothic"/>
                      <w:sz w:val="14"/>
                      <w:szCs w:val="14"/>
                      <w:lang w:val="es-CO" w:eastAsia="es-CO"/>
                    </w:rPr>
                    <w:t xml:space="preserve">oviembre $5.873.115 y </w:t>
                  </w:r>
                  <w:r>
                    <w:rPr>
                      <w:rFonts w:ascii="Century Gothic" w:eastAsia="Times New Roman" w:hAnsi="Century Gothic"/>
                      <w:sz w:val="14"/>
                      <w:szCs w:val="14"/>
                      <w:lang w:val="es-CO" w:eastAsia="es-CO"/>
                    </w:rPr>
                    <w:t>d</w:t>
                  </w:r>
                  <w:r w:rsidRPr="00AD43CB">
                    <w:rPr>
                      <w:rFonts w:ascii="Century Gothic" w:eastAsia="Times New Roman" w:hAnsi="Century Gothic"/>
                      <w:sz w:val="14"/>
                      <w:szCs w:val="14"/>
                      <w:lang w:val="es-CO" w:eastAsia="es-CO"/>
                    </w:rPr>
                    <w:t>iciembre $8.222.361.</w:t>
                  </w:r>
                  <w:r w:rsidRPr="00AD43CB">
                    <w:rPr>
                      <w:rFonts w:ascii="Century Gothic" w:eastAsia="Times New Roman" w:hAnsi="Century Gothic"/>
                      <w:sz w:val="14"/>
                      <w:szCs w:val="14"/>
                      <w:lang w:val="es-CO" w:eastAsia="es-CO"/>
                    </w:rPr>
                    <w:br/>
                    <w:t xml:space="preserve"> </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lang w:val="es-CO" w:eastAsia="es-CO"/>
                    </w:rPr>
                    <w:t xml:space="preserve">En el </w:t>
                  </w:r>
                  <w:r w:rsidRPr="00AD43CB">
                    <w:rPr>
                      <w:rFonts w:ascii="Century Gothic" w:eastAsia="Times New Roman" w:hAnsi="Century Gothic"/>
                      <w:b/>
                      <w:bCs/>
                      <w:sz w:val="14"/>
                      <w:szCs w:val="14"/>
                      <w:lang w:val="es-CO" w:eastAsia="es-CO"/>
                    </w:rPr>
                    <w:t>2016</w:t>
                  </w:r>
                  <w:r w:rsidRPr="00AD43CB">
                    <w:rPr>
                      <w:rFonts w:ascii="Century Gothic" w:eastAsia="Times New Roman" w:hAnsi="Century Gothic"/>
                      <w:sz w:val="14"/>
                      <w:szCs w:val="14"/>
                      <w:lang w:val="es-CO" w:eastAsia="es-CO"/>
                    </w:rPr>
                    <w:t xml:space="preserve"> el precio de las camionetas tuvo un aumento: la Station Wagon $409.892 y las camionetas 4X4 $419.837.</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u w:val="single"/>
                      <w:lang w:val="es-CO" w:eastAsia="es-CO"/>
                    </w:rPr>
                    <w:t>Camionetas Fijas</w:t>
                  </w:r>
                  <w:r w:rsidRPr="00AD43CB">
                    <w:rPr>
                      <w:rFonts w:ascii="Century Gothic" w:eastAsia="Times New Roman" w:hAnsi="Century Gothic"/>
                      <w:sz w:val="14"/>
                      <w:szCs w:val="14"/>
                      <w:lang w:val="es-CO" w:eastAsia="es-CO"/>
                    </w:rPr>
                    <w:t>: lo facturado de las camionetas Fijas fue: Mes d</w:t>
                  </w:r>
                  <w:r>
                    <w:rPr>
                      <w:rFonts w:ascii="Century Gothic" w:eastAsia="Times New Roman" w:hAnsi="Century Gothic"/>
                      <w:sz w:val="14"/>
                      <w:szCs w:val="14"/>
                      <w:lang w:val="es-CO" w:eastAsia="es-CO"/>
                    </w:rPr>
                    <w:t>e octubre $214.243.691, mes de noviembre $208.936.995, mes de d</w:t>
                  </w:r>
                  <w:r w:rsidRPr="00AD43CB">
                    <w:rPr>
                      <w:rFonts w:ascii="Century Gothic" w:eastAsia="Times New Roman" w:hAnsi="Century Gothic"/>
                      <w:sz w:val="14"/>
                      <w:szCs w:val="14"/>
                      <w:lang w:val="es-CO" w:eastAsia="es-CO"/>
                    </w:rPr>
                    <w:t>iciembre $163,020,025</w:t>
                  </w:r>
                  <w:r>
                    <w:rPr>
                      <w:rFonts w:ascii="Century Gothic" w:eastAsia="Times New Roman" w:hAnsi="Century Gothic"/>
                      <w:sz w:val="14"/>
                      <w:szCs w:val="14"/>
                      <w:lang w:val="es-CO" w:eastAsia="es-CO"/>
                    </w:rPr>
                    <w:t>.</w:t>
                  </w:r>
                  <w:r w:rsidRPr="00AD43CB">
                    <w:rPr>
                      <w:rFonts w:ascii="Century Gothic" w:eastAsia="Times New Roman" w:hAnsi="Century Gothic"/>
                      <w:sz w:val="14"/>
                      <w:szCs w:val="14"/>
                      <w:lang w:val="es-CO" w:eastAsia="es-CO"/>
                    </w:rPr>
                    <w:br/>
                  </w:r>
                  <w:r w:rsidRPr="00F44D0A">
                    <w:rPr>
                      <w:rFonts w:ascii="Century Gothic" w:eastAsia="Times New Roman" w:hAnsi="Century Gothic"/>
                      <w:sz w:val="14"/>
                      <w:szCs w:val="14"/>
                      <w:u w:val="single"/>
                      <w:lang w:val="es-CO" w:eastAsia="es-CO"/>
                    </w:rPr>
                    <w:t>Camionetas Por demanda:</w:t>
                  </w:r>
                  <w:r w:rsidRPr="00AD43CB">
                    <w:rPr>
                      <w:rFonts w:ascii="Century Gothic" w:eastAsia="Times New Roman" w:hAnsi="Century Gothic"/>
                      <w:sz w:val="14"/>
                      <w:szCs w:val="14"/>
                      <w:lang w:val="es-CO" w:eastAsia="es-CO"/>
                    </w:rPr>
                    <w:t xml:space="preserve"> los vehículos por demanda no tienen un valor fijo y cada mes varia en octubre</w:t>
                  </w:r>
                  <w:r>
                    <w:rPr>
                      <w:rFonts w:ascii="Century Gothic" w:eastAsia="Times New Roman" w:hAnsi="Century Gothic"/>
                      <w:sz w:val="14"/>
                      <w:szCs w:val="14"/>
                      <w:lang w:val="es-CO" w:eastAsia="es-CO"/>
                    </w:rPr>
                    <w:t xml:space="preserve"> fue de $58.442.973, en n</w:t>
                  </w:r>
                  <w:r w:rsidRPr="00AD43CB">
                    <w:rPr>
                      <w:rFonts w:ascii="Century Gothic" w:eastAsia="Times New Roman" w:hAnsi="Century Gothic"/>
                      <w:sz w:val="14"/>
                      <w:szCs w:val="14"/>
                      <w:lang w:val="es-CO" w:eastAsia="es-CO"/>
                    </w:rPr>
                    <w:t>oviemb</w:t>
                  </w:r>
                  <w:r>
                    <w:rPr>
                      <w:rFonts w:ascii="Century Gothic" w:eastAsia="Times New Roman" w:hAnsi="Century Gothic"/>
                      <w:sz w:val="14"/>
                      <w:szCs w:val="14"/>
                      <w:lang w:val="es-CO" w:eastAsia="es-CO"/>
                    </w:rPr>
                    <w:t>re $222.328.454 y en el mes de d</w:t>
                  </w:r>
                  <w:r w:rsidRPr="00AD43CB">
                    <w:rPr>
                      <w:rFonts w:ascii="Century Gothic" w:eastAsia="Times New Roman" w:hAnsi="Century Gothic"/>
                      <w:sz w:val="14"/>
                      <w:szCs w:val="14"/>
                      <w:lang w:val="es-CO" w:eastAsia="es-CO"/>
                    </w:rPr>
                    <w:t>iciembre $242.503.879.</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lang w:val="es-CO" w:eastAsia="es-CO"/>
                    </w:rPr>
                    <w:br/>
                  </w:r>
                  <w:r w:rsidRPr="00AD43CB">
                    <w:rPr>
                      <w:rFonts w:ascii="Century Gothic" w:eastAsia="Times New Roman" w:hAnsi="Century Gothic"/>
                      <w:sz w:val="14"/>
                      <w:szCs w:val="14"/>
                      <w:u w:val="single"/>
                      <w:lang w:val="es-CO" w:eastAsia="es-CO"/>
                    </w:rPr>
                    <w:t>NOTA 1</w:t>
                  </w:r>
                  <w:r w:rsidRPr="00AD43CB">
                    <w:rPr>
                      <w:rFonts w:ascii="Century Gothic" w:eastAsia="Times New Roman" w:hAnsi="Century Gothic"/>
                      <w:sz w:val="14"/>
                      <w:szCs w:val="14"/>
                      <w:lang w:val="es-CO" w:eastAsia="es-CO"/>
                    </w:rPr>
                    <w:t>: El incremento de los vehículos del 2015 a 2016 se debe a que el área de servicio Ciudadano por orden de la Dirección se disolvió y la carga de vehículos por demanda paso al área de Gestión Administrativa y Documental.</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u w:val="single"/>
                      <w:lang w:val="es-CO" w:eastAsia="es-CO"/>
                    </w:rPr>
                    <w:t>NOTA 2</w:t>
                  </w:r>
                  <w:r w:rsidRPr="00AD43CB">
                    <w:rPr>
                      <w:rFonts w:ascii="Century Gothic" w:eastAsia="Times New Roman" w:hAnsi="Century Gothic"/>
                      <w:sz w:val="14"/>
                      <w:szCs w:val="14"/>
                      <w:lang w:val="es-CO" w:eastAsia="es-CO"/>
                    </w:rPr>
                    <w:t>:  Un factor</w:t>
                  </w:r>
                  <w:r>
                    <w:rPr>
                      <w:rFonts w:ascii="Century Gothic" w:eastAsia="Times New Roman" w:hAnsi="Century Gothic"/>
                      <w:sz w:val="14"/>
                      <w:szCs w:val="14"/>
                      <w:lang w:val="es-CO" w:eastAsia="es-CO"/>
                    </w:rPr>
                    <w:t xml:space="preserve"> de incremento en los meses de noviembre y d</w:t>
                  </w:r>
                  <w:r w:rsidRPr="00AD43CB">
                    <w:rPr>
                      <w:rFonts w:ascii="Century Gothic" w:eastAsia="Times New Roman" w:hAnsi="Century Gothic"/>
                      <w:sz w:val="14"/>
                      <w:szCs w:val="14"/>
                      <w:lang w:val="es-CO" w:eastAsia="es-CO"/>
                    </w:rPr>
                    <w:t>iciembre de servicios se debió a la baja aprobación de viáticos por parte de Talento humano por tal motivo los funcionarios requirieron más el apoyo de transporte en vehículos.</w:t>
                  </w:r>
                </w:p>
                <w:p w:rsidR="00542328"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sz w:val="14"/>
                      <w:szCs w:val="14"/>
                      <w:u w:val="single"/>
                      <w:lang w:val="es-CO" w:eastAsia="es-CO"/>
                    </w:rPr>
                    <w:t>NOTA 3</w:t>
                  </w:r>
                  <w:r w:rsidRPr="00AD43CB">
                    <w:rPr>
                      <w:rFonts w:ascii="Century Gothic" w:eastAsia="Times New Roman" w:hAnsi="Century Gothic"/>
                      <w:sz w:val="14"/>
                      <w:szCs w:val="14"/>
                      <w:lang w:val="es-CO" w:eastAsia="es-CO"/>
                    </w:rPr>
                    <w:t>: Otro Factor que influyó en el incremento en noviembre y diciembre, fue el agotamiento de los recursos en la ejecución del contrato de comisión No 1436 de 2016 "Servicio de transporte para apoyo en la Atención de misiones Humanitarias y Emergencias" de la Subdirección de Prevención y Emergencias, ya que las solicitudes de ellos fueron atendidas por área de Gestión Administrativa y Documental.</w:t>
                  </w:r>
                </w:p>
                <w:p w:rsidR="00542328" w:rsidRPr="00AD43CB" w:rsidRDefault="00542328" w:rsidP="00542328">
                  <w:pPr>
                    <w:spacing w:after="0"/>
                    <w:jc w:val="both"/>
                    <w:rPr>
                      <w:rFonts w:ascii="Century Gothic" w:eastAsia="Times New Roman" w:hAnsi="Century Gothic"/>
                      <w:sz w:val="14"/>
                      <w:szCs w:val="14"/>
                      <w:lang w:val="es-CO" w:eastAsia="es-CO"/>
                    </w:rPr>
                  </w:pPr>
                  <w:r w:rsidRPr="00AD43CB">
                    <w:rPr>
                      <w:rFonts w:ascii="Century Gothic" w:eastAsia="Times New Roman" w:hAnsi="Century Gothic"/>
                      <w:b/>
                      <w:bCs/>
                      <w:sz w:val="14"/>
                      <w:szCs w:val="14"/>
                      <w:lang w:val="es-CO" w:eastAsia="es-CO"/>
                    </w:rPr>
                    <w:br/>
                  </w:r>
                  <w:r w:rsidRPr="00AD43CB">
                    <w:rPr>
                      <w:rFonts w:ascii="Century Gothic" w:eastAsia="Times New Roman" w:hAnsi="Century Gothic"/>
                      <w:b/>
                      <w:bCs/>
                      <w:sz w:val="14"/>
                      <w:szCs w:val="14"/>
                      <w:u w:val="single"/>
                      <w:lang w:val="es-CO" w:eastAsia="es-CO"/>
                    </w:rPr>
                    <w:t>FRV</w:t>
                  </w:r>
                  <w:r w:rsidRPr="00AD43CB">
                    <w:rPr>
                      <w:rFonts w:ascii="Century Gothic" w:eastAsia="Times New Roman" w:hAnsi="Century Gothic"/>
                      <w:b/>
                      <w:bCs/>
                      <w:sz w:val="14"/>
                      <w:szCs w:val="14"/>
                      <w:lang w:val="es-CO" w:eastAsia="es-CO"/>
                    </w:rPr>
                    <w:t xml:space="preserve">: </w:t>
                  </w:r>
                  <w:r w:rsidRPr="00AD43CB">
                    <w:rPr>
                      <w:rFonts w:ascii="Century Gothic" w:eastAsia="Times New Roman" w:hAnsi="Century Gothic"/>
                      <w:sz w:val="14"/>
                      <w:szCs w:val="14"/>
                      <w:lang w:val="es-CO" w:eastAsia="es-CO"/>
                    </w:rPr>
                    <w:t>Durante el periodo del 4 trimestre del 2016 se presentó un</w:t>
                  </w:r>
                  <w:r>
                    <w:rPr>
                      <w:rFonts w:ascii="Century Gothic" w:eastAsia="Times New Roman" w:hAnsi="Century Gothic"/>
                      <w:sz w:val="14"/>
                      <w:szCs w:val="14"/>
                      <w:lang w:val="es-CO" w:eastAsia="es-CO"/>
                    </w:rPr>
                    <w:t>a</w:t>
                  </w:r>
                  <w:r w:rsidRPr="00AD43CB">
                    <w:rPr>
                      <w:rFonts w:ascii="Century Gothic" w:eastAsia="Times New Roman" w:hAnsi="Century Gothic"/>
                      <w:sz w:val="14"/>
                      <w:szCs w:val="14"/>
                      <w:lang w:val="es-CO" w:eastAsia="es-CO"/>
                    </w:rPr>
                    <w:t xml:space="preserve"> reducción 59,59% respecto al mismo periodo del 2015 lo anterior debido al cumplimiento del plan de austeridad según la directiva presidencial del 2016.</w:t>
                  </w:r>
                </w:p>
              </w:tc>
            </w:tr>
            <w:tr w:rsidR="00542328" w:rsidRPr="00AD43CB" w:rsidTr="00B601A4">
              <w:trPr>
                <w:trHeight w:val="2025"/>
              </w:trPr>
              <w:tc>
                <w:tcPr>
                  <w:tcW w:w="10410" w:type="dxa"/>
                  <w:gridSpan w:val="10"/>
                  <w:vMerge/>
                  <w:tcBorders>
                    <w:top w:val="single" w:sz="4" w:space="0" w:color="auto"/>
                    <w:left w:val="single" w:sz="8" w:space="0" w:color="auto"/>
                    <w:bottom w:val="single" w:sz="8" w:space="0" w:color="000000"/>
                    <w:right w:val="single" w:sz="8" w:space="0" w:color="000000"/>
                  </w:tcBorders>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p>
              </w:tc>
            </w:tr>
            <w:tr w:rsidR="00542328" w:rsidRPr="00AD43CB" w:rsidTr="00B601A4">
              <w:trPr>
                <w:trHeight w:val="281"/>
              </w:trPr>
              <w:tc>
                <w:tcPr>
                  <w:tcW w:w="10410" w:type="dxa"/>
                  <w:gridSpan w:val="10"/>
                  <w:vMerge/>
                  <w:tcBorders>
                    <w:top w:val="single" w:sz="4" w:space="0" w:color="auto"/>
                    <w:left w:val="single" w:sz="8" w:space="0" w:color="auto"/>
                    <w:bottom w:val="single" w:sz="8" w:space="0" w:color="000000"/>
                    <w:right w:val="single" w:sz="8" w:space="0" w:color="000000"/>
                  </w:tcBorders>
                  <w:vAlign w:val="center"/>
                  <w:hideMark/>
                </w:tcPr>
                <w:p w:rsidR="00542328" w:rsidRPr="00AD43CB" w:rsidRDefault="00542328" w:rsidP="00542328">
                  <w:pPr>
                    <w:spacing w:after="0"/>
                    <w:rPr>
                      <w:rFonts w:ascii="Century Gothic" w:eastAsia="Times New Roman" w:hAnsi="Century Gothic"/>
                      <w:b/>
                      <w:bCs/>
                      <w:color w:val="000000"/>
                      <w:sz w:val="14"/>
                      <w:szCs w:val="14"/>
                      <w:lang w:val="es-CO" w:eastAsia="es-CO"/>
                    </w:rPr>
                  </w:pPr>
                </w:p>
              </w:tc>
            </w:tr>
            <w:tr w:rsidR="00542328" w:rsidRPr="00AD43CB" w:rsidTr="00B601A4">
              <w:trPr>
                <w:trHeight w:val="281"/>
              </w:trPr>
              <w:tc>
                <w:tcPr>
                  <w:tcW w:w="10410" w:type="dxa"/>
                  <w:gridSpan w:val="10"/>
                  <w:vMerge w:val="restart"/>
                  <w:tcBorders>
                    <w:top w:val="nil"/>
                    <w:left w:val="nil"/>
                    <w:bottom w:val="nil"/>
                    <w:right w:val="nil"/>
                  </w:tcBorders>
                  <w:shd w:val="clear" w:color="auto" w:fill="auto"/>
                  <w:vAlign w:val="center"/>
                  <w:hideMark/>
                </w:tcPr>
                <w:p w:rsidR="00542328" w:rsidRPr="00421FA0" w:rsidRDefault="00542328" w:rsidP="00542328">
                  <w:pPr>
                    <w:spacing w:after="0"/>
                    <w:jc w:val="both"/>
                    <w:rPr>
                      <w:rFonts w:ascii="Century Gothic" w:eastAsia="Times New Roman" w:hAnsi="Century Gothic"/>
                      <w:color w:val="000000"/>
                      <w:sz w:val="12"/>
                      <w:szCs w:val="12"/>
                      <w:lang w:val="es-CO" w:eastAsia="es-CO"/>
                    </w:rPr>
                  </w:pPr>
                </w:p>
              </w:tc>
            </w:tr>
            <w:tr w:rsidR="00542328" w:rsidRPr="00AD43CB" w:rsidTr="00B601A4">
              <w:trPr>
                <w:trHeight w:val="300"/>
              </w:trPr>
              <w:tc>
                <w:tcPr>
                  <w:tcW w:w="10410" w:type="dxa"/>
                  <w:gridSpan w:val="10"/>
                  <w:vMerge/>
                  <w:tcBorders>
                    <w:top w:val="nil"/>
                    <w:left w:val="nil"/>
                    <w:bottom w:val="nil"/>
                    <w:right w:val="nil"/>
                  </w:tcBorders>
                  <w:vAlign w:val="center"/>
                  <w:hideMark/>
                </w:tcPr>
                <w:p w:rsidR="00542328" w:rsidRPr="00AD43CB"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rPr>
                <w:lang w:val="es-CO" w:eastAsia="es-ES"/>
              </w:rPr>
            </w:pPr>
          </w:p>
          <w:tbl>
            <w:tblPr>
              <w:tblW w:w="10410" w:type="dxa"/>
              <w:tblCellMar>
                <w:left w:w="70" w:type="dxa"/>
                <w:right w:w="70" w:type="dxa"/>
              </w:tblCellMar>
              <w:tblLook w:val="04A0" w:firstRow="1" w:lastRow="0" w:firstColumn="1" w:lastColumn="0" w:noHBand="0" w:noVBand="1"/>
            </w:tblPr>
            <w:tblGrid>
              <w:gridCol w:w="360"/>
              <w:gridCol w:w="1690"/>
              <w:gridCol w:w="850"/>
              <w:gridCol w:w="848"/>
              <w:gridCol w:w="1275"/>
              <w:gridCol w:w="5387"/>
            </w:tblGrid>
            <w:tr w:rsidR="00542328" w:rsidRPr="00421FA0" w:rsidTr="00B601A4">
              <w:trPr>
                <w:trHeight w:val="300"/>
              </w:trPr>
              <w:tc>
                <w:tcPr>
                  <w:tcW w:w="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lastRenderedPageBreak/>
                    <w:t>Nº</w:t>
                  </w:r>
                </w:p>
              </w:tc>
              <w:tc>
                <w:tcPr>
                  <w:tcW w:w="4663" w:type="dxa"/>
                  <w:gridSpan w:val="4"/>
                  <w:tcBorders>
                    <w:top w:val="single" w:sz="4" w:space="0" w:color="auto"/>
                    <w:left w:val="nil"/>
                    <w:bottom w:val="single" w:sz="4" w:space="0" w:color="auto"/>
                    <w:right w:val="single" w:sz="4" w:space="0" w:color="auto"/>
                  </w:tcBorders>
                  <w:shd w:val="clear" w:color="auto" w:fill="auto"/>
                  <w:noWrap/>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Aspectos cuantitativos</w:t>
                  </w:r>
                </w:p>
              </w:tc>
              <w:tc>
                <w:tcPr>
                  <w:tcW w:w="5387"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Situaciones encontradas por la OCI</w:t>
                  </w:r>
                </w:p>
              </w:tc>
            </w:tr>
            <w:tr w:rsidR="00542328" w:rsidRPr="00421FA0" w:rsidTr="00B601A4">
              <w:trPr>
                <w:trHeight w:val="1322"/>
              </w:trPr>
              <w:tc>
                <w:tcPr>
                  <w:tcW w:w="360" w:type="dxa"/>
                  <w:vMerge/>
                  <w:tcBorders>
                    <w:top w:val="single" w:sz="4" w:space="0" w:color="auto"/>
                    <w:left w:val="single" w:sz="4" w:space="0" w:color="auto"/>
                    <w:bottom w:val="single" w:sz="4" w:space="0" w:color="000000"/>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c>
                <w:tcPr>
                  <w:tcW w:w="1690" w:type="dxa"/>
                  <w:tcBorders>
                    <w:top w:val="nil"/>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Cantidad vehículos</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Cantidad entre octubre - diciembre de la vigencia 2015</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Cantidad entre octubre - diciembre de la vigencia 2016</w:t>
                  </w:r>
                </w:p>
              </w:tc>
              <w:tc>
                <w:tcPr>
                  <w:tcW w:w="1275" w:type="dxa"/>
                  <w:tcBorders>
                    <w:top w:val="nil"/>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 Variación de la cantidad entre   octubre - diciembre de 2016 respecto al mismo periodo de la vigencia 2015</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76EC"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 xml:space="preserve">Para </w:t>
                  </w:r>
                  <w:r w:rsidR="009576EC">
                    <w:rPr>
                      <w:rFonts w:ascii="Century Gothic" w:eastAsia="Times New Roman" w:hAnsi="Century Gothic"/>
                      <w:color w:val="000000"/>
                      <w:sz w:val="14"/>
                      <w:szCs w:val="14"/>
                      <w:lang w:val="es-CO" w:eastAsia="es-CO"/>
                    </w:rPr>
                    <w:t>la vigencia 2016</w:t>
                  </w:r>
                  <w:r w:rsidRPr="00421FA0">
                    <w:rPr>
                      <w:rFonts w:ascii="Century Gothic" w:eastAsia="Times New Roman" w:hAnsi="Century Gothic"/>
                      <w:color w:val="000000"/>
                      <w:sz w:val="14"/>
                      <w:szCs w:val="14"/>
                      <w:lang w:val="es-CO" w:eastAsia="es-CO"/>
                    </w:rPr>
                    <w:t xml:space="preserve"> Administrativa presenta un aumento de cuatro vehículos </w:t>
                  </w:r>
                  <w:r w:rsidR="009576EC">
                    <w:rPr>
                      <w:rFonts w:ascii="Century Gothic" w:eastAsia="Times New Roman" w:hAnsi="Century Gothic"/>
                      <w:color w:val="000000"/>
                      <w:sz w:val="14"/>
                      <w:szCs w:val="14"/>
                      <w:lang w:val="es-CO" w:eastAsia="es-CO"/>
                    </w:rPr>
                    <w:t>fijos</w:t>
                  </w:r>
                  <w:r w:rsidR="00CB478D">
                    <w:rPr>
                      <w:rFonts w:ascii="Century Gothic" w:eastAsia="Times New Roman" w:hAnsi="Century Gothic"/>
                      <w:color w:val="000000"/>
                      <w:sz w:val="14"/>
                      <w:szCs w:val="14"/>
                      <w:lang w:val="es-CO" w:eastAsia="es-CO"/>
                    </w:rPr>
                    <w:t>,</w:t>
                  </w:r>
                  <w:r w:rsidR="009576EC">
                    <w:rPr>
                      <w:rFonts w:ascii="Century Gothic" w:eastAsia="Times New Roman" w:hAnsi="Century Gothic"/>
                      <w:color w:val="000000"/>
                      <w:sz w:val="14"/>
                      <w:szCs w:val="14"/>
                      <w:lang w:val="es-CO" w:eastAsia="es-CO"/>
                    </w:rPr>
                    <w:t xml:space="preserve"> </w:t>
                  </w:r>
                  <w:r w:rsidRPr="00421FA0">
                    <w:rPr>
                      <w:rFonts w:ascii="Century Gothic" w:eastAsia="Times New Roman" w:hAnsi="Century Gothic"/>
                      <w:color w:val="000000"/>
                      <w:sz w:val="14"/>
                      <w:szCs w:val="14"/>
                      <w:lang w:val="es-CO" w:eastAsia="es-CO"/>
                    </w:rPr>
                    <w:t xml:space="preserve">presentando una variación </w:t>
                  </w:r>
                  <w:r w:rsidR="00CB478D">
                    <w:rPr>
                      <w:rFonts w:ascii="Century Gothic" w:eastAsia="Times New Roman" w:hAnsi="Century Gothic"/>
                      <w:color w:val="000000"/>
                      <w:sz w:val="14"/>
                      <w:szCs w:val="14"/>
                      <w:lang w:val="es-CO" w:eastAsia="es-CO"/>
                    </w:rPr>
                    <w:t xml:space="preserve">de </w:t>
                  </w:r>
                  <w:r w:rsidRPr="00421FA0">
                    <w:rPr>
                      <w:rFonts w:ascii="Century Gothic" w:eastAsia="Times New Roman" w:hAnsi="Century Gothic"/>
                      <w:color w:val="000000"/>
                      <w:sz w:val="14"/>
                      <w:szCs w:val="14"/>
                      <w:lang w:val="es-CO" w:eastAsia="es-CO"/>
                    </w:rPr>
                    <w:t xml:space="preserve">24%, de la misma forma se presenta para las camionetas por demanda presentando una variación de </w:t>
                  </w:r>
                  <w:r w:rsidR="009576EC">
                    <w:rPr>
                      <w:rFonts w:ascii="Century Gothic" w:eastAsia="Times New Roman" w:hAnsi="Century Gothic"/>
                      <w:color w:val="000000"/>
                      <w:sz w:val="14"/>
                      <w:szCs w:val="14"/>
                      <w:lang w:val="es-CO" w:eastAsia="es-CO"/>
                    </w:rPr>
                    <w:t>219%</w:t>
                  </w:r>
                  <w:r w:rsidRPr="00421FA0">
                    <w:rPr>
                      <w:rFonts w:ascii="Century Gothic" w:eastAsia="Times New Roman" w:hAnsi="Century Gothic"/>
                      <w:color w:val="000000"/>
                      <w:sz w:val="14"/>
                      <w:szCs w:val="14"/>
                      <w:lang w:val="es-CO" w:eastAsia="es-CO"/>
                    </w:rPr>
                    <w:t xml:space="preserve"> </w:t>
                  </w:r>
                  <w:r w:rsidR="009576EC">
                    <w:rPr>
                      <w:rFonts w:ascii="Century Gothic" w:eastAsia="Times New Roman" w:hAnsi="Century Gothic"/>
                      <w:color w:val="000000"/>
                      <w:sz w:val="14"/>
                      <w:szCs w:val="14"/>
                      <w:lang w:val="es-CO" w:eastAsia="es-CO"/>
                    </w:rPr>
                    <w:t>porque A</w:t>
                  </w:r>
                  <w:r w:rsidR="009576EC" w:rsidRPr="00002249">
                    <w:rPr>
                      <w:rFonts w:ascii="Century Gothic" w:eastAsia="Times New Roman" w:hAnsi="Century Gothic"/>
                      <w:color w:val="000000"/>
                      <w:sz w:val="14"/>
                      <w:szCs w:val="14"/>
                      <w:lang w:val="es-CO" w:eastAsia="es-CO"/>
                    </w:rPr>
                    <w:t xml:space="preserve">dministrativa </w:t>
                  </w:r>
                  <w:r w:rsidR="009576EC">
                    <w:rPr>
                      <w:rFonts w:ascii="Century Gothic" w:eastAsia="Times New Roman" w:hAnsi="Century Gothic"/>
                      <w:color w:val="000000"/>
                      <w:sz w:val="14"/>
                      <w:szCs w:val="14"/>
                      <w:lang w:val="es-CO" w:eastAsia="es-CO"/>
                    </w:rPr>
                    <w:t xml:space="preserve">asume </w:t>
                  </w:r>
                  <w:r w:rsidR="009576EC" w:rsidRPr="00002249">
                    <w:rPr>
                      <w:rFonts w:ascii="Century Gothic" w:eastAsia="Times New Roman" w:hAnsi="Century Gothic"/>
                      <w:color w:val="000000"/>
                      <w:sz w:val="14"/>
                      <w:szCs w:val="14"/>
                      <w:lang w:val="es-CO" w:eastAsia="es-CO"/>
                    </w:rPr>
                    <w:t xml:space="preserve">los vehículos que estaban a cargo de Servicio al Ciudadano </w:t>
                  </w:r>
                  <w:r w:rsidR="009576EC">
                    <w:rPr>
                      <w:rFonts w:ascii="Century Gothic" w:eastAsia="Times New Roman" w:hAnsi="Century Gothic"/>
                      <w:color w:val="000000"/>
                      <w:sz w:val="14"/>
                      <w:szCs w:val="14"/>
                      <w:lang w:val="es-CO" w:eastAsia="es-CO"/>
                    </w:rPr>
                    <w:t xml:space="preserve">y </w:t>
                  </w:r>
                  <w:r w:rsidRPr="00421FA0">
                    <w:rPr>
                      <w:rFonts w:ascii="Century Gothic" w:eastAsia="Times New Roman" w:hAnsi="Century Gothic"/>
                      <w:color w:val="000000"/>
                      <w:sz w:val="14"/>
                      <w:szCs w:val="14"/>
                      <w:lang w:val="es-CO" w:eastAsia="es-CO"/>
                    </w:rPr>
                    <w:t xml:space="preserve">por políticas de austeridad en la reducción de comisiones se </w:t>
                  </w:r>
                  <w:r w:rsidR="004405D7" w:rsidRPr="00002249">
                    <w:rPr>
                      <w:rFonts w:ascii="Century Gothic" w:eastAsia="Times New Roman" w:hAnsi="Century Gothic"/>
                      <w:color w:val="000000"/>
                      <w:sz w:val="14"/>
                      <w:szCs w:val="14"/>
                      <w:lang w:val="es-CO" w:eastAsia="es-CO"/>
                    </w:rPr>
                    <w:t>acogieron</w:t>
                  </w:r>
                  <w:r w:rsidR="004405D7" w:rsidRPr="00421FA0">
                    <w:rPr>
                      <w:rFonts w:ascii="Century Gothic" w:eastAsia="Times New Roman" w:hAnsi="Century Gothic"/>
                      <w:color w:val="000000"/>
                      <w:sz w:val="14"/>
                      <w:szCs w:val="14"/>
                      <w:lang w:val="es-CO" w:eastAsia="es-CO"/>
                    </w:rPr>
                    <w:t xml:space="preserve"> </w:t>
                  </w:r>
                  <w:r w:rsidRPr="00421FA0">
                    <w:rPr>
                      <w:rFonts w:ascii="Century Gothic" w:eastAsia="Times New Roman" w:hAnsi="Century Gothic"/>
                      <w:color w:val="000000"/>
                      <w:sz w:val="14"/>
                      <w:szCs w:val="14"/>
                      <w:lang w:val="es-CO" w:eastAsia="es-CO"/>
                    </w:rPr>
                    <w:t>en este servicio.</w:t>
                  </w:r>
                </w:p>
                <w:p w:rsidR="00542328" w:rsidRPr="00421FA0"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Para el caso del FRV, las camionetas por demanda disminuyen en 50%, por políticas del área sumado a la reducción de comisiones se redujo los servicios de noviembre y en diciembre no se utilizó vehículos.</w:t>
                  </w:r>
                </w:p>
              </w:tc>
            </w:tr>
            <w:tr w:rsidR="00542328" w:rsidRPr="00421FA0" w:rsidTr="00B601A4">
              <w:trPr>
                <w:trHeight w:val="364"/>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3</w:t>
                  </w:r>
                </w:p>
              </w:tc>
              <w:tc>
                <w:tcPr>
                  <w:tcW w:w="1690" w:type="dxa"/>
                  <w:tcBorders>
                    <w:top w:val="nil"/>
                    <w:left w:val="nil"/>
                    <w:bottom w:val="single" w:sz="4" w:space="0" w:color="auto"/>
                    <w:right w:val="single" w:sz="4" w:space="0" w:color="auto"/>
                  </w:tcBorders>
                  <w:shd w:val="clear" w:color="auto" w:fill="auto"/>
                  <w:vAlign w:val="center"/>
                  <w:hideMark/>
                </w:tcPr>
                <w:p w:rsidR="00542328" w:rsidRPr="00421FA0" w:rsidRDefault="00542328" w:rsidP="00542328">
                  <w:pPr>
                    <w:spacing w:after="0"/>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 xml:space="preserve">Administrativa </w:t>
                  </w:r>
                  <w:r w:rsidRPr="00421FA0">
                    <w:rPr>
                      <w:rFonts w:ascii="Century Gothic" w:eastAsia="Times New Roman" w:hAnsi="Century Gothic"/>
                      <w:b/>
                      <w:bCs/>
                      <w:color w:val="000000"/>
                      <w:sz w:val="14"/>
                      <w:szCs w:val="14"/>
                      <w:lang w:val="es-CO" w:eastAsia="es-CO"/>
                    </w:rPr>
                    <w:br/>
                    <w:t>(Vehículos fijos)</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17</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21</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421FA0" w:rsidRDefault="00542328" w:rsidP="00542328">
                  <w:pPr>
                    <w:spacing w:after="0"/>
                    <w:jc w:val="right"/>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23,53%</w:t>
                  </w:r>
                </w:p>
              </w:tc>
              <w:tc>
                <w:tcPr>
                  <w:tcW w:w="5387" w:type="dxa"/>
                  <w:vMerge/>
                  <w:tcBorders>
                    <w:top w:val="nil"/>
                    <w:left w:val="nil"/>
                    <w:bottom w:val="single" w:sz="4" w:space="0" w:color="auto"/>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r w:rsidR="00542328" w:rsidRPr="00421FA0" w:rsidTr="00B601A4">
              <w:trPr>
                <w:trHeight w:val="388"/>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4</w:t>
                  </w:r>
                </w:p>
              </w:tc>
              <w:tc>
                <w:tcPr>
                  <w:tcW w:w="1690" w:type="dxa"/>
                  <w:tcBorders>
                    <w:top w:val="nil"/>
                    <w:left w:val="nil"/>
                    <w:bottom w:val="single" w:sz="4" w:space="0" w:color="auto"/>
                    <w:right w:val="single" w:sz="4" w:space="0" w:color="auto"/>
                  </w:tcBorders>
                  <w:shd w:val="clear" w:color="auto" w:fill="auto"/>
                  <w:vAlign w:val="center"/>
                  <w:hideMark/>
                </w:tcPr>
                <w:p w:rsidR="00542328" w:rsidRPr="00421FA0" w:rsidRDefault="00542328" w:rsidP="00542328">
                  <w:pPr>
                    <w:spacing w:after="0"/>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 xml:space="preserve">Administrativa </w:t>
                  </w:r>
                  <w:r w:rsidRPr="00421FA0">
                    <w:rPr>
                      <w:rFonts w:ascii="Century Gothic" w:eastAsia="Times New Roman" w:hAnsi="Century Gothic"/>
                      <w:b/>
                      <w:bCs/>
                      <w:color w:val="000000"/>
                      <w:sz w:val="14"/>
                      <w:szCs w:val="14"/>
                      <w:lang w:val="es-CO" w:eastAsia="es-CO"/>
                    </w:rPr>
                    <w:br/>
                    <w:t>(Servicio prestado)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42328" w:rsidRPr="00421FA0" w:rsidRDefault="009576EC"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1</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220</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421FA0" w:rsidRDefault="009576EC"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219%</w:t>
                  </w:r>
                </w:p>
              </w:tc>
              <w:tc>
                <w:tcPr>
                  <w:tcW w:w="5387" w:type="dxa"/>
                  <w:vMerge/>
                  <w:tcBorders>
                    <w:top w:val="nil"/>
                    <w:left w:val="nil"/>
                    <w:bottom w:val="single" w:sz="4" w:space="0" w:color="auto"/>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r w:rsidR="009576EC" w:rsidRPr="00421FA0" w:rsidTr="00B601A4">
              <w:trPr>
                <w:trHeight w:val="388"/>
              </w:trPr>
              <w:tc>
                <w:tcPr>
                  <w:tcW w:w="360" w:type="dxa"/>
                  <w:tcBorders>
                    <w:top w:val="nil"/>
                    <w:left w:val="single" w:sz="4" w:space="0" w:color="auto"/>
                    <w:bottom w:val="single" w:sz="4" w:space="0" w:color="auto"/>
                    <w:right w:val="single" w:sz="4" w:space="0" w:color="auto"/>
                  </w:tcBorders>
                  <w:shd w:val="clear" w:color="auto" w:fill="auto"/>
                  <w:noWrap/>
                  <w:vAlign w:val="center"/>
                </w:tcPr>
                <w:p w:rsidR="009576EC" w:rsidRPr="00421FA0" w:rsidRDefault="009576EC"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5</w:t>
                  </w:r>
                </w:p>
              </w:tc>
              <w:tc>
                <w:tcPr>
                  <w:tcW w:w="1690" w:type="dxa"/>
                  <w:tcBorders>
                    <w:top w:val="nil"/>
                    <w:left w:val="nil"/>
                    <w:bottom w:val="single" w:sz="4" w:space="0" w:color="auto"/>
                    <w:right w:val="single" w:sz="4" w:space="0" w:color="auto"/>
                  </w:tcBorders>
                  <w:shd w:val="clear" w:color="auto" w:fill="auto"/>
                  <w:vAlign w:val="center"/>
                </w:tcPr>
                <w:p w:rsidR="009576EC" w:rsidRPr="00421FA0" w:rsidRDefault="009576EC" w:rsidP="00542328">
                  <w:pPr>
                    <w:spacing w:after="0"/>
                    <w:rPr>
                      <w:rFonts w:ascii="Century Gothic" w:eastAsia="Times New Roman" w:hAnsi="Century Gothic"/>
                      <w:b/>
                      <w:bCs/>
                      <w:color w:val="000000"/>
                      <w:sz w:val="14"/>
                      <w:szCs w:val="14"/>
                      <w:lang w:val="es-CO" w:eastAsia="es-CO"/>
                    </w:rPr>
                  </w:pPr>
                  <w:r w:rsidRPr="00002249">
                    <w:rPr>
                      <w:rFonts w:ascii="Century Gothic" w:eastAsia="Times New Roman" w:hAnsi="Century Gothic"/>
                      <w:b/>
                      <w:bCs/>
                      <w:color w:val="000000"/>
                      <w:sz w:val="14"/>
                      <w:szCs w:val="14"/>
                      <w:lang w:val="es-CO" w:eastAsia="es-CO"/>
                    </w:rPr>
                    <w:t xml:space="preserve">Servicio al </w:t>
                  </w:r>
                  <w:r>
                    <w:rPr>
                      <w:rFonts w:ascii="Century Gothic" w:eastAsia="Times New Roman" w:hAnsi="Century Gothic"/>
                      <w:b/>
                      <w:bCs/>
                      <w:color w:val="000000"/>
                      <w:sz w:val="14"/>
                      <w:szCs w:val="14"/>
                      <w:lang w:val="es-CO" w:eastAsia="es-CO"/>
                    </w:rPr>
                    <w:t>C</w:t>
                  </w:r>
                  <w:r w:rsidRPr="00002249">
                    <w:rPr>
                      <w:rFonts w:ascii="Century Gothic" w:eastAsia="Times New Roman" w:hAnsi="Century Gothic"/>
                      <w:b/>
                      <w:bCs/>
                      <w:color w:val="000000"/>
                      <w:sz w:val="14"/>
                      <w:szCs w:val="14"/>
                      <w:lang w:val="es-CO" w:eastAsia="es-CO"/>
                    </w:rPr>
                    <w:t>iudadano</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576EC" w:rsidRPr="00421FA0" w:rsidRDefault="009576EC"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167</w:t>
                  </w:r>
                </w:p>
              </w:tc>
              <w:tc>
                <w:tcPr>
                  <w:tcW w:w="848" w:type="dxa"/>
                  <w:tcBorders>
                    <w:top w:val="single" w:sz="4" w:space="0" w:color="auto"/>
                    <w:left w:val="nil"/>
                    <w:bottom w:val="single" w:sz="4" w:space="0" w:color="auto"/>
                    <w:right w:val="single" w:sz="4" w:space="0" w:color="auto"/>
                  </w:tcBorders>
                  <w:shd w:val="clear" w:color="auto" w:fill="auto"/>
                  <w:vAlign w:val="center"/>
                </w:tcPr>
                <w:p w:rsidR="009576EC" w:rsidRPr="00421FA0" w:rsidRDefault="009576EC"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1275" w:type="dxa"/>
                  <w:tcBorders>
                    <w:top w:val="nil"/>
                    <w:left w:val="nil"/>
                    <w:bottom w:val="single" w:sz="4" w:space="0" w:color="auto"/>
                    <w:right w:val="single" w:sz="4" w:space="0" w:color="auto"/>
                  </w:tcBorders>
                  <w:shd w:val="clear" w:color="auto" w:fill="auto"/>
                  <w:noWrap/>
                  <w:vAlign w:val="center"/>
                </w:tcPr>
                <w:p w:rsidR="009576EC" w:rsidRPr="00421FA0" w:rsidRDefault="009576EC" w:rsidP="00542328">
                  <w:pPr>
                    <w:spacing w:after="0"/>
                    <w:jc w:val="right"/>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0%</w:t>
                  </w:r>
                </w:p>
              </w:tc>
              <w:tc>
                <w:tcPr>
                  <w:tcW w:w="5387" w:type="dxa"/>
                  <w:vMerge/>
                  <w:tcBorders>
                    <w:top w:val="nil"/>
                    <w:left w:val="nil"/>
                    <w:bottom w:val="single" w:sz="4" w:space="0" w:color="auto"/>
                    <w:right w:val="single" w:sz="4" w:space="0" w:color="auto"/>
                  </w:tcBorders>
                  <w:vAlign w:val="center"/>
                </w:tcPr>
                <w:p w:rsidR="009576EC" w:rsidRPr="00421FA0" w:rsidRDefault="009576EC" w:rsidP="00542328">
                  <w:pPr>
                    <w:spacing w:after="0"/>
                    <w:rPr>
                      <w:rFonts w:ascii="Century Gothic" w:eastAsia="Times New Roman" w:hAnsi="Century Gothic"/>
                      <w:color w:val="000000"/>
                      <w:sz w:val="14"/>
                      <w:szCs w:val="14"/>
                      <w:lang w:val="es-CO" w:eastAsia="es-CO"/>
                    </w:rPr>
                  </w:pPr>
                </w:p>
              </w:tc>
            </w:tr>
            <w:tr w:rsidR="00542328" w:rsidRPr="00421FA0" w:rsidTr="00B601A4">
              <w:trPr>
                <w:trHeight w:val="332"/>
              </w:trPr>
              <w:tc>
                <w:tcPr>
                  <w:tcW w:w="360" w:type="dxa"/>
                  <w:tcBorders>
                    <w:top w:val="nil"/>
                    <w:left w:val="single" w:sz="4" w:space="0" w:color="auto"/>
                    <w:bottom w:val="single" w:sz="4" w:space="0" w:color="auto"/>
                    <w:right w:val="single" w:sz="4" w:space="0" w:color="auto"/>
                  </w:tcBorders>
                  <w:shd w:val="clear" w:color="auto" w:fill="auto"/>
                  <w:noWrap/>
                  <w:vAlign w:val="center"/>
                  <w:hideMark/>
                </w:tcPr>
                <w:p w:rsidR="00542328" w:rsidRPr="00421FA0" w:rsidRDefault="009576EC" w:rsidP="00542328">
                  <w:pPr>
                    <w:spacing w:after="0"/>
                    <w:jc w:val="center"/>
                    <w:rPr>
                      <w:rFonts w:ascii="Century Gothic" w:eastAsia="Times New Roman" w:hAnsi="Century Gothic"/>
                      <w:color w:val="000000"/>
                      <w:sz w:val="14"/>
                      <w:szCs w:val="14"/>
                      <w:lang w:val="es-CO" w:eastAsia="es-CO"/>
                    </w:rPr>
                  </w:pPr>
                  <w:r>
                    <w:rPr>
                      <w:rFonts w:ascii="Century Gothic" w:eastAsia="Times New Roman" w:hAnsi="Century Gothic"/>
                      <w:color w:val="000000"/>
                      <w:sz w:val="14"/>
                      <w:szCs w:val="14"/>
                      <w:lang w:val="es-CO" w:eastAsia="es-CO"/>
                    </w:rPr>
                    <w:t>6</w:t>
                  </w:r>
                </w:p>
              </w:tc>
              <w:tc>
                <w:tcPr>
                  <w:tcW w:w="1690" w:type="dxa"/>
                  <w:tcBorders>
                    <w:top w:val="nil"/>
                    <w:left w:val="nil"/>
                    <w:bottom w:val="single" w:sz="4" w:space="0" w:color="auto"/>
                    <w:right w:val="single" w:sz="4" w:space="0" w:color="auto"/>
                  </w:tcBorders>
                  <w:shd w:val="clear" w:color="auto" w:fill="auto"/>
                  <w:vAlign w:val="center"/>
                  <w:hideMark/>
                </w:tcPr>
                <w:p w:rsidR="00542328" w:rsidRPr="00421FA0" w:rsidRDefault="00542328" w:rsidP="00542328">
                  <w:pPr>
                    <w:spacing w:after="0"/>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Fondo de Reparación (Servicio prestado)</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69</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542328" w:rsidRPr="00421FA0" w:rsidRDefault="00542328" w:rsidP="00542328">
                  <w:pPr>
                    <w:spacing w:after="0"/>
                    <w:jc w:val="center"/>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31</w:t>
                  </w:r>
                </w:p>
              </w:tc>
              <w:tc>
                <w:tcPr>
                  <w:tcW w:w="1275" w:type="dxa"/>
                  <w:tcBorders>
                    <w:top w:val="nil"/>
                    <w:left w:val="nil"/>
                    <w:bottom w:val="single" w:sz="4" w:space="0" w:color="auto"/>
                    <w:right w:val="single" w:sz="4" w:space="0" w:color="auto"/>
                  </w:tcBorders>
                  <w:shd w:val="clear" w:color="auto" w:fill="auto"/>
                  <w:noWrap/>
                  <w:vAlign w:val="center"/>
                  <w:hideMark/>
                </w:tcPr>
                <w:p w:rsidR="00542328" w:rsidRPr="00421FA0" w:rsidRDefault="00542328" w:rsidP="00542328">
                  <w:pPr>
                    <w:spacing w:after="0"/>
                    <w:jc w:val="right"/>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-55,07%</w:t>
                  </w:r>
                </w:p>
              </w:tc>
              <w:tc>
                <w:tcPr>
                  <w:tcW w:w="5387" w:type="dxa"/>
                  <w:vMerge/>
                  <w:tcBorders>
                    <w:top w:val="nil"/>
                    <w:left w:val="nil"/>
                    <w:bottom w:val="single" w:sz="4" w:space="0" w:color="auto"/>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r w:rsidR="00542328" w:rsidRPr="00421FA0" w:rsidTr="00CB478D">
              <w:trPr>
                <w:trHeight w:val="2970"/>
              </w:trPr>
              <w:tc>
                <w:tcPr>
                  <w:tcW w:w="10410" w:type="dxa"/>
                  <w:gridSpan w:val="6"/>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328" w:rsidRDefault="00542328" w:rsidP="00542328">
                  <w:pPr>
                    <w:spacing w:after="0"/>
                    <w:jc w:val="both"/>
                    <w:rPr>
                      <w:rFonts w:ascii="Century Gothic" w:eastAsia="Times New Roman" w:hAnsi="Century Gothic"/>
                      <w:b/>
                      <w:bCs/>
                      <w:color w:val="000000"/>
                      <w:sz w:val="14"/>
                      <w:szCs w:val="14"/>
                      <w:lang w:val="es-CO" w:eastAsia="es-CO"/>
                    </w:rPr>
                  </w:pPr>
                  <w:r w:rsidRPr="00421FA0">
                    <w:rPr>
                      <w:rFonts w:ascii="Century Gothic" w:eastAsia="Times New Roman" w:hAnsi="Century Gothic"/>
                      <w:b/>
                      <w:bCs/>
                      <w:color w:val="000000"/>
                      <w:sz w:val="14"/>
                      <w:szCs w:val="14"/>
                      <w:lang w:val="es-CO" w:eastAsia="es-CO"/>
                    </w:rPr>
                    <w:t>Información enviada por el proceso:</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br/>
                  </w:r>
                  <w:r w:rsidRPr="00421FA0">
                    <w:rPr>
                      <w:rFonts w:ascii="Century Gothic" w:eastAsia="Times New Roman" w:hAnsi="Century Gothic"/>
                      <w:b/>
                      <w:bCs/>
                      <w:color w:val="000000"/>
                      <w:sz w:val="14"/>
                      <w:szCs w:val="14"/>
                      <w:u w:val="single"/>
                      <w:lang w:val="es-CO" w:eastAsia="es-CO"/>
                    </w:rPr>
                    <w:t xml:space="preserve">Administrativa: </w:t>
                  </w:r>
                  <w:r w:rsidRPr="00421FA0">
                    <w:rPr>
                      <w:rFonts w:ascii="Century Gothic" w:eastAsia="Times New Roman" w:hAnsi="Century Gothic"/>
                      <w:b/>
                      <w:bCs/>
                      <w:color w:val="000000"/>
                      <w:sz w:val="14"/>
                      <w:szCs w:val="14"/>
                      <w:u w:val="single"/>
                      <w:lang w:val="es-CO" w:eastAsia="es-CO"/>
                    </w:rPr>
                    <w:br/>
                  </w:r>
                  <w:r w:rsidRPr="00421FA0">
                    <w:rPr>
                      <w:rFonts w:ascii="Century Gothic" w:eastAsia="Times New Roman" w:hAnsi="Century Gothic"/>
                      <w:color w:val="000000"/>
                      <w:sz w:val="14"/>
                      <w:szCs w:val="14"/>
                      <w:lang w:val="es-CO" w:eastAsia="es-CO"/>
                    </w:rPr>
                    <w:t xml:space="preserve">En el </w:t>
                  </w:r>
                  <w:r w:rsidRPr="00421FA0">
                    <w:rPr>
                      <w:rFonts w:ascii="Century Gothic" w:eastAsia="Times New Roman" w:hAnsi="Century Gothic"/>
                      <w:b/>
                      <w:bCs/>
                      <w:color w:val="000000"/>
                      <w:sz w:val="14"/>
                      <w:szCs w:val="14"/>
                      <w:lang w:val="es-CO" w:eastAsia="es-CO"/>
                    </w:rPr>
                    <w:t>2015</w:t>
                  </w:r>
                  <w:r w:rsidRPr="00421FA0">
                    <w:rPr>
                      <w:rFonts w:ascii="Century Gothic" w:eastAsia="Times New Roman" w:hAnsi="Century Gothic"/>
                      <w:color w:val="000000"/>
                      <w:sz w:val="14"/>
                      <w:szCs w:val="14"/>
                      <w:lang w:val="es-CO" w:eastAsia="es-CO"/>
                    </w:rPr>
                    <w:t xml:space="preserve"> en octubre se utilizó 19 territoriales ya que Sincelejo no cuenta con Director, 2 para Secretaria General y Subdirección, 1 Administrativa y 1 por demanda, en noviembre solo se han utilizado 19 territoriales ya que Sincelejo no cuenta con Director, 2 para Secretaria General y Subdirección, 1 por demanda. En diciembre 4 territoriales, 2 para Secretaria General y Subdirección, 1 por demanda.</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br/>
                  </w:r>
                  <w:r w:rsidRPr="00421FA0">
                    <w:rPr>
                      <w:rFonts w:ascii="Century Gothic" w:eastAsia="Times New Roman" w:hAnsi="Century Gothic"/>
                      <w:bCs/>
                      <w:color w:val="000000"/>
                      <w:sz w:val="14"/>
                      <w:szCs w:val="14"/>
                      <w:u w:val="single"/>
                      <w:lang w:val="es-CO" w:eastAsia="es-CO"/>
                    </w:rPr>
                    <w:t>Camionetas Fijas:</w:t>
                  </w:r>
                  <w:r w:rsidRPr="00421FA0">
                    <w:rPr>
                      <w:rFonts w:ascii="Century Gothic" w:eastAsia="Times New Roman" w:hAnsi="Century Gothic"/>
                      <w:color w:val="000000"/>
                      <w:sz w:val="14"/>
                      <w:szCs w:val="14"/>
                      <w:lang w:val="es-CO" w:eastAsia="es-CO"/>
                    </w:rPr>
                    <w:t xml:space="preserve"> En Octubre del 2016 se utilizó la totalidad de la Flota según lo estipulado en el contrato que son 20 camionetas para las territoriales, 2 camionetas las cuales son para Secretaria General y Subdirección. EN noviembre del 2016 se Utilizó 19 camionetas para las territoriales, 2 camionetas las cuales son para Secretaria General y Subdirección, En Diciembre del 2016 se Utilizó 19 camionetas para territoriales, 2 camionetas las cuales son para Secretaria General y Subdirección.</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bCs/>
                      <w:color w:val="000000"/>
                      <w:sz w:val="14"/>
                      <w:szCs w:val="14"/>
                      <w:u w:val="single"/>
                      <w:lang w:val="es-CO" w:eastAsia="es-CO"/>
                    </w:rPr>
                    <w:t>Camionetas X demanda:</w:t>
                  </w:r>
                  <w:r w:rsidRPr="00421FA0">
                    <w:rPr>
                      <w:rFonts w:ascii="Century Gothic" w:eastAsia="Times New Roman" w:hAnsi="Century Gothic"/>
                      <w:color w:val="000000"/>
                      <w:sz w:val="14"/>
                      <w:szCs w:val="14"/>
                      <w:lang w:val="es-CO" w:eastAsia="es-CO"/>
                    </w:rPr>
                    <w:t xml:space="preserve"> En Octubre del 2016 se atendió un total de 116 solicitudes por demanda. En el Mes de Noviembre atendió un total de 241 camionetas por demanda. En diciembre atendió un total de 304 camionetas por demanda, para un total de 661 solicitudes de servicios prestados en todo el territorio Nacional.</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Un promedio de 7 a 8 camionetas por día durante tres meses.</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br/>
                  </w:r>
                  <w:r w:rsidRPr="00421FA0">
                    <w:rPr>
                      <w:rFonts w:ascii="Century Gothic" w:eastAsia="Times New Roman" w:hAnsi="Century Gothic"/>
                      <w:bCs/>
                      <w:color w:val="000000"/>
                      <w:sz w:val="14"/>
                      <w:szCs w:val="14"/>
                      <w:u w:val="single"/>
                      <w:lang w:val="es-CO" w:eastAsia="es-CO"/>
                    </w:rPr>
                    <w:t>NOTA 1:</w:t>
                  </w:r>
                  <w:r w:rsidRPr="00421FA0">
                    <w:rPr>
                      <w:rFonts w:ascii="Century Gothic" w:eastAsia="Times New Roman" w:hAnsi="Century Gothic"/>
                      <w:color w:val="000000"/>
                      <w:sz w:val="14"/>
                      <w:szCs w:val="14"/>
                      <w:lang w:val="es-CO" w:eastAsia="es-CO"/>
                    </w:rPr>
                    <w:t xml:space="preserve"> El incremento de los vehículos del 2015 a 2016 se debe a que el área de servicio Ciudadano por orden de la Dirección se disolvió y la carga de vehículos por demanda paso al área de Gestión Administrativa y Documental.</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t xml:space="preserve"> </w:t>
                  </w:r>
                  <w:r w:rsidRPr="00421FA0">
                    <w:rPr>
                      <w:rFonts w:ascii="Century Gothic" w:eastAsia="Times New Roman" w:hAnsi="Century Gothic"/>
                      <w:bCs/>
                      <w:color w:val="000000"/>
                      <w:sz w:val="14"/>
                      <w:szCs w:val="14"/>
                      <w:u w:val="single"/>
                      <w:lang w:val="es-CO" w:eastAsia="es-CO"/>
                    </w:rPr>
                    <w:t>NOTA 2:</w:t>
                  </w:r>
                  <w:r w:rsidRPr="00421FA0">
                    <w:rPr>
                      <w:rFonts w:ascii="Century Gothic" w:eastAsia="Times New Roman" w:hAnsi="Century Gothic"/>
                      <w:color w:val="000000"/>
                      <w:sz w:val="14"/>
                      <w:szCs w:val="14"/>
                      <w:lang w:val="es-CO" w:eastAsia="es-CO"/>
                    </w:rPr>
                    <w:t xml:space="preserve"> Un factor de incremento en los meses de noviembre y diciembre de servicios se debió a la baja aprobación de viáticos por parte de Talento humano por tal motivo los funcionarios requirieron más el apoyo de transporte en vehículos</w:t>
                  </w:r>
                  <w:r>
                    <w:rPr>
                      <w:rFonts w:ascii="Century Gothic" w:eastAsia="Times New Roman" w:hAnsi="Century Gothic"/>
                      <w:color w:val="000000"/>
                      <w:sz w:val="14"/>
                      <w:szCs w:val="14"/>
                      <w:lang w:val="es-CO" w:eastAsia="es-CO"/>
                    </w:rPr>
                    <w:t>.</w:t>
                  </w:r>
                </w:p>
                <w:p w:rsidR="00542328" w:rsidRDefault="00542328" w:rsidP="00542328">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bCs/>
                      <w:color w:val="000000"/>
                      <w:sz w:val="14"/>
                      <w:szCs w:val="14"/>
                      <w:u w:val="single"/>
                      <w:lang w:val="es-CO" w:eastAsia="es-CO"/>
                    </w:rPr>
                    <w:t>NOTA 3:</w:t>
                  </w:r>
                  <w:r w:rsidRPr="00421FA0">
                    <w:rPr>
                      <w:rFonts w:ascii="Century Gothic" w:eastAsia="Times New Roman" w:hAnsi="Century Gothic"/>
                      <w:color w:val="000000"/>
                      <w:sz w:val="14"/>
                      <w:szCs w:val="14"/>
                      <w:lang w:val="es-CO" w:eastAsia="es-CO"/>
                    </w:rPr>
                    <w:t xml:space="preserve"> Otro Factor que influyó en el incremento noviembre y diciembre, el agotamiento de los recursos en la ejecución del contrato de comisión No 1436 de 2016 "Servicio de transporte para apoyo en la Atención de misiones Humanitarias y Emergencias" de la Subdirección de Prevención y Emergencias, ya que las solicitudes de ellos fueron atendidas por área de Gestión Administrativa y Documental</w:t>
                  </w:r>
                  <w:r>
                    <w:rPr>
                      <w:rFonts w:ascii="Century Gothic" w:eastAsia="Times New Roman" w:hAnsi="Century Gothic"/>
                      <w:color w:val="000000"/>
                      <w:sz w:val="14"/>
                      <w:szCs w:val="14"/>
                      <w:lang w:val="es-CO" w:eastAsia="es-CO"/>
                    </w:rPr>
                    <w:t>.</w:t>
                  </w:r>
                </w:p>
                <w:p w:rsidR="00542328" w:rsidRPr="00CB478D" w:rsidRDefault="00542328" w:rsidP="00CB478D">
                  <w:pPr>
                    <w:spacing w:after="0"/>
                    <w:jc w:val="both"/>
                    <w:rPr>
                      <w:rFonts w:ascii="Century Gothic" w:eastAsia="Times New Roman" w:hAnsi="Century Gothic"/>
                      <w:color w:val="000000"/>
                      <w:sz w:val="14"/>
                      <w:szCs w:val="14"/>
                      <w:lang w:val="es-CO" w:eastAsia="es-CO"/>
                    </w:rPr>
                  </w:pPr>
                  <w:r w:rsidRPr="00421FA0">
                    <w:rPr>
                      <w:rFonts w:ascii="Century Gothic" w:eastAsia="Times New Roman" w:hAnsi="Century Gothic"/>
                      <w:color w:val="000000"/>
                      <w:sz w:val="14"/>
                      <w:szCs w:val="14"/>
                      <w:lang w:val="es-CO" w:eastAsia="es-CO"/>
                    </w:rPr>
                    <w:br/>
                  </w:r>
                  <w:r w:rsidRPr="00421FA0">
                    <w:rPr>
                      <w:rFonts w:ascii="Century Gothic" w:eastAsia="Times New Roman" w:hAnsi="Century Gothic"/>
                      <w:b/>
                      <w:bCs/>
                      <w:color w:val="000000"/>
                      <w:sz w:val="14"/>
                      <w:szCs w:val="14"/>
                      <w:u w:val="single"/>
                      <w:lang w:val="es-CO" w:eastAsia="es-CO"/>
                    </w:rPr>
                    <w:t>FRV:</w:t>
                  </w:r>
                  <w:r w:rsidRPr="00421FA0">
                    <w:rPr>
                      <w:rFonts w:ascii="Century Gothic" w:eastAsia="Times New Roman" w:hAnsi="Century Gothic"/>
                      <w:color w:val="000000"/>
                      <w:sz w:val="14"/>
                      <w:szCs w:val="14"/>
                      <w:lang w:val="es-CO" w:eastAsia="es-CO"/>
                    </w:rPr>
                    <w:t xml:space="preserve"> Durante el periodo del 4 trimestre del 2016 se presentó una reducción del 47,46% respecto al mismo periodo del 2015 lo anterior debido al cumplimiento del plan de austeridad según la directiva presidencial del 2016.</w:t>
                  </w:r>
                </w:p>
              </w:tc>
            </w:tr>
            <w:tr w:rsidR="00542328" w:rsidRPr="00421FA0" w:rsidTr="00CB478D">
              <w:trPr>
                <w:trHeight w:val="1515"/>
              </w:trPr>
              <w:tc>
                <w:tcPr>
                  <w:tcW w:w="10410" w:type="dxa"/>
                  <w:gridSpan w:val="6"/>
                  <w:vMerge/>
                  <w:tcBorders>
                    <w:top w:val="single" w:sz="4" w:space="0" w:color="auto"/>
                    <w:left w:val="single" w:sz="4" w:space="0" w:color="auto"/>
                    <w:bottom w:val="single" w:sz="4" w:space="0" w:color="000000"/>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r w:rsidR="00542328" w:rsidRPr="00421FA0" w:rsidTr="00CB478D">
              <w:trPr>
                <w:trHeight w:val="529"/>
              </w:trPr>
              <w:tc>
                <w:tcPr>
                  <w:tcW w:w="10410" w:type="dxa"/>
                  <w:gridSpan w:val="6"/>
                  <w:vMerge/>
                  <w:tcBorders>
                    <w:top w:val="single" w:sz="4" w:space="0" w:color="auto"/>
                    <w:left w:val="single" w:sz="4" w:space="0" w:color="auto"/>
                    <w:bottom w:val="single" w:sz="4" w:space="0" w:color="000000"/>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r w:rsidR="00542328" w:rsidRPr="00421FA0" w:rsidTr="00CB478D">
              <w:trPr>
                <w:trHeight w:val="300"/>
              </w:trPr>
              <w:tc>
                <w:tcPr>
                  <w:tcW w:w="10410" w:type="dxa"/>
                  <w:gridSpan w:val="6"/>
                  <w:vMerge/>
                  <w:tcBorders>
                    <w:top w:val="single" w:sz="4" w:space="0" w:color="auto"/>
                    <w:left w:val="single" w:sz="4" w:space="0" w:color="auto"/>
                    <w:bottom w:val="single" w:sz="4" w:space="0" w:color="auto"/>
                    <w:right w:val="single" w:sz="4" w:space="0" w:color="auto"/>
                  </w:tcBorders>
                  <w:vAlign w:val="center"/>
                  <w:hideMark/>
                </w:tcPr>
                <w:p w:rsidR="00542328" w:rsidRPr="00421FA0"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pStyle w:val="Ttulo1"/>
              <w:keepLines/>
              <w:numPr>
                <w:ilvl w:val="1"/>
                <w:numId w:val="31"/>
              </w:numPr>
              <w:ind w:left="604"/>
              <w:jc w:val="left"/>
              <w:rPr>
                <w:rFonts w:ascii="Century Gothic" w:hAnsi="Century Gothic"/>
                <w:sz w:val="20"/>
                <w:szCs w:val="20"/>
              </w:rPr>
            </w:pPr>
            <w:r w:rsidRPr="00890529">
              <w:rPr>
                <w:rFonts w:ascii="Century Gothic" w:hAnsi="Century Gothic"/>
                <w:sz w:val="20"/>
                <w:szCs w:val="20"/>
              </w:rPr>
              <w:t>Inmuebles y Mantenimiento.</w:t>
            </w:r>
          </w:p>
          <w:p w:rsidR="00542328" w:rsidRDefault="00542328" w:rsidP="00542328">
            <w:pPr>
              <w:spacing w:after="0"/>
              <w:jc w:val="both"/>
              <w:rPr>
                <w:rFonts w:ascii="Century Gothic" w:hAnsi="Century Gothic" w:cs="Arial"/>
                <w:sz w:val="20"/>
                <w:szCs w:val="20"/>
                <w:lang w:val="es-CO" w:eastAsia="es-CO"/>
              </w:rPr>
            </w:pPr>
          </w:p>
          <w:p w:rsidR="00542328" w:rsidRDefault="00542328" w:rsidP="00542328">
            <w:pPr>
              <w:spacing w:after="0"/>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20 del Capítulo IV del Decreto1737 de 1998 en temas relacionados en servicios administrativos – inmuebles y mantenimiento, se presenta a continuación la tabla donde se relaciona los pagos por cada concepto y una breve explicación de la dependencia.</w:t>
            </w:r>
          </w:p>
          <w:p w:rsidR="00542328" w:rsidRDefault="00542328" w:rsidP="00542328">
            <w:pPr>
              <w:spacing w:after="0"/>
              <w:jc w:val="both"/>
              <w:rPr>
                <w:rFonts w:ascii="Century Gothic" w:hAnsi="Century Gothic" w:cs="Arial"/>
                <w:sz w:val="20"/>
                <w:szCs w:val="20"/>
                <w:lang w:val="es-CO" w:eastAsia="es-CO"/>
              </w:rPr>
            </w:pPr>
          </w:p>
          <w:tbl>
            <w:tblPr>
              <w:tblW w:w="10410" w:type="dxa"/>
              <w:tblCellMar>
                <w:left w:w="70" w:type="dxa"/>
                <w:right w:w="70" w:type="dxa"/>
              </w:tblCellMar>
              <w:tblLook w:val="04A0" w:firstRow="1" w:lastRow="0" w:firstColumn="1" w:lastColumn="0" w:noHBand="0" w:noVBand="1"/>
            </w:tblPr>
            <w:tblGrid>
              <w:gridCol w:w="1761"/>
              <w:gridCol w:w="1276"/>
              <w:gridCol w:w="1276"/>
              <w:gridCol w:w="1559"/>
              <w:gridCol w:w="4538"/>
            </w:tblGrid>
            <w:tr w:rsidR="00542328" w:rsidRPr="00542328" w:rsidTr="00B601A4">
              <w:trPr>
                <w:trHeight w:val="315"/>
              </w:trPr>
              <w:tc>
                <w:tcPr>
                  <w:tcW w:w="587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Aspectos cuantitativos</w:t>
                  </w:r>
                </w:p>
              </w:tc>
              <w:tc>
                <w:tcPr>
                  <w:tcW w:w="4538" w:type="dxa"/>
                  <w:tcBorders>
                    <w:top w:val="single" w:sz="8" w:space="0" w:color="auto"/>
                    <w:left w:val="nil"/>
                    <w:bottom w:val="single" w:sz="8" w:space="0" w:color="auto"/>
                    <w:right w:val="single" w:sz="8" w:space="0" w:color="000000"/>
                  </w:tcBorders>
                  <w:shd w:val="clear" w:color="auto" w:fill="auto"/>
                  <w:noWrap/>
                  <w:vAlign w:val="bottom"/>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Aspectos cualitativos</w:t>
                  </w:r>
                </w:p>
              </w:tc>
            </w:tr>
            <w:tr w:rsidR="00542328" w:rsidRPr="00542328" w:rsidTr="00B601A4">
              <w:trPr>
                <w:trHeight w:val="1485"/>
              </w:trPr>
              <w:tc>
                <w:tcPr>
                  <w:tcW w:w="1761" w:type="dxa"/>
                  <w:tcBorders>
                    <w:top w:val="nil"/>
                    <w:left w:val="single" w:sz="8" w:space="0" w:color="auto"/>
                    <w:bottom w:val="single" w:sz="4" w:space="0" w:color="auto"/>
                    <w:right w:val="nil"/>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Concepto</w:t>
                  </w:r>
                </w:p>
              </w:tc>
              <w:tc>
                <w:tcPr>
                  <w:tcW w:w="1276" w:type="dxa"/>
                  <w:tcBorders>
                    <w:top w:val="nil"/>
                    <w:left w:val="single" w:sz="8" w:space="0" w:color="auto"/>
                    <w:bottom w:val="single" w:sz="4" w:space="0" w:color="auto"/>
                    <w:right w:val="single" w:sz="8"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de la vigencia 2015</w:t>
                  </w:r>
                </w:p>
              </w:tc>
              <w:tc>
                <w:tcPr>
                  <w:tcW w:w="1276" w:type="dxa"/>
                  <w:tcBorders>
                    <w:top w:val="nil"/>
                    <w:left w:val="nil"/>
                    <w:bottom w:val="single" w:sz="4" w:space="0" w:color="auto"/>
                    <w:right w:val="single" w:sz="8"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Valor pagado entre octubre - diciembre de la vigencia 2016</w:t>
                  </w:r>
                </w:p>
              </w:tc>
              <w:tc>
                <w:tcPr>
                  <w:tcW w:w="1559" w:type="dxa"/>
                  <w:tcBorders>
                    <w:top w:val="nil"/>
                    <w:left w:val="nil"/>
                    <w:bottom w:val="single" w:sz="4" w:space="0" w:color="auto"/>
                    <w:right w:val="single" w:sz="8" w:space="0" w:color="auto"/>
                  </w:tcBorders>
                  <w:shd w:val="clear" w:color="auto" w:fill="auto"/>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Variación del valor pagado entre octubre - diciembre de 2016 respecto al mismo periodo de la vigencia 2015</w:t>
                  </w:r>
                </w:p>
              </w:tc>
              <w:tc>
                <w:tcPr>
                  <w:tcW w:w="453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Este incremento de 8,65% se ve reflejado por el IPC y por el arrendamiento de la nueva sede de archivo en el edificio Globo en Bogotá para la presente vigencia.</w:t>
                  </w:r>
                  <w:r w:rsidRPr="00542328">
                    <w:rPr>
                      <w:rFonts w:ascii="Century Gothic" w:eastAsia="Times New Roman" w:hAnsi="Century Gothic"/>
                      <w:color w:val="000000"/>
                      <w:sz w:val="14"/>
                      <w:szCs w:val="14"/>
                      <w:lang w:val="es-CO" w:eastAsia="es-CO"/>
                    </w:rPr>
                    <w:br/>
                    <w:t>Para las DT Nariño se refleja el pago del canon de arrendamiento pendientes en lo corrido de esta vigencia, de acuerdo a la conciliación con los familiares debido a que el dueño del inmueble falleció y el pago del mismo se reflejó en diciembre de la presente vigencia incluyendo el incremento permitido por ley.</w:t>
                  </w:r>
                  <w:r w:rsidRPr="00542328">
                    <w:rPr>
                      <w:rFonts w:ascii="Century Gothic" w:eastAsia="Times New Roman" w:hAnsi="Century Gothic"/>
                      <w:color w:val="000000"/>
                      <w:sz w:val="14"/>
                      <w:szCs w:val="14"/>
                      <w:lang w:val="es-CO" w:eastAsia="es-CO"/>
                    </w:rPr>
                    <w:br/>
                    <w:t>El DPS asume con vigencia futura el canon de 2016 de Amazonas - Leticia.</w:t>
                  </w:r>
                </w:p>
              </w:tc>
            </w:tr>
            <w:tr w:rsidR="00542328" w:rsidRPr="00542328" w:rsidTr="00B601A4">
              <w:trPr>
                <w:trHeight w:val="658"/>
              </w:trPr>
              <w:tc>
                <w:tcPr>
                  <w:tcW w:w="1761" w:type="dxa"/>
                  <w:tcBorders>
                    <w:top w:val="nil"/>
                    <w:left w:val="single" w:sz="8" w:space="0" w:color="auto"/>
                    <w:bottom w:val="single" w:sz="4" w:space="0" w:color="auto"/>
                    <w:right w:val="nil"/>
                  </w:tcBorders>
                  <w:shd w:val="clear" w:color="auto" w:fill="auto"/>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Arrendamientos bienes inmuebles (1)</w:t>
                  </w:r>
                </w:p>
              </w:tc>
              <w:tc>
                <w:tcPr>
                  <w:tcW w:w="1276" w:type="dxa"/>
                  <w:tcBorders>
                    <w:top w:val="nil"/>
                    <w:left w:val="single" w:sz="8" w:space="0" w:color="auto"/>
                    <w:bottom w:val="single" w:sz="4" w:space="0" w:color="auto"/>
                    <w:right w:val="single" w:sz="8"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1.239.676.636   </w:t>
                  </w:r>
                </w:p>
              </w:tc>
              <w:tc>
                <w:tcPr>
                  <w:tcW w:w="1276" w:type="dxa"/>
                  <w:tcBorders>
                    <w:top w:val="nil"/>
                    <w:left w:val="nil"/>
                    <w:bottom w:val="single" w:sz="4" w:space="0" w:color="auto"/>
                    <w:right w:val="single" w:sz="8"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1.346.872.431   </w:t>
                  </w:r>
                </w:p>
              </w:tc>
              <w:tc>
                <w:tcPr>
                  <w:tcW w:w="1559" w:type="dxa"/>
                  <w:tcBorders>
                    <w:top w:val="nil"/>
                    <w:left w:val="nil"/>
                    <w:bottom w:val="single" w:sz="4" w:space="0" w:color="auto"/>
                    <w:right w:val="single" w:sz="8"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8,65%</w:t>
                  </w:r>
                </w:p>
              </w:tc>
              <w:tc>
                <w:tcPr>
                  <w:tcW w:w="4538" w:type="dxa"/>
                  <w:vMerge/>
                  <w:tcBorders>
                    <w:top w:val="nil"/>
                    <w:left w:val="nil"/>
                    <w:bottom w:val="single" w:sz="4" w:space="0" w:color="auto"/>
                    <w:right w:val="single" w:sz="8"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528"/>
              </w:trPr>
              <w:tc>
                <w:tcPr>
                  <w:tcW w:w="1761" w:type="dxa"/>
                  <w:tcBorders>
                    <w:top w:val="double" w:sz="6" w:space="0" w:color="auto"/>
                    <w:left w:val="single" w:sz="8" w:space="0" w:color="auto"/>
                    <w:bottom w:val="single" w:sz="8" w:space="0" w:color="auto"/>
                    <w:right w:val="nil"/>
                  </w:tcBorders>
                  <w:shd w:val="clear" w:color="auto" w:fill="auto"/>
                  <w:noWrap/>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lastRenderedPageBreak/>
                    <w:t>TOTALES $</w:t>
                  </w:r>
                </w:p>
              </w:tc>
              <w:tc>
                <w:tcPr>
                  <w:tcW w:w="1276" w:type="dxa"/>
                  <w:tcBorders>
                    <w:top w:val="double" w:sz="6" w:space="0" w:color="auto"/>
                    <w:left w:val="single" w:sz="8" w:space="0" w:color="auto"/>
                    <w:bottom w:val="single" w:sz="8" w:space="0" w:color="auto"/>
                    <w:right w:val="single" w:sz="8"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1.239.676.636   </w:t>
                  </w:r>
                </w:p>
              </w:tc>
              <w:tc>
                <w:tcPr>
                  <w:tcW w:w="1276" w:type="dxa"/>
                  <w:tcBorders>
                    <w:top w:val="double" w:sz="6" w:space="0" w:color="auto"/>
                    <w:left w:val="nil"/>
                    <w:bottom w:val="single" w:sz="8" w:space="0" w:color="auto"/>
                    <w:right w:val="single" w:sz="8" w:space="0" w:color="auto"/>
                  </w:tcBorders>
                  <w:shd w:val="clear" w:color="auto" w:fill="auto"/>
                  <w:noWrap/>
                  <w:vAlign w:val="center"/>
                  <w:hideMark/>
                </w:tcPr>
                <w:p w:rsidR="00542328" w:rsidRPr="00542328" w:rsidRDefault="00542328" w:rsidP="00542328">
                  <w:pPr>
                    <w:spacing w:after="0"/>
                    <w:jc w:val="right"/>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 xml:space="preserve">                 1.346.872.431   </w:t>
                  </w:r>
                </w:p>
              </w:tc>
              <w:tc>
                <w:tcPr>
                  <w:tcW w:w="1559" w:type="dxa"/>
                  <w:tcBorders>
                    <w:top w:val="double" w:sz="6" w:space="0" w:color="auto"/>
                    <w:left w:val="nil"/>
                    <w:bottom w:val="single" w:sz="8" w:space="0" w:color="auto"/>
                    <w:right w:val="single" w:sz="8" w:space="0" w:color="auto"/>
                  </w:tcBorders>
                  <w:shd w:val="clear" w:color="auto" w:fill="auto"/>
                  <w:noWrap/>
                  <w:vAlign w:val="center"/>
                  <w:hideMark/>
                </w:tcPr>
                <w:p w:rsidR="00542328" w:rsidRPr="00542328" w:rsidRDefault="00542328" w:rsidP="00542328">
                  <w:pPr>
                    <w:spacing w:after="0"/>
                    <w:jc w:val="center"/>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N/A</w:t>
                  </w:r>
                </w:p>
              </w:tc>
              <w:tc>
                <w:tcPr>
                  <w:tcW w:w="4538" w:type="dxa"/>
                  <w:vMerge/>
                  <w:tcBorders>
                    <w:top w:val="double" w:sz="6" w:space="0" w:color="auto"/>
                    <w:left w:val="nil"/>
                    <w:bottom w:val="single" w:sz="8" w:space="0" w:color="auto"/>
                    <w:right w:val="single" w:sz="8" w:space="0" w:color="auto"/>
                  </w:tcBorders>
                  <w:vAlign w:val="center"/>
                  <w:hideMark/>
                </w:tcPr>
                <w:p w:rsidR="00542328" w:rsidRPr="00542328" w:rsidRDefault="00542328" w:rsidP="00542328">
                  <w:pPr>
                    <w:spacing w:after="0"/>
                    <w:rPr>
                      <w:rFonts w:ascii="Century Gothic" w:eastAsia="Times New Roman" w:hAnsi="Century Gothic"/>
                      <w:color w:val="000000"/>
                      <w:sz w:val="14"/>
                      <w:szCs w:val="14"/>
                      <w:lang w:val="es-CO" w:eastAsia="es-CO"/>
                    </w:rPr>
                  </w:pPr>
                </w:p>
              </w:tc>
            </w:tr>
            <w:tr w:rsidR="00542328" w:rsidRPr="00542328" w:rsidTr="00B601A4">
              <w:trPr>
                <w:trHeight w:val="300"/>
              </w:trPr>
              <w:tc>
                <w:tcPr>
                  <w:tcW w:w="10410" w:type="dxa"/>
                  <w:gridSpan w:val="5"/>
                  <w:vMerge w:val="restart"/>
                  <w:tcBorders>
                    <w:top w:val="single" w:sz="8" w:space="0" w:color="auto"/>
                    <w:left w:val="single" w:sz="8" w:space="0" w:color="auto"/>
                    <w:bottom w:val="single" w:sz="8" w:space="0" w:color="000000"/>
                    <w:right w:val="single" w:sz="8" w:space="0" w:color="000000"/>
                  </w:tcBorders>
                  <w:shd w:val="clear" w:color="auto" w:fill="auto"/>
                  <w:hideMark/>
                </w:tcPr>
                <w:p w:rsidR="00542328" w:rsidRPr="00542328" w:rsidRDefault="00542328" w:rsidP="00542328">
                  <w:pPr>
                    <w:spacing w:after="0"/>
                    <w:jc w:val="both"/>
                    <w:rPr>
                      <w:rFonts w:ascii="Century Gothic" w:eastAsia="Times New Roman" w:hAnsi="Century Gothic"/>
                      <w:b/>
                      <w:bCs/>
                      <w:color w:val="000000"/>
                      <w:sz w:val="14"/>
                      <w:szCs w:val="14"/>
                      <w:lang w:val="es-CO" w:eastAsia="es-CO"/>
                    </w:rPr>
                  </w:pPr>
                  <w:r w:rsidRPr="00542328">
                    <w:rPr>
                      <w:rFonts w:ascii="Century Gothic" w:eastAsia="Times New Roman" w:hAnsi="Century Gothic"/>
                      <w:b/>
                      <w:bCs/>
                      <w:color w:val="000000"/>
                      <w:sz w:val="14"/>
                      <w:szCs w:val="14"/>
                      <w:lang w:val="es-CO" w:eastAsia="es-CO"/>
                    </w:rPr>
                    <w:t>Información enviada por el proceso:</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b/>
                      <w:bCs/>
                      <w:color w:val="000000"/>
                      <w:sz w:val="14"/>
                      <w:szCs w:val="14"/>
                      <w:lang w:val="es-CO" w:eastAsia="es-CO"/>
                    </w:rPr>
                    <w:br/>
                  </w:r>
                  <w:r w:rsidRPr="00542328">
                    <w:rPr>
                      <w:rFonts w:ascii="Century Gothic" w:eastAsia="Times New Roman" w:hAnsi="Century Gothic"/>
                      <w:color w:val="000000"/>
                      <w:sz w:val="14"/>
                      <w:szCs w:val="14"/>
                      <w:lang w:val="es-CO" w:eastAsia="es-CO"/>
                    </w:rPr>
                    <w:t>1. La variación se presenta por incremento del IPC el cual fue del 5,68% efectuado en diciembre de 2016 para los contratos con vigencias futuras.</w:t>
                  </w:r>
                  <w:r w:rsidRPr="00542328">
                    <w:rPr>
                      <w:rFonts w:ascii="Century Gothic" w:eastAsia="Times New Roman" w:hAnsi="Century Gothic"/>
                      <w:color w:val="000000"/>
                      <w:sz w:val="14"/>
                      <w:szCs w:val="14"/>
                      <w:lang w:val="es-CO" w:eastAsia="es-CO"/>
                    </w:rPr>
                    <w:br/>
                    <w:t>Se realizan 15 nuevos contratos con vigencias futuras aprobadas a partir del 16 de diciembre de 2016 para las sedes que aún no tenían a nivel nacional con plazo de ejecución hasta Julio de 2018. (Afinsa pisos 2, 3, 11 y oficina 803; Parque Santander piso 4; Club Colombia piso 21; DT Antioquia; DT Bolívar; DT Norte de Santander; DT Magdalena Medio; DT Meta; Oficina Neiva - Huila; Oficina La Guajira- Riohacha.</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w:t>
                  </w:r>
                  <w:r w:rsidRPr="00542328">
                    <w:rPr>
                      <w:rFonts w:ascii="Century Gothic" w:eastAsia="Times New Roman" w:hAnsi="Century Gothic"/>
                      <w:color w:val="000000"/>
                      <w:sz w:val="14"/>
                      <w:szCs w:val="14"/>
                      <w:lang w:val="es-CO" w:eastAsia="es-CO"/>
                    </w:rPr>
                    <w:br/>
                    <w:t>2. Para Nariño - se le realizaron pagos pendientes del año, luego del proceso de sucesión a favor de la hija del difunto en el mes de diciembre de 2016.</w:t>
                  </w:r>
                </w:p>
                <w:p w:rsidR="00542328" w:rsidRPr="00542328" w:rsidRDefault="00542328" w:rsidP="00542328">
                  <w:pPr>
                    <w:spacing w:after="0"/>
                    <w:jc w:val="both"/>
                    <w:rPr>
                      <w:rFonts w:ascii="Century Gothic" w:eastAsia="Times New Roman" w:hAnsi="Century Gothic"/>
                      <w:color w:val="000000"/>
                      <w:sz w:val="14"/>
                      <w:szCs w:val="14"/>
                      <w:lang w:val="es-CO" w:eastAsia="es-CO"/>
                    </w:rPr>
                  </w:pPr>
                  <w:r w:rsidRPr="00542328">
                    <w:rPr>
                      <w:rFonts w:ascii="Century Gothic" w:eastAsia="Times New Roman" w:hAnsi="Century Gothic"/>
                      <w:color w:val="000000"/>
                      <w:sz w:val="14"/>
                      <w:szCs w:val="14"/>
                      <w:lang w:val="es-CO" w:eastAsia="es-CO"/>
                    </w:rPr>
                    <w:t xml:space="preserve"> </w:t>
                  </w:r>
                  <w:r w:rsidRPr="00542328">
                    <w:rPr>
                      <w:rFonts w:ascii="Century Gothic" w:eastAsia="Times New Roman" w:hAnsi="Century Gothic"/>
                      <w:color w:val="000000"/>
                      <w:sz w:val="14"/>
                      <w:szCs w:val="14"/>
                      <w:lang w:val="es-CO" w:eastAsia="es-CO"/>
                    </w:rPr>
                    <w:br/>
                    <w:t>3. La sede Amazonas la asume el DPS a partir del mes de diciembre de 2016 por vigencia futura.</w:t>
                  </w:r>
                </w:p>
              </w:tc>
            </w:tr>
            <w:tr w:rsidR="00542328" w:rsidRPr="00542328" w:rsidTr="00B601A4">
              <w:trPr>
                <w:trHeight w:val="300"/>
              </w:trPr>
              <w:tc>
                <w:tcPr>
                  <w:tcW w:w="10410" w:type="dxa"/>
                  <w:gridSpan w:val="5"/>
                  <w:vMerge/>
                  <w:tcBorders>
                    <w:top w:val="single" w:sz="8" w:space="0" w:color="auto"/>
                    <w:left w:val="single" w:sz="8" w:space="0" w:color="auto"/>
                    <w:bottom w:val="single" w:sz="8" w:space="0" w:color="000000"/>
                    <w:right w:val="single" w:sz="8" w:space="0" w:color="000000"/>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r>
            <w:tr w:rsidR="00542328" w:rsidRPr="00542328" w:rsidTr="00B601A4">
              <w:trPr>
                <w:trHeight w:val="300"/>
              </w:trPr>
              <w:tc>
                <w:tcPr>
                  <w:tcW w:w="10410" w:type="dxa"/>
                  <w:gridSpan w:val="5"/>
                  <w:vMerge/>
                  <w:tcBorders>
                    <w:top w:val="single" w:sz="8" w:space="0" w:color="auto"/>
                    <w:left w:val="single" w:sz="8" w:space="0" w:color="auto"/>
                    <w:bottom w:val="single" w:sz="8" w:space="0" w:color="000000"/>
                    <w:right w:val="single" w:sz="8" w:space="0" w:color="000000"/>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r>
            <w:tr w:rsidR="00542328" w:rsidRPr="00542328" w:rsidTr="00B601A4">
              <w:trPr>
                <w:trHeight w:val="300"/>
              </w:trPr>
              <w:tc>
                <w:tcPr>
                  <w:tcW w:w="10410" w:type="dxa"/>
                  <w:gridSpan w:val="5"/>
                  <w:vMerge/>
                  <w:tcBorders>
                    <w:top w:val="single" w:sz="8" w:space="0" w:color="auto"/>
                    <w:left w:val="single" w:sz="8" w:space="0" w:color="auto"/>
                    <w:bottom w:val="single" w:sz="8" w:space="0" w:color="000000"/>
                    <w:right w:val="single" w:sz="8" w:space="0" w:color="000000"/>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r>
            <w:tr w:rsidR="00542328" w:rsidRPr="00542328" w:rsidTr="00B601A4">
              <w:trPr>
                <w:trHeight w:val="486"/>
              </w:trPr>
              <w:tc>
                <w:tcPr>
                  <w:tcW w:w="10410" w:type="dxa"/>
                  <w:gridSpan w:val="5"/>
                  <w:vMerge/>
                  <w:tcBorders>
                    <w:top w:val="single" w:sz="8" w:space="0" w:color="auto"/>
                    <w:left w:val="single" w:sz="8" w:space="0" w:color="auto"/>
                    <w:bottom w:val="single" w:sz="8" w:space="0" w:color="000000"/>
                    <w:right w:val="single" w:sz="8" w:space="0" w:color="000000"/>
                  </w:tcBorders>
                  <w:vAlign w:val="center"/>
                  <w:hideMark/>
                </w:tcPr>
                <w:p w:rsidR="00542328" w:rsidRPr="00542328" w:rsidRDefault="00542328" w:rsidP="00542328">
                  <w:pPr>
                    <w:spacing w:after="0"/>
                    <w:rPr>
                      <w:rFonts w:ascii="Century Gothic" w:eastAsia="Times New Roman" w:hAnsi="Century Gothic"/>
                      <w:b/>
                      <w:bCs/>
                      <w:color w:val="000000"/>
                      <w:sz w:val="14"/>
                      <w:szCs w:val="14"/>
                      <w:lang w:val="es-CO" w:eastAsia="es-CO"/>
                    </w:rPr>
                  </w:pPr>
                </w:p>
              </w:tc>
            </w:tr>
          </w:tbl>
          <w:p w:rsidR="00542328" w:rsidRDefault="00542328" w:rsidP="00542328">
            <w:pPr>
              <w:pStyle w:val="Ttulo1"/>
              <w:keepLines/>
              <w:jc w:val="left"/>
              <w:rPr>
                <w:rFonts w:ascii="Century Gothic" w:hAnsi="Century Gothic"/>
                <w:sz w:val="20"/>
                <w:szCs w:val="20"/>
              </w:rPr>
            </w:pPr>
          </w:p>
          <w:p w:rsidR="00542328" w:rsidRPr="00BF17DA" w:rsidRDefault="00542328" w:rsidP="00542328">
            <w:pPr>
              <w:pStyle w:val="Ttulo1"/>
              <w:keepLines/>
              <w:numPr>
                <w:ilvl w:val="1"/>
                <w:numId w:val="31"/>
              </w:numPr>
              <w:ind w:left="746"/>
              <w:jc w:val="left"/>
              <w:rPr>
                <w:rFonts w:ascii="Century Gothic" w:hAnsi="Century Gothic"/>
                <w:sz w:val="20"/>
                <w:szCs w:val="20"/>
              </w:rPr>
            </w:pPr>
            <w:r w:rsidRPr="00890529">
              <w:rPr>
                <w:rFonts w:ascii="Century Gothic" w:hAnsi="Century Gothic"/>
                <w:sz w:val="20"/>
                <w:szCs w:val="20"/>
              </w:rPr>
              <w:t xml:space="preserve">Otros temas relacionados con </w:t>
            </w:r>
            <w:r w:rsidRPr="00BF17DA">
              <w:rPr>
                <w:rFonts w:ascii="Century Gothic" w:hAnsi="Century Gothic"/>
                <w:sz w:val="20"/>
                <w:szCs w:val="20"/>
              </w:rPr>
              <w:t>servicios administrativos.</w:t>
            </w:r>
          </w:p>
          <w:p w:rsidR="00542328" w:rsidRPr="00BF17DA" w:rsidRDefault="00542328" w:rsidP="00542328">
            <w:pPr>
              <w:pStyle w:val="Ttulo2"/>
              <w:rPr>
                <w:rFonts w:ascii="Century Gothic" w:hAnsi="Century Gothic"/>
                <w:sz w:val="20"/>
                <w:szCs w:val="20"/>
              </w:rPr>
            </w:pPr>
          </w:p>
          <w:p w:rsidR="00542328" w:rsidRPr="005B6D72" w:rsidRDefault="00542328" w:rsidP="00542328">
            <w:pPr>
              <w:jc w:val="both"/>
              <w:rPr>
                <w:rFonts w:ascii="Century Gothic" w:hAnsi="Century Gothic" w:cs="Arial"/>
                <w:bCs/>
                <w:sz w:val="20"/>
                <w:szCs w:val="20"/>
                <w:lang w:val="es-MX" w:eastAsia="es-MX"/>
              </w:rPr>
            </w:pPr>
            <w:r w:rsidRPr="00BF17DA">
              <w:rPr>
                <w:rFonts w:ascii="Century Gothic" w:hAnsi="Century Gothic" w:cs="Arial"/>
                <w:bCs/>
                <w:sz w:val="20"/>
                <w:szCs w:val="20"/>
                <w:lang w:val="es-MX" w:eastAsia="es-MX"/>
              </w:rPr>
              <w:t>A continuación, se relaciona los temas relacionados en la norma como son celebraciones, conmemoraciones, agasajos públicos, gastos suntuarios y tarjetas de crédito. Las extensiones telefónicas tienen código o clave y los permisos a llamadas a celulares o exterior. En temas relacionados a papelería, erogaciones para afiliación clubes sociales, pagos por acciones, inscripciones, cuotas de sostenimiento o gastos para recepciones, invitaciones.</w:t>
            </w:r>
          </w:p>
          <w:p w:rsidR="00542328" w:rsidRPr="00F577A0" w:rsidRDefault="00542328" w:rsidP="00542328">
            <w:pPr>
              <w:pStyle w:val="Prrafodelista"/>
              <w:ind w:left="0"/>
              <w:jc w:val="both"/>
              <w:rPr>
                <w:rFonts w:ascii="Century Gothic" w:hAnsi="Century Gothic"/>
                <w:sz w:val="20"/>
                <w:szCs w:val="20"/>
              </w:rPr>
            </w:pPr>
            <w:r w:rsidRPr="00241E5B">
              <w:rPr>
                <w:noProof/>
                <w:lang w:val="es-CO" w:eastAsia="es-CO"/>
              </w:rPr>
              <w:drawing>
                <wp:inline distT="0" distB="0" distL="0" distR="0" wp14:anchorId="3D9BE968" wp14:editId="21561AFE">
                  <wp:extent cx="6544101" cy="19240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48135" cy="1925236"/>
                          </a:xfrm>
                          <a:prstGeom prst="rect">
                            <a:avLst/>
                          </a:prstGeom>
                          <a:noFill/>
                          <a:ln>
                            <a:noFill/>
                          </a:ln>
                        </pic:spPr>
                      </pic:pic>
                    </a:graphicData>
                  </a:graphic>
                </wp:inline>
              </w:drawing>
            </w:r>
          </w:p>
          <w:p w:rsidR="00542328" w:rsidRDefault="00542328" w:rsidP="00542328">
            <w:pPr>
              <w:pStyle w:val="Ttulo1"/>
              <w:keepLines/>
              <w:numPr>
                <w:ilvl w:val="0"/>
                <w:numId w:val="31"/>
              </w:numPr>
              <w:spacing w:before="480"/>
              <w:ind w:left="746"/>
              <w:jc w:val="left"/>
              <w:rPr>
                <w:rFonts w:ascii="Century Gothic" w:hAnsi="Century Gothic"/>
                <w:sz w:val="20"/>
                <w:szCs w:val="20"/>
              </w:rPr>
            </w:pPr>
            <w:r w:rsidRPr="00BF17DA">
              <w:rPr>
                <w:rFonts w:ascii="Century Gothic" w:hAnsi="Century Gothic"/>
                <w:sz w:val="20"/>
                <w:szCs w:val="20"/>
              </w:rPr>
              <w:t>CONCILIACIONES JUDICIALES Y OTRAS SOLUCIONES ALTERNATIVAS DE CONFLICTO</w:t>
            </w:r>
          </w:p>
          <w:p w:rsidR="00542328" w:rsidRDefault="00542328" w:rsidP="00542328">
            <w:pPr>
              <w:rPr>
                <w:lang w:val="es-ES" w:eastAsia="es-ES"/>
              </w:rPr>
            </w:pPr>
          </w:p>
          <w:p w:rsidR="00542328" w:rsidRPr="008B7CBF" w:rsidRDefault="00542328" w:rsidP="00542328">
            <w:pPr>
              <w:jc w:val="both"/>
              <w:rPr>
                <w:rFonts w:ascii="Century Gothic" w:hAnsi="Century Gothic" w:cs="Arial"/>
                <w:sz w:val="20"/>
                <w:szCs w:val="20"/>
                <w:lang w:val="es-CO" w:eastAsia="es-CO"/>
              </w:rPr>
            </w:pPr>
            <w:r w:rsidRPr="00BF17DA">
              <w:rPr>
                <w:rFonts w:ascii="Century Gothic" w:hAnsi="Century Gothic" w:cs="Arial"/>
                <w:sz w:val="20"/>
                <w:szCs w:val="20"/>
                <w:lang w:val="es-CO" w:eastAsia="es-CO"/>
              </w:rPr>
              <w:t>Dando cumplimiento al Art. 6 Decreto 26 de 1998 en temas relacionados en conciliaciones judiciales y otras soluciones alternativas de conflicto, se presenta a continuación la tabla donde se relaciona los pagos por cada concepto y una breve explicación de la dependencia.</w:t>
            </w:r>
            <w:r>
              <w:rPr>
                <w:rFonts w:ascii="Century Gothic" w:hAnsi="Century Gothic" w:cs="Arial"/>
                <w:sz w:val="20"/>
                <w:szCs w:val="20"/>
                <w:lang w:val="es-CO" w:eastAsia="es-CO"/>
              </w:rPr>
              <w:t xml:space="preserve">   </w:t>
            </w:r>
          </w:p>
          <w:tbl>
            <w:tblPr>
              <w:tblStyle w:val="Tablaconcuadrcula"/>
              <w:tblW w:w="0" w:type="auto"/>
              <w:tblLook w:val="04A0" w:firstRow="1" w:lastRow="0" w:firstColumn="1" w:lastColumn="0" w:noHBand="0" w:noVBand="1"/>
            </w:tblPr>
            <w:tblGrid>
              <w:gridCol w:w="1343"/>
              <w:gridCol w:w="1701"/>
              <w:gridCol w:w="1701"/>
              <w:gridCol w:w="1134"/>
              <w:gridCol w:w="1134"/>
              <w:gridCol w:w="1134"/>
              <w:gridCol w:w="2120"/>
            </w:tblGrid>
            <w:tr w:rsidR="00542328" w:rsidRPr="00F142B7" w:rsidTr="00B601A4">
              <w:trPr>
                <w:trHeight w:val="315"/>
              </w:trPr>
              <w:tc>
                <w:tcPr>
                  <w:tcW w:w="10267" w:type="dxa"/>
                  <w:gridSpan w:val="7"/>
                  <w:noWrap/>
                  <w:vAlign w:val="center"/>
                  <w:hideMark/>
                </w:tcPr>
                <w:p w:rsidR="00542328" w:rsidRPr="00F142B7" w:rsidRDefault="00542328" w:rsidP="00542328">
                  <w:pPr>
                    <w:spacing w:after="0"/>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xml:space="preserve">Datos del </w:t>
                  </w:r>
                  <w:r>
                    <w:rPr>
                      <w:rFonts w:ascii="Century Gothic" w:eastAsia="Times New Roman" w:hAnsi="Century Gothic"/>
                      <w:b/>
                      <w:bCs/>
                      <w:color w:val="000000"/>
                      <w:sz w:val="16"/>
                      <w:szCs w:val="16"/>
                      <w:lang w:val="es-CO" w:eastAsia="es-CO"/>
                    </w:rPr>
                    <w:t>4to</w:t>
                  </w:r>
                  <w:r w:rsidRPr="00F142B7">
                    <w:rPr>
                      <w:rFonts w:ascii="Century Gothic" w:eastAsia="Times New Roman" w:hAnsi="Century Gothic"/>
                      <w:b/>
                      <w:bCs/>
                      <w:color w:val="000000"/>
                      <w:sz w:val="14"/>
                      <w:szCs w:val="14"/>
                      <w:lang w:val="es-CO" w:eastAsia="es-CO"/>
                    </w:rPr>
                    <w:t xml:space="preserve"> trimestre año 2015</w:t>
                  </w:r>
                </w:p>
              </w:tc>
            </w:tr>
            <w:tr w:rsidR="00542328" w:rsidRPr="00CB7545" w:rsidTr="00B601A4">
              <w:trPr>
                <w:trHeight w:val="765"/>
              </w:trPr>
              <w:tc>
                <w:tcPr>
                  <w:tcW w:w="1343"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Tipo de Acción o medios de control (Demandas)</w:t>
                  </w:r>
                </w:p>
              </w:tc>
              <w:tc>
                <w:tcPr>
                  <w:tcW w:w="1701"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Tipo de Conciliación (Formas de solución de conflicto)</w:t>
                  </w:r>
                </w:p>
              </w:tc>
              <w:tc>
                <w:tcPr>
                  <w:tcW w:w="1701"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Convocante</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Fecha Acordado</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Valor Acordado</w:t>
                  </w:r>
                </w:p>
              </w:tc>
              <w:tc>
                <w:tcPr>
                  <w:tcW w:w="1134"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Fecha de pago</w:t>
                  </w:r>
                </w:p>
              </w:tc>
              <w:tc>
                <w:tcPr>
                  <w:tcW w:w="2120" w:type="dxa"/>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Valor Pagado</w:t>
                  </w:r>
                </w:p>
              </w:tc>
            </w:tr>
            <w:tr w:rsidR="00542328" w:rsidRPr="00CB7545" w:rsidTr="00B601A4">
              <w:trPr>
                <w:trHeight w:val="300"/>
              </w:trPr>
              <w:tc>
                <w:tcPr>
                  <w:tcW w:w="1343"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2120" w:type="dxa"/>
                  <w:vAlign w:val="center"/>
                  <w:hideMark/>
                </w:tcPr>
                <w:p w:rsidR="00542328" w:rsidRPr="00F142B7" w:rsidRDefault="00542328" w:rsidP="00542328">
                  <w:pPr>
                    <w:spacing w:after="0"/>
                    <w:jc w:val="center"/>
                    <w:rPr>
                      <w:rFonts w:ascii="Century Gothic" w:eastAsia="Times New Roman" w:hAnsi="Century Gothic"/>
                      <w:color w:val="000000"/>
                      <w:sz w:val="14"/>
                      <w:szCs w:val="14"/>
                      <w:lang w:val="es-CO" w:eastAsia="es-CO"/>
                    </w:rPr>
                  </w:pPr>
                  <w:r w:rsidRPr="00F47740">
                    <w:rPr>
                      <w:rFonts w:ascii="Century Gothic" w:eastAsia="Times New Roman" w:hAnsi="Century Gothic"/>
                      <w:b/>
                      <w:bCs/>
                      <w:color w:val="000000"/>
                      <w:sz w:val="16"/>
                      <w:szCs w:val="16"/>
                      <w:lang w:val="es-CO" w:eastAsia="es-CO"/>
                    </w:rPr>
                    <w:t> </w:t>
                  </w:r>
                  <w:r>
                    <w:rPr>
                      <w:rFonts w:ascii="Century Gothic" w:eastAsia="Times New Roman" w:hAnsi="Century Gothic"/>
                      <w:b/>
                      <w:bCs/>
                      <w:color w:val="000000"/>
                      <w:sz w:val="16"/>
                      <w:szCs w:val="16"/>
                      <w:lang w:val="es-CO" w:eastAsia="es-CO"/>
                    </w:rPr>
                    <w:t>$ 0</w:t>
                  </w:r>
                </w:p>
              </w:tc>
            </w:tr>
            <w:tr w:rsidR="00542328" w:rsidRPr="00CB7545" w:rsidTr="00B601A4">
              <w:trPr>
                <w:trHeight w:val="273"/>
              </w:trPr>
              <w:tc>
                <w:tcPr>
                  <w:tcW w:w="1343"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701" w:type="dxa"/>
                  <w:vAlign w:val="center"/>
                </w:tcPr>
                <w:p w:rsidR="00542328" w:rsidRPr="00F142B7" w:rsidRDefault="00542328" w:rsidP="00542328">
                  <w:pPr>
                    <w:spacing w:after="0"/>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1134" w:type="dxa"/>
                  <w:vAlign w:val="center"/>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c>
                <w:tcPr>
                  <w:tcW w:w="2120" w:type="dxa"/>
                  <w:vAlign w:val="center"/>
                  <w:hideMark/>
                </w:tcPr>
                <w:p w:rsidR="00542328" w:rsidRPr="00F142B7" w:rsidRDefault="00542328" w:rsidP="00542328">
                  <w:pPr>
                    <w:spacing w:after="0"/>
                    <w:jc w:val="center"/>
                    <w:rPr>
                      <w:rFonts w:ascii="Century Gothic" w:eastAsia="Times New Roman" w:hAnsi="Century Gothic"/>
                      <w:color w:val="000000"/>
                      <w:sz w:val="14"/>
                      <w:szCs w:val="14"/>
                      <w:lang w:val="es-CO" w:eastAsia="es-CO"/>
                    </w:rPr>
                  </w:pPr>
                </w:p>
              </w:tc>
            </w:tr>
            <w:tr w:rsidR="00542328" w:rsidRPr="00CB7545" w:rsidTr="00B601A4">
              <w:trPr>
                <w:trHeight w:val="300"/>
              </w:trPr>
              <w:tc>
                <w:tcPr>
                  <w:tcW w:w="1343" w:type="dxa"/>
                  <w:noWrap/>
                  <w:vAlign w:val="center"/>
                  <w:hideMark/>
                </w:tcPr>
                <w:p w:rsidR="00542328" w:rsidRPr="00F142B7" w:rsidRDefault="00542328" w:rsidP="00542328">
                  <w:pPr>
                    <w:spacing w:after="0"/>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TOTALES $</w:t>
                  </w:r>
                </w:p>
              </w:tc>
              <w:tc>
                <w:tcPr>
                  <w:tcW w:w="1701"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701"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134"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1134" w:type="dxa"/>
                  <w:noWrap/>
                  <w:vAlign w:val="center"/>
                  <w:hideMark/>
                </w:tcPr>
                <w:p w:rsidR="00542328" w:rsidRPr="00F142B7" w:rsidRDefault="00542328" w:rsidP="00542328">
                  <w:pPr>
                    <w:spacing w:after="0"/>
                    <w:jc w:val="center"/>
                    <w:rPr>
                      <w:rFonts w:ascii="Century Gothic" w:eastAsia="Times New Roman" w:hAnsi="Century Gothic"/>
                      <w:b/>
                      <w:bCs/>
                      <w:color w:val="000000"/>
                      <w:sz w:val="14"/>
                      <w:szCs w:val="14"/>
                      <w:lang w:val="es-CO" w:eastAsia="es-CO"/>
                    </w:rPr>
                  </w:pPr>
                </w:p>
              </w:tc>
              <w:tc>
                <w:tcPr>
                  <w:tcW w:w="1134"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c>
                <w:tcPr>
                  <w:tcW w:w="2120" w:type="dxa"/>
                  <w:noWrap/>
                  <w:vAlign w:val="center"/>
                  <w:hideMark/>
                </w:tcPr>
                <w:p w:rsidR="00542328" w:rsidRPr="00F142B7" w:rsidRDefault="00542328" w:rsidP="00542328">
                  <w:pPr>
                    <w:spacing w:after="0"/>
                    <w:jc w:val="right"/>
                    <w:rPr>
                      <w:rFonts w:ascii="Century Gothic" w:eastAsia="Times New Roman" w:hAnsi="Century Gothic"/>
                      <w:b/>
                      <w:bCs/>
                      <w:color w:val="000000"/>
                      <w:sz w:val="14"/>
                      <w:szCs w:val="14"/>
                      <w:lang w:val="es-CO" w:eastAsia="es-CO"/>
                    </w:rPr>
                  </w:pPr>
                  <w:r w:rsidRPr="00F142B7">
                    <w:rPr>
                      <w:rFonts w:ascii="Century Gothic" w:eastAsia="Times New Roman" w:hAnsi="Century Gothic"/>
                      <w:b/>
                      <w:bCs/>
                      <w:color w:val="000000"/>
                      <w:sz w:val="14"/>
                      <w:szCs w:val="14"/>
                      <w:lang w:val="es-CO" w:eastAsia="es-CO"/>
                    </w:rPr>
                    <w:t> </w:t>
                  </w:r>
                </w:p>
              </w:tc>
            </w:tr>
            <w:tr w:rsidR="00542328" w:rsidRPr="00F142B7" w:rsidTr="00B601A4">
              <w:trPr>
                <w:trHeight w:val="300"/>
              </w:trPr>
              <w:tc>
                <w:tcPr>
                  <w:tcW w:w="10267" w:type="dxa"/>
                  <w:gridSpan w:val="7"/>
                  <w:vMerge w:val="restart"/>
                  <w:vAlign w:val="center"/>
                  <w:hideMark/>
                </w:tcPr>
                <w:p w:rsidR="00542328" w:rsidRDefault="00542328" w:rsidP="00542328">
                  <w:pPr>
                    <w:spacing w:after="0"/>
                    <w:rPr>
                      <w:rFonts w:ascii="Century Gothic" w:eastAsia="Times New Roman" w:hAnsi="Century Gothic"/>
                      <w:color w:val="000000"/>
                      <w:sz w:val="14"/>
                      <w:szCs w:val="14"/>
                      <w:lang w:val="es-CO" w:eastAsia="es-CO"/>
                    </w:rPr>
                  </w:pPr>
                  <w:r w:rsidRPr="00F47740">
                    <w:rPr>
                      <w:rFonts w:ascii="Century Gothic" w:eastAsia="Times New Roman" w:hAnsi="Century Gothic"/>
                      <w:b/>
                      <w:bCs/>
                      <w:sz w:val="16"/>
                      <w:szCs w:val="16"/>
                      <w:lang w:val="es-CO" w:eastAsia="es-CO"/>
                    </w:rPr>
                    <w:t>Información enviada por el proceso</w:t>
                  </w:r>
                  <w:r>
                    <w:rPr>
                      <w:rFonts w:ascii="Century Gothic" w:eastAsia="Times New Roman" w:hAnsi="Century Gothic"/>
                      <w:b/>
                      <w:bCs/>
                      <w:sz w:val="16"/>
                      <w:szCs w:val="16"/>
                      <w:lang w:val="es-CO" w:eastAsia="es-CO"/>
                    </w:rPr>
                    <w:t>:</w:t>
                  </w:r>
                </w:p>
                <w:p w:rsidR="00542328" w:rsidRDefault="00542328" w:rsidP="00542328">
                  <w:pPr>
                    <w:spacing w:after="0"/>
                    <w:rPr>
                      <w:rFonts w:ascii="Century Gothic" w:eastAsia="Times New Roman" w:hAnsi="Century Gothic"/>
                      <w:color w:val="000000"/>
                      <w:sz w:val="14"/>
                      <w:szCs w:val="14"/>
                      <w:lang w:val="es-CO" w:eastAsia="es-CO"/>
                    </w:rPr>
                  </w:pPr>
                </w:p>
                <w:p w:rsidR="00542328" w:rsidRPr="00F142B7" w:rsidRDefault="00542328" w:rsidP="00542328">
                  <w:pPr>
                    <w:spacing w:after="0"/>
                    <w:rPr>
                      <w:rFonts w:ascii="Century Gothic" w:eastAsia="Times New Roman" w:hAnsi="Century Gothic"/>
                      <w:color w:val="000000"/>
                      <w:sz w:val="14"/>
                      <w:szCs w:val="14"/>
                      <w:lang w:val="es-CO" w:eastAsia="es-CO"/>
                    </w:rPr>
                  </w:pPr>
                  <w:r w:rsidRPr="00F841BB">
                    <w:rPr>
                      <w:rFonts w:ascii="Century Gothic" w:eastAsia="Times New Roman" w:hAnsi="Century Gothic"/>
                      <w:sz w:val="14"/>
                      <w:szCs w:val="16"/>
                      <w:lang w:val="es-CO" w:eastAsia="es-CO"/>
                    </w:rPr>
                    <w:t xml:space="preserve">Durante el periodo comprendido en el </w:t>
                  </w:r>
                  <w:r>
                    <w:rPr>
                      <w:rFonts w:ascii="Century Gothic" w:eastAsia="Times New Roman" w:hAnsi="Century Gothic"/>
                      <w:sz w:val="14"/>
                      <w:szCs w:val="16"/>
                      <w:lang w:val="es-CO" w:eastAsia="es-CO"/>
                    </w:rPr>
                    <w:t xml:space="preserve">cuarto </w:t>
                  </w:r>
                  <w:r w:rsidRPr="00F841BB">
                    <w:rPr>
                      <w:rFonts w:ascii="Century Gothic" w:eastAsia="Times New Roman" w:hAnsi="Century Gothic"/>
                      <w:sz w:val="14"/>
                      <w:szCs w:val="16"/>
                      <w:lang w:val="es-CO" w:eastAsia="es-CO"/>
                    </w:rPr>
                    <w:t>trimestre del año 201</w:t>
                  </w:r>
                  <w:r>
                    <w:rPr>
                      <w:rFonts w:ascii="Century Gothic" w:eastAsia="Times New Roman" w:hAnsi="Century Gothic"/>
                      <w:sz w:val="14"/>
                      <w:szCs w:val="16"/>
                      <w:lang w:val="es-CO" w:eastAsia="es-CO"/>
                    </w:rPr>
                    <w:t>5</w:t>
                  </w:r>
                  <w:r w:rsidRPr="00F841BB">
                    <w:rPr>
                      <w:rFonts w:ascii="Century Gothic" w:eastAsia="Times New Roman" w:hAnsi="Century Gothic"/>
                      <w:sz w:val="14"/>
                      <w:szCs w:val="16"/>
                      <w:lang w:val="es-CO" w:eastAsia="es-CO"/>
                    </w:rPr>
                    <w:t>, no se presentó ningún acuerdo conciliatorio por parte de la Unidad para la Atención y Reparación Integral a las Víctimas.</w:t>
                  </w:r>
                </w:p>
              </w:tc>
            </w:tr>
            <w:tr w:rsidR="00542328" w:rsidRPr="00F142B7" w:rsidTr="00B601A4">
              <w:trPr>
                <w:trHeight w:val="315"/>
              </w:trPr>
              <w:tc>
                <w:tcPr>
                  <w:tcW w:w="10267" w:type="dxa"/>
                  <w:gridSpan w:val="7"/>
                  <w:vMerge/>
                  <w:vAlign w:val="center"/>
                  <w:hideMark/>
                </w:tcPr>
                <w:p w:rsidR="00542328" w:rsidRPr="00F142B7" w:rsidRDefault="00542328" w:rsidP="00542328">
                  <w:pPr>
                    <w:spacing w:after="0"/>
                    <w:rPr>
                      <w:rFonts w:ascii="Century Gothic" w:eastAsia="Times New Roman" w:hAnsi="Century Gothic"/>
                      <w:color w:val="000000"/>
                      <w:sz w:val="14"/>
                      <w:szCs w:val="14"/>
                      <w:lang w:val="es-CO" w:eastAsia="es-CO"/>
                    </w:rPr>
                  </w:pPr>
                </w:p>
              </w:tc>
            </w:tr>
          </w:tbl>
          <w:p w:rsidR="00542328" w:rsidRDefault="00542328" w:rsidP="00542328">
            <w:pPr>
              <w:rPr>
                <w:lang w:val="es-CO" w:eastAsia="es-ES"/>
              </w:rPr>
            </w:pPr>
          </w:p>
          <w:tbl>
            <w:tblPr>
              <w:tblStyle w:val="Tablaconcuadrcula"/>
              <w:tblW w:w="0" w:type="auto"/>
              <w:tblLook w:val="04A0" w:firstRow="1" w:lastRow="0" w:firstColumn="1" w:lastColumn="0" w:noHBand="0" w:noVBand="1"/>
            </w:tblPr>
            <w:tblGrid>
              <w:gridCol w:w="1703"/>
              <w:gridCol w:w="1940"/>
              <w:gridCol w:w="1430"/>
              <w:gridCol w:w="1215"/>
              <w:gridCol w:w="1375"/>
              <w:gridCol w:w="1069"/>
              <w:gridCol w:w="1529"/>
            </w:tblGrid>
            <w:tr w:rsidR="00542328" w:rsidRPr="00F47740" w:rsidTr="00B601A4">
              <w:trPr>
                <w:trHeight w:val="316"/>
              </w:trPr>
              <w:tc>
                <w:tcPr>
                  <w:tcW w:w="10261" w:type="dxa"/>
                  <w:gridSpan w:val="7"/>
                  <w:noWrap/>
                  <w:vAlign w:val="center"/>
                  <w:hideMark/>
                </w:tcPr>
                <w:p w:rsidR="00542328" w:rsidRPr="00F47740" w:rsidRDefault="00542328" w:rsidP="00542328">
                  <w:pPr>
                    <w:spacing w:after="0"/>
                    <w:rPr>
                      <w:rFonts w:ascii="Century Gothic" w:eastAsia="Times New Roman" w:hAnsi="Century Gothic"/>
                      <w:b/>
                      <w:bCs/>
                      <w:color w:val="000000"/>
                      <w:sz w:val="16"/>
                      <w:szCs w:val="16"/>
                      <w:lang w:val="es-CO" w:eastAsia="es-CO"/>
                    </w:rPr>
                  </w:pPr>
                  <w:r>
                    <w:rPr>
                      <w:rFonts w:ascii="Century Gothic" w:eastAsia="Times New Roman" w:hAnsi="Century Gothic"/>
                      <w:b/>
                      <w:bCs/>
                      <w:color w:val="000000"/>
                      <w:sz w:val="16"/>
                      <w:szCs w:val="16"/>
                      <w:lang w:val="es-CO" w:eastAsia="es-CO"/>
                    </w:rPr>
                    <w:t>Datos del 4to</w:t>
                  </w:r>
                  <w:r w:rsidRPr="00F47740">
                    <w:rPr>
                      <w:rFonts w:ascii="Century Gothic" w:eastAsia="Times New Roman" w:hAnsi="Century Gothic"/>
                      <w:b/>
                      <w:bCs/>
                      <w:color w:val="000000"/>
                      <w:sz w:val="16"/>
                      <w:szCs w:val="16"/>
                      <w:lang w:val="es-CO" w:eastAsia="es-CO"/>
                    </w:rPr>
                    <w:t xml:space="preserve"> trimestre año 2016</w:t>
                  </w:r>
                </w:p>
              </w:tc>
            </w:tr>
            <w:tr w:rsidR="00542328" w:rsidRPr="00F47740" w:rsidTr="00B601A4">
              <w:trPr>
                <w:trHeight w:val="768"/>
              </w:trPr>
              <w:tc>
                <w:tcPr>
                  <w:tcW w:w="1703"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Acción o medios de control (Demandas)</w:t>
                  </w:r>
                </w:p>
              </w:tc>
              <w:tc>
                <w:tcPr>
                  <w:tcW w:w="194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Tipo de Conciliación (Formas de solución de conflicto)</w:t>
                  </w:r>
                </w:p>
              </w:tc>
              <w:tc>
                <w:tcPr>
                  <w:tcW w:w="143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Convocante</w:t>
                  </w:r>
                </w:p>
              </w:tc>
              <w:tc>
                <w:tcPr>
                  <w:tcW w:w="121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Acordado</w:t>
                  </w:r>
                </w:p>
              </w:tc>
              <w:tc>
                <w:tcPr>
                  <w:tcW w:w="137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Acordado</w:t>
                  </w:r>
                </w:p>
              </w:tc>
              <w:tc>
                <w:tcPr>
                  <w:tcW w:w="106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Fecha de pago</w:t>
                  </w:r>
                </w:p>
              </w:tc>
              <w:tc>
                <w:tcPr>
                  <w:tcW w:w="1527"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Valor Pagado</w:t>
                  </w:r>
                </w:p>
              </w:tc>
            </w:tr>
            <w:tr w:rsidR="00542328" w:rsidRPr="00F47740" w:rsidTr="00B601A4">
              <w:trPr>
                <w:trHeight w:val="301"/>
              </w:trPr>
              <w:tc>
                <w:tcPr>
                  <w:tcW w:w="1703"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94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30"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1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75"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069"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527" w:type="dxa"/>
                  <w:vAlign w:val="center"/>
                  <w:hideMark/>
                </w:tcPr>
                <w:p w:rsidR="00542328" w:rsidRPr="00F47740" w:rsidRDefault="00542328" w:rsidP="00542328">
                  <w:pPr>
                    <w:spacing w:after="0"/>
                    <w:jc w:val="center"/>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r>
                    <w:rPr>
                      <w:rFonts w:ascii="Century Gothic" w:eastAsia="Times New Roman" w:hAnsi="Century Gothic"/>
                      <w:b/>
                      <w:bCs/>
                      <w:color w:val="000000"/>
                      <w:sz w:val="16"/>
                      <w:szCs w:val="16"/>
                      <w:lang w:val="es-CO" w:eastAsia="es-CO"/>
                    </w:rPr>
                    <w:t>$ 0</w:t>
                  </w:r>
                </w:p>
              </w:tc>
            </w:tr>
            <w:tr w:rsidR="00542328" w:rsidRPr="00F47740" w:rsidTr="00B601A4">
              <w:trPr>
                <w:trHeight w:val="316"/>
              </w:trPr>
              <w:tc>
                <w:tcPr>
                  <w:tcW w:w="1703" w:type="dxa"/>
                  <w:vAlign w:val="center"/>
                  <w:hideMark/>
                </w:tcPr>
                <w:p w:rsidR="00542328" w:rsidRPr="00F47740" w:rsidRDefault="00542328" w:rsidP="00542328">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940"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430"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215"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375"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069"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c>
                <w:tcPr>
                  <w:tcW w:w="1527" w:type="dxa"/>
                  <w:noWrap/>
                  <w:vAlign w:val="center"/>
                  <w:hideMark/>
                </w:tcPr>
                <w:p w:rsidR="00542328" w:rsidRPr="00F47740" w:rsidRDefault="00542328" w:rsidP="00542328">
                  <w:pPr>
                    <w:spacing w:after="0"/>
                    <w:jc w:val="right"/>
                    <w:rPr>
                      <w:rFonts w:ascii="Century Gothic" w:eastAsia="Times New Roman" w:hAnsi="Century Gothic"/>
                      <w:color w:val="000000"/>
                      <w:sz w:val="16"/>
                      <w:szCs w:val="16"/>
                      <w:lang w:val="es-CO" w:eastAsia="es-CO"/>
                    </w:rPr>
                  </w:pPr>
                  <w:r w:rsidRPr="00F47740">
                    <w:rPr>
                      <w:rFonts w:ascii="Century Gothic" w:eastAsia="Times New Roman" w:hAnsi="Century Gothic"/>
                      <w:color w:val="000000"/>
                      <w:sz w:val="16"/>
                      <w:szCs w:val="16"/>
                      <w:lang w:val="es-CO" w:eastAsia="es-CO"/>
                    </w:rPr>
                    <w:t> </w:t>
                  </w:r>
                </w:p>
              </w:tc>
            </w:tr>
            <w:tr w:rsidR="00542328" w:rsidRPr="00F47740" w:rsidTr="00B601A4">
              <w:trPr>
                <w:trHeight w:val="331"/>
              </w:trPr>
              <w:tc>
                <w:tcPr>
                  <w:tcW w:w="1703" w:type="dxa"/>
                  <w:noWrap/>
                  <w:vAlign w:val="center"/>
                  <w:hideMark/>
                </w:tcPr>
                <w:p w:rsidR="00542328" w:rsidRPr="00F47740" w:rsidRDefault="00542328" w:rsidP="00542328">
                  <w:pPr>
                    <w:spacing w:after="0"/>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TOTALES $</w:t>
                  </w:r>
                </w:p>
              </w:tc>
              <w:tc>
                <w:tcPr>
                  <w:tcW w:w="1940"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430"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215"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375"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069"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c>
                <w:tcPr>
                  <w:tcW w:w="1527" w:type="dxa"/>
                  <w:noWrap/>
                  <w:vAlign w:val="center"/>
                  <w:hideMark/>
                </w:tcPr>
                <w:p w:rsidR="00542328" w:rsidRPr="00F47740" w:rsidRDefault="00542328" w:rsidP="00542328">
                  <w:pPr>
                    <w:spacing w:after="0"/>
                    <w:jc w:val="right"/>
                    <w:rPr>
                      <w:rFonts w:ascii="Century Gothic" w:eastAsia="Times New Roman" w:hAnsi="Century Gothic"/>
                      <w:b/>
                      <w:bCs/>
                      <w:color w:val="000000"/>
                      <w:sz w:val="16"/>
                      <w:szCs w:val="16"/>
                      <w:lang w:val="es-CO" w:eastAsia="es-CO"/>
                    </w:rPr>
                  </w:pPr>
                  <w:r w:rsidRPr="00F47740">
                    <w:rPr>
                      <w:rFonts w:ascii="Century Gothic" w:eastAsia="Times New Roman" w:hAnsi="Century Gothic"/>
                      <w:b/>
                      <w:bCs/>
                      <w:color w:val="000000"/>
                      <w:sz w:val="16"/>
                      <w:szCs w:val="16"/>
                      <w:lang w:val="es-CO" w:eastAsia="es-CO"/>
                    </w:rPr>
                    <w:t> </w:t>
                  </w:r>
                </w:p>
              </w:tc>
            </w:tr>
            <w:tr w:rsidR="00542328" w:rsidRPr="00F47740" w:rsidTr="00B601A4">
              <w:trPr>
                <w:trHeight w:val="301"/>
              </w:trPr>
              <w:tc>
                <w:tcPr>
                  <w:tcW w:w="10261" w:type="dxa"/>
                  <w:gridSpan w:val="7"/>
                  <w:vMerge w:val="restart"/>
                  <w:vAlign w:val="center"/>
                  <w:hideMark/>
                </w:tcPr>
                <w:p w:rsidR="00542328" w:rsidRPr="00542328" w:rsidRDefault="00542328" w:rsidP="00542328">
                  <w:pPr>
                    <w:spacing w:after="0"/>
                    <w:rPr>
                      <w:rFonts w:ascii="Century Gothic" w:eastAsia="Times New Roman" w:hAnsi="Century Gothic"/>
                      <w:sz w:val="16"/>
                      <w:szCs w:val="16"/>
                      <w:lang w:val="es-CO" w:eastAsia="es-CO"/>
                    </w:rPr>
                  </w:pPr>
                  <w:r w:rsidRPr="00F47740">
                    <w:rPr>
                      <w:rFonts w:ascii="Century Gothic" w:eastAsia="Times New Roman" w:hAnsi="Century Gothic"/>
                      <w:b/>
                      <w:bCs/>
                      <w:sz w:val="16"/>
                      <w:szCs w:val="16"/>
                      <w:lang w:val="es-CO" w:eastAsia="es-CO"/>
                    </w:rPr>
                    <w:t>Información enviada por el proceso</w:t>
                  </w:r>
                  <w:r>
                    <w:rPr>
                      <w:rFonts w:ascii="Century Gothic" w:eastAsia="Times New Roman" w:hAnsi="Century Gothic"/>
                      <w:b/>
                      <w:bCs/>
                      <w:sz w:val="16"/>
                      <w:szCs w:val="16"/>
                      <w:lang w:val="es-CO" w:eastAsia="es-CO"/>
                    </w:rPr>
                    <w:t>:</w:t>
                  </w:r>
                  <w:r w:rsidRPr="00F47740">
                    <w:rPr>
                      <w:rFonts w:ascii="Century Gothic" w:eastAsia="Times New Roman" w:hAnsi="Century Gothic"/>
                      <w:b/>
                      <w:bCs/>
                      <w:sz w:val="14"/>
                      <w:szCs w:val="14"/>
                      <w:lang w:val="es-CO" w:eastAsia="es-CO"/>
                    </w:rPr>
                    <w:br/>
                  </w:r>
                  <w:r w:rsidRPr="00F841BB">
                    <w:rPr>
                      <w:rFonts w:ascii="Century Gothic" w:eastAsia="Times New Roman" w:hAnsi="Century Gothic"/>
                      <w:sz w:val="14"/>
                      <w:szCs w:val="16"/>
                      <w:lang w:val="es-CO" w:eastAsia="es-CO"/>
                    </w:rPr>
                    <w:t xml:space="preserve">Durante el periodo comprendido en el </w:t>
                  </w:r>
                  <w:r>
                    <w:rPr>
                      <w:rFonts w:ascii="Century Gothic" w:eastAsia="Times New Roman" w:hAnsi="Century Gothic"/>
                      <w:sz w:val="14"/>
                      <w:szCs w:val="16"/>
                      <w:lang w:val="es-CO" w:eastAsia="es-CO"/>
                    </w:rPr>
                    <w:t xml:space="preserve">cuarto </w:t>
                  </w:r>
                  <w:r w:rsidRPr="00F841BB">
                    <w:rPr>
                      <w:rFonts w:ascii="Century Gothic" w:eastAsia="Times New Roman" w:hAnsi="Century Gothic"/>
                      <w:sz w:val="14"/>
                      <w:szCs w:val="16"/>
                      <w:lang w:val="es-CO" w:eastAsia="es-CO"/>
                    </w:rPr>
                    <w:t>trimestre del año 2016, no se presentó ningún acuerdo conciliatorio por parte de la Unidad para la Atención y Reparación Integral a las Víctimas.</w:t>
                  </w:r>
                </w:p>
              </w:tc>
            </w:tr>
            <w:tr w:rsidR="00542328" w:rsidRPr="00F47740" w:rsidTr="00B601A4">
              <w:trPr>
                <w:trHeight w:val="316"/>
              </w:trPr>
              <w:tc>
                <w:tcPr>
                  <w:tcW w:w="10261" w:type="dxa"/>
                  <w:gridSpan w:val="7"/>
                  <w:vMerge/>
                  <w:vAlign w:val="center"/>
                  <w:hideMark/>
                </w:tcPr>
                <w:p w:rsidR="00542328" w:rsidRPr="00F47740" w:rsidRDefault="00542328" w:rsidP="00542328">
                  <w:pPr>
                    <w:spacing w:after="0"/>
                    <w:rPr>
                      <w:rFonts w:ascii="Century Gothic" w:eastAsia="Times New Roman" w:hAnsi="Century Gothic"/>
                      <w:b/>
                      <w:bCs/>
                      <w:sz w:val="14"/>
                      <w:szCs w:val="14"/>
                      <w:lang w:val="es-CO" w:eastAsia="es-CO"/>
                    </w:rPr>
                  </w:pPr>
                </w:p>
              </w:tc>
            </w:tr>
          </w:tbl>
          <w:p w:rsidR="00542328" w:rsidRDefault="00542328" w:rsidP="00542328">
            <w:pPr>
              <w:rPr>
                <w:lang w:val="es-CO" w:eastAsia="es-ES"/>
              </w:rPr>
            </w:pPr>
          </w:p>
          <w:p w:rsidR="00542328" w:rsidRDefault="00542328" w:rsidP="00542328">
            <w:pPr>
              <w:pStyle w:val="Prrafodelista"/>
              <w:numPr>
                <w:ilvl w:val="0"/>
                <w:numId w:val="31"/>
              </w:numPr>
              <w:ind w:left="604"/>
              <w:rPr>
                <w:rFonts w:ascii="Century Gothic" w:hAnsi="Century Gothic" w:cs="Arial"/>
                <w:b/>
                <w:sz w:val="20"/>
                <w:szCs w:val="20"/>
                <w:lang w:val="es-CO" w:eastAsia="es-CO"/>
              </w:rPr>
            </w:pPr>
            <w:r w:rsidRPr="000F0DF4">
              <w:rPr>
                <w:rFonts w:ascii="Century Gothic" w:hAnsi="Century Gothic" w:cs="Arial"/>
                <w:b/>
                <w:sz w:val="20"/>
                <w:szCs w:val="20"/>
                <w:lang w:val="es-CO" w:eastAsia="es-CO"/>
              </w:rPr>
              <w:t>SEGUIMIENTO AL PLAN DE AUSTERIDAD 2016.</w:t>
            </w:r>
          </w:p>
          <w:p w:rsidR="00542328" w:rsidRDefault="00542328" w:rsidP="00542328">
            <w:pPr>
              <w:jc w:val="both"/>
              <w:rPr>
                <w:rFonts w:ascii="Century Gothic" w:hAnsi="Century Gothic" w:cs="Arial"/>
                <w:sz w:val="20"/>
                <w:szCs w:val="20"/>
                <w:lang w:val="es-CO" w:eastAsia="es-CO"/>
              </w:rPr>
            </w:pPr>
            <w:r>
              <w:rPr>
                <w:rFonts w:ascii="Century Gothic" w:hAnsi="Century Gothic" w:cs="Arial"/>
                <w:sz w:val="20"/>
                <w:szCs w:val="20"/>
                <w:lang w:val="es-CO" w:eastAsia="es-CO"/>
              </w:rPr>
              <w:t xml:space="preserve">La OCI realiza el seguimiento a la información remitida por correo electrónico por parte de </w:t>
            </w:r>
            <w:r w:rsidR="00DD6BAC" w:rsidRPr="00DD6BAC">
              <w:rPr>
                <w:rFonts w:ascii="Century Gothic" w:hAnsi="Century Gothic" w:cs="Arial"/>
                <w:sz w:val="20"/>
                <w:szCs w:val="20"/>
                <w:lang w:val="es-CO" w:eastAsia="es-CO"/>
              </w:rPr>
              <w:t>Carmen Arenas de A Hoz</w:t>
            </w:r>
            <w:r>
              <w:rPr>
                <w:rFonts w:ascii="Century Gothic" w:hAnsi="Century Gothic" w:cs="Arial"/>
                <w:sz w:val="20"/>
                <w:szCs w:val="20"/>
                <w:lang w:val="es-CO" w:eastAsia="es-CO"/>
              </w:rPr>
              <w:t xml:space="preserve"> </w:t>
            </w:r>
            <w:r w:rsidR="00DD6BAC">
              <w:rPr>
                <w:rFonts w:ascii="Century Gothic" w:hAnsi="Century Gothic" w:cs="Arial"/>
                <w:sz w:val="20"/>
                <w:szCs w:val="20"/>
                <w:lang w:val="es-CO" w:eastAsia="es-CO"/>
              </w:rPr>
              <w:t xml:space="preserve">de </w:t>
            </w:r>
            <w:r>
              <w:rPr>
                <w:rFonts w:ascii="Century Gothic" w:hAnsi="Century Gothic" w:cs="Arial"/>
                <w:sz w:val="20"/>
                <w:szCs w:val="20"/>
                <w:lang w:val="es-CO" w:eastAsia="es-CO"/>
              </w:rPr>
              <w:t>Secretar</w:t>
            </w:r>
            <w:r w:rsidR="00DD6BAC">
              <w:rPr>
                <w:rFonts w:ascii="Century Gothic" w:hAnsi="Century Gothic" w:cs="Arial"/>
                <w:sz w:val="20"/>
                <w:szCs w:val="20"/>
                <w:lang w:val="es-CO" w:eastAsia="es-CO"/>
              </w:rPr>
              <w:t>í</w:t>
            </w:r>
            <w:r>
              <w:rPr>
                <w:rFonts w:ascii="Century Gothic" w:hAnsi="Century Gothic" w:cs="Arial"/>
                <w:sz w:val="20"/>
                <w:szCs w:val="20"/>
                <w:lang w:val="es-CO" w:eastAsia="es-CO"/>
              </w:rPr>
              <w:t>a General el 1</w:t>
            </w:r>
            <w:r w:rsidR="00DD6BAC">
              <w:rPr>
                <w:rFonts w:ascii="Century Gothic" w:hAnsi="Century Gothic" w:cs="Arial"/>
                <w:sz w:val="20"/>
                <w:szCs w:val="20"/>
                <w:lang w:val="es-CO" w:eastAsia="es-CO"/>
              </w:rPr>
              <w:t>7</w:t>
            </w:r>
            <w:r>
              <w:rPr>
                <w:rFonts w:ascii="Century Gothic" w:hAnsi="Century Gothic" w:cs="Arial"/>
                <w:sz w:val="20"/>
                <w:szCs w:val="20"/>
                <w:lang w:val="es-CO" w:eastAsia="es-CO"/>
              </w:rPr>
              <w:t xml:space="preserve"> de </w:t>
            </w:r>
            <w:r w:rsidR="00DD6BAC">
              <w:rPr>
                <w:rFonts w:ascii="Century Gothic" w:hAnsi="Century Gothic" w:cs="Arial"/>
                <w:sz w:val="20"/>
                <w:szCs w:val="20"/>
                <w:lang w:val="es-CO" w:eastAsia="es-CO"/>
              </w:rPr>
              <w:t>marzo</w:t>
            </w:r>
            <w:r>
              <w:rPr>
                <w:rFonts w:ascii="Century Gothic" w:hAnsi="Century Gothic" w:cs="Arial"/>
                <w:sz w:val="20"/>
                <w:szCs w:val="20"/>
                <w:lang w:val="es-CO" w:eastAsia="es-CO"/>
              </w:rPr>
              <w:t xml:space="preserve"> de 201</w:t>
            </w:r>
            <w:r w:rsidR="00DD6BAC">
              <w:rPr>
                <w:rFonts w:ascii="Century Gothic" w:hAnsi="Century Gothic" w:cs="Arial"/>
                <w:sz w:val="20"/>
                <w:szCs w:val="20"/>
                <w:lang w:val="es-CO" w:eastAsia="es-CO"/>
              </w:rPr>
              <w:t>7</w:t>
            </w:r>
            <w:r>
              <w:rPr>
                <w:rFonts w:ascii="Century Gothic" w:hAnsi="Century Gothic" w:cs="Arial"/>
                <w:sz w:val="20"/>
                <w:szCs w:val="20"/>
                <w:lang w:val="es-CO" w:eastAsia="es-CO"/>
              </w:rPr>
              <w:t xml:space="preserve">, los rubros relacionados con el Plan de Austeridad 2016 de la UARIV a corte de </w:t>
            </w:r>
            <w:r w:rsidR="00DD6BAC">
              <w:rPr>
                <w:rFonts w:ascii="Century Gothic" w:hAnsi="Century Gothic" w:cs="Arial"/>
                <w:sz w:val="20"/>
                <w:szCs w:val="20"/>
                <w:lang w:val="es-CO" w:eastAsia="es-CO"/>
              </w:rPr>
              <w:t>dici</w:t>
            </w:r>
            <w:r>
              <w:rPr>
                <w:rFonts w:ascii="Century Gothic" w:hAnsi="Century Gothic" w:cs="Arial"/>
                <w:sz w:val="20"/>
                <w:szCs w:val="20"/>
                <w:lang w:val="es-CO" w:eastAsia="es-CO"/>
              </w:rPr>
              <w:t xml:space="preserve">embre, son los siguientes: </w:t>
            </w:r>
          </w:p>
          <w:tbl>
            <w:tblPr>
              <w:tblW w:w="10410" w:type="dxa"/>
              <w:tblCellMar>
                <w:left w:w="70" w:type="dxa"/>
                <w:right w:w="70" w:type="dxa"/>
              </w:tblCellMar>
              <w:tblLook w:val="04A0" w:firstRow="1" w:lastRow="0" w:firstColumn="1" w:lastColumn="0" w:noHBand="0" w:noVBand="1"/>
            </w:tblPr>
            <w:tblGrid>
              <w:gridCol w:w="1052"/>
              <w:gridCol w:w="993"/>
              <w:gridCol w:w="992"/>
              <w:gridCol w:w="567"/>
              <w:gridCol w:w="1276"/>
              <w:gridCol w:w="992"/>
              <w:gridCol w:w="992"/>
              <w:gridCol w:w="992"/>
              <w:gridCol w:w="993"/>
              <w:gridCol w:w="992"/>
              <w:gridCol w:w="569"/>
            </w:tblGrid>
            <w:tr w:rsidR="00542328" w:rsidRPr="007B55F1" w:rsidTr="00B601A4">
              <w:trPr>
                <w:trHeight w:val="540"/>
              </w:trPr>
              <w:tc>
                <w:tcPr>
                  <w:tcW w:w="1052" w:type="dxa"/>
                  <w:tcBorders>
                    <w:top w:val="single" w:sz="8" w:space="0" w:color="auto"/>
                    <w:left w:val="single" w:sz="8" w:space="0" w:color="auto"/>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Apropiación Vigente</w:t>
                  </w:r>
                </w:p>
              </w:tc>
              <w:tc>
                <w:tcPr>
                  <w:tcW w:w="993"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Valor a Reducir</w:t>
                  </w:r>
                </w:p>
              </w:tc>
              <w:tc>
                <w:tcPr>
                  <w:tcW w:w="992"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Apropiación Reducida</w:t>
                  </w:r>
                </w:p>
              </w:tc>
              <w:tc>
                <w:tcPr>
                  <w:tcW w:w="567"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Pr>
                      <w:rFonts w:ascii="Century Gothic" w:eastAsia="Times New Roman" w:hAnsi="Century Gothic"/>
                      <w:b/>
                      <w:bCs/>
                      <w:color w:val="000000"/>
                      <w:sz w:val="12"/>
                      <w:szCs w:val="12"/>
                      <w:lang w:val="es-CO" w:eastAsia="es-CO"/>
                    </w:rPr>
                    <w:t>%</w:t>
                  </w:r>
                  <w:r w:rsidRPr="007B55F1">
                    <w:rPr>
                      <w:rFonts w:ascii="Century Gothic" w:eastAsia="Times New Roman" w:hAnsi="Century Gothic"/>
                      <w:b/>
                      <w:bCs/>
                      <w:color w:val="000000"/>
                      <w:sz w:val="12"/>
                      <w:szCs w:val="12"/>
                      <w:lang w:val="es-CO" w:eastAsia="es-CO"/>
                    </w:rPr>
                    <w:t xml:space="preserve"> de ahorro</w:t>
                  </w:r>
                </w:p>
              </w:tc>
              <w:tc>
                <w:tcPr>
                  <w:tcW w:w="1276"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Tipo de Gasto</w:t>
                  </w:r>
                </w:p>
              </w:tc>
              <w:tc>
                <w:tcPr>
                  <w:tcW w:w="992"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SEGUIMIENTO A MARZO</w:t>
                  </w:r>
                </w:p>
              </w:tc>
              <w:tc>
                <w:tcPr>
                  <w:tcW w:w="992"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SEGUIMIENTO A JUNIO</w:t>
                  </w:r>
                </w:p>
              </w:tc>
              <w:tc>
                <w:tcPr>
                  <w:tcW w:w="992"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SEGUIMIENTO A SEPTIEMBRE</w:t>
                  </w:r>
                </w:p>
              </w:tc>
              <w:tc>
                <w:tcPr>
                  <w:tcW w:w="993"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SEGUIMIENTO A OCTUBRE</w:t>
                  </w:r>
                </w:p>
              </w:tc>
              <w:tc>
                <w:tcPr>
                  <w:tcW w:w="992" w:type="dxa"/>
                  <w:tcBorders>
                    <w:top w:val="single" w:sz="8" w:space="0" w:color="auto"/>
                    <w:left w:val="nil"/>
                    <w:bottom w:val="single" w:sz="4" w:space="0" w:color="auto"/>
                    <w:right w:val="single" w:sz="4"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SEGUIMIENTO A DICIEMBRE</w:t>
                  </w:r>
                </w:p>
              </w:tc>
              <w:tc>
                <w:tcPr>
                  <w:tcW w:w="569" w:type="dxa"/>
                  <w:tcBorders>
                    <w:top w:val="single" w:sz="8" w:space="0" w:color="auto"/>
                    <w:left w:val="nil"/>
                    <w:bottom w:val="single" w:sz="4" w:space="0" w:color="auto"/>
                    <w:right w:val="single" w:sz="8" w:space="0" w:color="auto"/>
                  </w:tcBorders>
                  <w:shd w:val="clear" w:color="000000" w:fill="B4C6E7"/>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Pr>
                      <w:rFonts w:ascii="Century Gothic" w:eastAsia="Times New Roman" w:hAnsi="Century Gothic"/>
                      <w:b/>
                      <w:bCs/>
                      <w:color w:val="000000"/>
                      <w:sz w:val="12"/>
                      <w:szCs w:val="12"/>
                      <w:lang w:val="es-CO" w:eastAsia="es-CO"/>
                    </w:rPr>
                    <w:t>%</w:t>
                  </w:r>
                  <w:r w:rsidRPr="007B55F1">
                    <w:rPr>
                      <w:rFonts w:ascii="Century Gothic" w:eastAsia="Times New Roman" w:hAnsi="Century Gothic"/>
                      <w:b/>
                      <w:bCs/>
                      <w:color w:val="000000"/>
                      <w:sz w:val="12"/>
                      <w:szCs w:val="12"/>
                      <w:lang w:val="es-CO" w:eastAsia="es-CO"/>
                    </w:rPr>
                    <w:t xml:space="preserve"> de </w:t>
                  </w:r>
                  <w:r>
                    <w:rPr>
                      <w:rFonts w:ascii="Century Gothic" w:eastAsia="Times New Roman" w:hAnsi="Century Gothic"/>
                      <w:b/>
                      <w:bCs/>
                      <w:color w:val="000000"/>
                      <w:sz w:val="12"/>
                      <w:szCs w:val="12"/>
                      <w:lang w:val="es-CO" w:eastAsia="es-CO"/>
                    </w:rPr>
                    <w:t>Ejec</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3.011.928.000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546.072.000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2.465.856.000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39,23%</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Comunicaciones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33.843.948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64.748.624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438.000.000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17,76%</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7.165.045.073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737.843.998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6.427.201.075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53,01%</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Viaticos</w:t>
                  </w:r>
                  <w:r>
                    <w:rPr>
                      <w:rFonts w:ascii="Century Gothic" w:eastAsia="Times New Roman" w:hAnsi="Century Gothic"/>
                      <w:color w:val="000000"/>
                      <w:sz w:val="12"/>
                      <w:szCs w:val="12"/>
                      <w:lang w:val="es-CO" w:eastAsia="es-CO"/>
                    </w:rPr>
                    <w:t xml:space="preserve"> y T</w:t>
                  </w:r>
                  <w:r w:rsidRPr="007B55F1">
                    <w:rPr>
                      <w:rFonts w:ascii="Century Gothic" w:eastAsia="Times New Roman" w:hAnsi="Century Gothic"/>
                      <w:color w:val="000000"/>
                      <w:sz w:val="12"/>
                      <w:szCs w:val="12"/>
                      <w:lang w:val="es-CO" w:eastAsia="es-CO"/>
                    </w:rPr>
                    <w:t>iquetes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693.602.494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2.669.360.829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3.908.900.720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4.180.333.017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5.062.613.235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79%</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7.000.000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1.000.000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6.000.000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0,07%</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Combustible y L</w:t>
                  </w:r>
                  <w:r w:rsidRPr="007B55F1">
                    <w:rPr>
                      <w:rFonts w:ascii="Century Gothic" w:eastAsia="Times New Roman" w:hAnsi="Century Gothic"/>
                      <w:color w:val="000000"/>
                      <w:sz w:val="12"/>
                      <w:szCs w:val="12"/>
                      <w:lang w:val="es-CO" w:eastAsia="es-CO"/>
                    </w:rPr>
                    <w:t>ubricantes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1.146.640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1.795.549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1.795.549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1.902.901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32%</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55.000.000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990.000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54.010.000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0,07%</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Telefonía Móvil C</w:t>
                  </w:r>
                  <w:r w:rsidRPr="007B55F1">
                    <w:rPr>
                      <w:rFonts w:ascii="Century Gothic" w:eastAsia="Times New Roman" w:hAnsi="Century Gothic"/>
                      <w:color w:val="000000"/>
                      <w:sz w:val="12"/>
                      <w:szCs w:val="12"/>
                      <w:lang w:val="es-CO" w:eastAsia="es-CO"/>
                    </w:rPr>
                    <w:t>elular</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7.429.801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14.727.422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20.869.308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22.754.172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27.393.087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51%</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92.284.650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36.000.000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56.284.650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2,59%</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S</w:t>
                  </w:r>
                  <w:r w:rsidRPr="007B55F1">
                    <w:rPr>
                      <w:rFonts w:ascii="Century Gothic" w:eastAsia="Times New Roman" w:hAnsi="Century Gothic"/>
                      <w:color w:val="000000"/>
                      <w:sz w:val="12"/>
                      <w:szCs w:val="12"/>
                      <w:lang w:val="es-CO" w:eastAsia="es-CO"/>
                    </w:rPr>
                    <w:t xml:space="preserve">ervicios </w:t>
                  </w:r>
                  <w:r>
                    <w:rPr>
                      <w:rFonts w:ascii="Century Gothic" w:eastAsia="Times New Roman" w:hAnsi="Century Gothic"/>
                      <w:color w:val="000000"/>
                      <w:sz w:val="12"/>
                      <w:szCs w:val="12"/>
                      <w:lang w:val="es-CO" w:eastAsia="es-CO"/>
                    </w:rPr>
                    <w:t>P</w:t>
                  </w:r>
                  <w:r w:rsidRPr="007B55F1">
                    <w:rPr>
                      <w:rFonts w:ascii="Century Gothic" w:eastAsia="Times New Roman" w:hAnsi="Century Gothic"/>
                      <w:color w:val="000000"/>
                      <w:sz w:val="12"/>
                      <w:szCs w:val="12"/>
                      <w:lang w:val="es-CO" w:eastAsia="es-CO"/>
                    </w:rPr>
                    <w:t>úblicos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24.997.002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38.603.244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52.209.486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56.750.046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66.121.953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117%</w:t>
                  </w:r>
                </w:p>
              </w:tc>
            </w:tr>
            <w:tr w:rsidR="00542328" w:rsidRPr="007B55F1" w:rsidTr="00B601A4">
              <w:trPr>
                <w:trHeight w:val="57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3.572.588.321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70.076.315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3.502.512.006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5,03%</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Remuneración de Servicios T</w:t>
                  </w:r>
                  <w:r w:rsidRPr="007B55F1">
                    <w:rPr>
                      <w:rFonts w:ascii="Century Gothic" w:eastAsia="Times New Roman" w:hAnsi="Century Gothic"/>
                      <w:color w:val="000000"/>
                      <w:sz w:val="12"/>
                      <w:szCs w:val="12"/>
                      <w:lang w:val="es-CO" w:eastAsia="es-CO"/>
                    </w:rPr>
                    <w:t>écnicos</w:t>
                  </w:r>
                  <w:r>
                    <w:rPr>
                      <w:rFonts w:ascii="Century Gothic" w:eastAsia="Times New Roman" w:hAnsi="Century Gothic"/>
                      <w:color w:val="000000"/>
                      <w:sz w:val="12"/>
                      <w:szCs w:val="12"/>
                      <w:lang w:val="es-CO" w:eastAsia="es-CO"/>
                    </w:rPr>
                    <w:t xml:space="preserve"> (C</w:t>
                  </w:r>
                  <w:r w:rsidRPr="007B55F1">
                    <w:rPr>
                      <w:rFonts w:ascii="Century Gothic" w:eastAsia="Times New Roman" w:hAnsi="Century Gothic"/>
                      <w:color w:val="000000"/>
                      <w:sz w:val="12"/>
                      <w:szCs w:val="12"/>
                      <w:lang w:val="es-CO" w:eastAsia="es-CO"/>
                    </w:rPr>
                    <w:t>ontratistas)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427.865.620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1.291.928.200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2.137.881.580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2.425.273.140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3.045.861.203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87%</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S</w:t>
                  </w:r>
                  <w:r w:rsidRPr="007B55F1">
                    <w:rPr>
                      <w:rFonts w:ascii="Century Gothic" w:eastAsia="Times New Roman" w:hAnsi="Century Gothic"/>
                      <w:color w:val="000000"/>
                      <w:sz w:val="12"/>
                      <w:szCs w:val="12"/>
                      <w:lang w:val="es-CO" w:eastAsia="es-CO"/>
                    </w:rPr>
                    <w:t>uscripciones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Horas E</w:t>
                  </w:r>
                  <w:r w:rsidRPr="007B55F1">
                    <w:rPr>
                      <w:rFonts w:ascii="Century Gothic" w:eastAsia="Times New Roman" w:hAnsi="Century Gothic"/>
                      <w:color w:val="000000"/>
                      <w:sz w:val="12"/>
                      <w:szCs w:val="12"/>
                      <w:lang w:val="es-CO" w:eastAsia="es-CO"/>
                    </w:rPr>
                    <w:t>xtras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163.990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163.990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518.556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518.556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518.556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0,00%</w:t>
                  </w:r>
                </w:p>
              </w:tc>
              <w:tc>
                <w:tcPr>
                  <w:tcW w:w="1276" w:type="dxa"/>
                  <w:tcBorders>
                    <w:top w:val="nil"/>
                    <w:left w:val="nil"/>
                    <w:bottom w:val="single" w:sz="4" w:space="0" w:color="auto"/>
                    <w:right w:val="single" w:sz="4" w:space="0" w:color="auto"/>
                  </w:tcBorders>
                  <w:shd w:val="clear" w:color="auto" w:fill="auto"/>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Pr>
                      <w:rFonts w:ascii="Century Gothic" w:eastAsia="Times New Roman" w:hAnsi="Century Gothic"/>
                      <w:color w:val="000000"/>
                      <w:sz w:val="12"/>
                      <w:szCs w:val="12"/>
                      <w:lang w:val="es-CO" w:eastAsia="es-CO"/>
                    </w:rPr>
                    <w:t>I</w:t>
                  </w:r>
                  <w:r w:rsidRPr="007B55F1">
                    <w:rPr>
                      <w:rFonts w:ascii="Century Gothic" w:eastAsia="Times New Roman" w:hAnsi="Century Gothic"/>
                      <w:color w:val="000000"/>
                      <w:sz w:val="12"/>
                      <w:szCs w:val="12"/>
                      <w:lang w:val="es-CO" w:eastAsia="es-CO"/>
                    </w:rPr>
                    <w:t>ndemnización por vacaciones</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42.234.268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61.512.229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167.693.927 </w:t>
                  </w:r>
                </w:p>
              </w:tc>
              <w:tc>
                <w:tcPr>
                  <w:tcW w:w="993"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167.693.927 </w:t>
                  </w:r>
                </w:p>
              </w:tc>
              <w:tc>
                <w:tcPr>
                  <w:tcW w:w="992" w:type="dxa"/>
                  <w:tcBorders>
                    <w:top w:val="nil"/>
                    <w:left w:val="nil"/>
                    <w:bottom w:val="single" w:sz="4" w:space="0" w:color="auto"/>
                    <w:right w:val="single" w:sz="4" w:space="0" w:color="auto"/>
                  </w:tcBorders>
                  <w:shd w:val="clear" w:color="auto" w:fill="auto"/>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313.745.412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jc w:val="right"/>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0%</w:t>
                  </w:r>
                </w:p>
              </w:tc>
            </w:tr>
            <w:tr w:rsidR="00542328" w:rsidRPr="007B55F1" w:rsidTr="00B601A4">
              <w:trPr>
                <w:trHeight w:val="300"/>
              </w:trPr>
              <w:tc>
                <w:tcPr>
                  <w:tcW w:w="1052" w:type="dxa"/>
                  <w:tcBorders>
                    <w:top w:val="nil"/>
                    <w:left w:val="single" w:sz="8" w:space="0" w:color="auto"/>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13.903.846.044</w:t>
                  </w:r>
                </w:p>
              </w:tc>
              <w:tc>
                <w:tcPr>
                  <w:tcW w:w="993"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1.391.982.313</w:t>
                  </w:r>
                </w:p>
              </w:tc>
              <w:tc>
                <w:tcPr>
                  <w:tcW w:w="992"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Pr>
                      <w:rFonts w:ascii="Century Gothic" w:eastAsia="Times New Roman" w:hAnsi="Century Gothic"/>
                      <w:b/>
                      <w:bCs/>
                      <w:color w:val="000000"/>
                      <w:sz w:val="12"/>
                      <w:szCs w:val="12"/>
                      <w:lang w:val="es-CO" w:eastAsia="es-CO"/>
                    </w:rPr>
                    <w:t>12.511.863.731</w:t>
                  </w:r>
                </w:p>
              </w:tc>
              <w:tc>
                <w:tcPr>
                  <w:tcW w:w="567"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100%</w:t>
                  </w:r>
                </w:p>
              </w:tc>
              <w:tc>
                <w:tcPr>
                  <w:tcW w:w="1276" w:type="dxa"/>
                  <w:tcBorders>
                    <w:top w:val="nil"/>
                    <w:left w:val="nil"/>
                    <w:bottom w:val="nil"/>
                    <w:right w:val="single" w:sz="4" w:space="0" w:color="auto"/>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992"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 xml:space="preserve">1.196.293.175 </w:t>
                  </w:r>
                </w:p>
              </w:tc>
              <w:tc>
                <w:tcPr>
                  <w:tcW w:w="992"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 xml:space="preserve">4.077.442.554 </w:t>
                  </w:r>
                </w:p>
              </w:tc>
              <w:tc>
                <w:tcPr>
                  <w:tcW w:w="992"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 xml:space="preserve">6.323.713.074 </w:t>
                  </w:r>
                </w:p>
              </w:tc>
              <w:tc>
                <w:tcPr>
                  <w:tcW w:w="993"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 xml:space="preserve">6.919.867.031 </w:t>
                  </w:r>
                </w:p>
              </w:tc>
              <w:tc>
                <w:tcPr>
                  <w:tcW w:w="992" w:type="dxa"/>
                  <w:tcBorders>
                    <w:top w:val="nil"/>
                    <w:left w:val="nil"/>
                    <w:bottom w:val="single" w:sz="4" w:space="0" w:color="auto"/>
                    <w:right w:val="single" w:sz="4" w:space="0" w:color="auto"/>
                  </w:tcBorders>
                  <w:shd w:val="clear" w:color="000000" w:fill="B4C6E7"/>
                  <w:noWrap/>
                  <w:vAlign w:val="center"/>
                  <w:hideMark/>
                </w:tcPr>
                <w:p w:rsidR="00542328" w:rsidRPr="007B55F1" w:rsidRDefault="00542328" w:rsidP="00542328">
                  <w:pPr>
                    <w:spacing w:after="0"/>
                    <w:jc w:val="right"/>
                    <w:rPr>
                      <w:rFonts w:ascii="Century Gothic" w:eastAsia="Times New Roman" w:hAnsi="Century Gothic"/>
                      <w:b/>
                      <w:bCs/>
                      <w:color w:val="000000"/>
                      <w:sz w:val="12"/>
                      <w:szCs w:val="12"/>
                      <w:lang w:val="es-CO" w:eastAsia="es-CO"/>
                    </w:rPr>
                  </w:pPr>
                  <w:r w:rsidRPr="007B55F1">
                    <w:rPr>
                      <w:rFonts w:ascii="Century Gothic" w:eastAsia="Times New Roman" w:hAnsi="Century Gothic"/>
                      <w:b/>
                      <w:bCs/>
                      <w:color w:val="000000"/>
                      <w:sz w:val="12"/>
                      <w:szCs w:val="12"/>
                      <w:lang w:val="es-CO" w:eastAsia="es-CO"/>
                    </w:rPr>
                    <w:t xml:space="preserve">8.956.156.346 </w:t>
                  </w:r>
                </w:p>
              </w:tc>
              <w:tc>
                <w:tcPr>
                  <w:tcW w:w="569" w:type="dxa"/>
                  <w:tcBorders>
                    <w:top w:val="nil"/>
                    <w:left w:val="nil"/>
                    <w:bottom w:val="single" w:sz="4" w:space="0" w:color="auto"/>
                    <w:right w:val="single" w:sz="8" w:space="0" w:color="auto"/>
                  </w:tcBorders>
                  <w:shd w:val="clear" w:color="000000" w:fill="92D050"/>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r>
            <w:tr w:rsidR="00542328" w:rsidRPr="007B55F1" w:rsidTr="00B601A4">
              <w:trPr>
                <w:trHeight w:val="300"/>
              </w:trPr>
              <w:tc>
                <w:tcPr>
                  <w:tcW w:w="3037" w:type="dxa"/>
                  <w:gridSpan w:val="3"/>
                  <w:vMerge w:val="restart"/>
                  <w:tcBorders>
                    <w:top w:val="single" w:sz="4" w:space="0" w:color="auto"/>
                    <w:left w:val="single" w:sz="8" w:space="0" w:color="auto"/>
                    <w:bottom w:val="single" w:sz="8" w:space="0" w:color="000000"/>
                    <w:right w:val="single" w:sz="4" w:space="0" w:color="auto"/>
                  </w:tcBorders>
                  <w:shd w:val="clear" w:color="000000" w:fill="ED7D31"/>
                  <w:vAlign w:val="center"/>
                  <w:hideMark/>
                </w:tcPr>
                <w:p w:rsidR="00542328" w:rsidRPr="007B55F1" w:rsidRDefault="00542328" w:rsidP="00542328">
                  <w:pPr>
                    <w:spacing w:after="0"/>
                    <w:jc w:val="both"/>
                    <w:rPr>
                      <w:rFonts w:ascii="Century Gothic" w:eastAsia="Times New Roman" w:hAnsi="Century Gothic"/>
                      <w:color w:val="000000"/>
                      <w:sz w:val="16"/>
                      <w:szCs w:val="12"/>
                      <w:lang w:val="es-CO" w:eastAsia="es-CO"/>
                    </w:rPr>
                  </w:pPr>
                  <w:r w:rsidRPr="007B55F1">
                    <w:rPr>
                      <w:rFonts w:ascii="Century Gothic" w:eastAsia="Times New Roman" w:hAnsi="Century Gothic"/>
                      <w:color w:val="000000"/>
                      <w:sz w:val="16"/>
                      <w:szCs w:val="12"/>
                      <w:lang w:val="es-CO" w:eastAsia="es-CO"/>
                    </w:rPr>
                    <w:t xml:space="preserve">Porcentaje de reducción </w:t>
                  </w:r>
                  <w:r w:rsidRPr="007B55F1">
                    <w:rPr>
                      <w:rFonts w:ascii="Century Gothic" w:eastAsia="Times New Roman" w:hAnsi="Century Gothic"/>
                      <w:b/>
                      <w:bCs/>
                      <w:color w:val="000000"/>
                      <w:sz w:val="16"/>
                      <w:szCs w:val="12"/>
                      <w:lang w:val="es-CO" w:eastAsia="es-CO"/>
                    </w:rPr>
                    <w:t>propuesto</w:t>
                  </w:r>
                  <w:r w:rsidRPr="007B55F1">
                    <w:rPr>
                      <w:rFonts w:ascii="Century Gothic" w:eastAsia="Times New Roman" w:hAnsi="Century Gothic"/>
                      <w:color w:val="000000"/>
                      <w:sz w:val="16"/>
                      <w:szCs w:val="12"/>
                      <w:lang w:val="es-CO" w:eastAsia="es-CO"/>
                    </w:rPr>
                    <w:t xml:space="preserve"> del Plan de </w:t>
                  </w:r>
                  <w:r w:rsidRPr="00C607C7">
                    <w:rPr>
                      <w:rFonts w:ascii="Century Gothic" w:eastAsia="Times New Roman" w:hAnsi="Century Gothic"/>
                      <w:color w:val="000000"/>
                      <w:sz w:val="16"/>
                      <w:szCs w:val="12"/>
                      <w:lang w:val="es-CO" w:eastAsia="es-CO"/>
                    </w:rPr>
                    <w:t>Austeridad</w:t>
                  </w:r>
                  <w:r w:rsidRPr="007B55F1">
                    <w:rPr>
                      <w:rFonts w:ascii="Century Gothic" w:eastAsia="Times New Roman" w:hAnsi="Century Gothic"/>
                      <w:color w:val="000000"/>
                      <w:sz w:val="16"/>
                      <w:szCs w:val="12"/>
                      <w:lang w:val="es-CO" w:eastAsia="es-CO"/>
                    </w:rPr>
                    <w:t xml:space="preserve"> 2016 - UARIV</w:t>
                  </w:r>
                </w:p>
              </w:tc>
              <w:tc>
                <w:tcPr>
                  <w:tcW w:w="567" w:type="dxa"/>
                  <w:vMerge w:val="restart"/>
                  <w:tcBorders>
                    <w:top w:val="nil"/>
                    <w:left w:val="single" w:sz="4" w:space="0" w:color="auto"/>
                    <w:bottom w:val="single" w:sz="8" w:space="0" w:color="000000"/>
                    <w:right w:val="single" w:sz="4" w:space="0" w:color="auto"/>
                  </w:tcBorders>
                  <w:shd w:val="clear" w:color="000000" w:fill="ED7D31"/>
                  <w:vAlign w:val="center"/>
                  <w:hideMark/>
                </w:tcPr>
                <w:p w:rsidR="00542328" w:rsidRPr="007B55F1" w:rsidRDefault="00542328" w:rsidP="00542328">
                  <w:pPr>
                    <w:spacing w:after="0"/>
                    <w:jc w:val="center"/>
                    <w:rPr>
                      <w:rFonts w:ascii="Century Gothic" w:eastAsia="Times New Roman" w:hAnsi="Century Gothic"/>
                      <w:b/>
                      <w:bCs/>
                      <w:color w:val="000000"/>
                      <w:sz w:val="16"/>
                      <w:szCs w:val="12"/>
                      <w:lang w:val="es-CO" w:eastAsia="es-CO"/>
                    </w:rPr>
                  </w:pPr>
                  <w:r>
                    <w:rPr>
                      <w:rFonts w:ascii="Century Gothic" w:eastAsia="Times New Roman" w:hAnsi="Century Gothic"/>
                      <w:b/>
                      <w:bCs/>
                      <w:color w:val="000000"/>
                      <w:sz w:val="14"/>
                      <w:szCs w:val="12"/>
                      <w:lang w:val="es-CO" w:eastAsia="es-CO"/>
                    </w:rPr>
                    <w:t>-10,0</w:t>
                  </w:r>
                  <w:r w:rsidRPr="007B55F1">
                    <w:rPr>
                      <w:rFonts w:ascii="Century Gothic" w:eastAsia="Times New Roman" w:hAnsi="Century Gothic"/>
                      <w:b/>
                      <w:bCs/>
                      <w:color w:val="000000"/>
                      <w:sz w:val="14"/>
                      <w:szCs w:val="12"/>
                      <w:lang w:val="es-CO" w:eastAsia="es-CO"/>
                    </w:rPr>
                    <w:t>%</w:t>
                  </w:r>
                </w:p>
              </w:tc>
              <w:tc>
                <w:tcPr>
                  <w:tcW w:w="1276" w:type="dxa"/>
                  <w:tcBorders>
                    <w:top w:val="nil"/>
                    <w:left w:val="nil"/>
                    <w:bottom w:val="nil"/>
                    <w:right w:val="nil"/>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992" w:type="dxa"/>
                  <w:tcBorders>
                    <w:top w:val="nil"/>
                    <w:left w:val="nil"/>
                    <w:bottom w:val="nil"/>
                    <w:right w:val="nil"/>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992" w:type="dxa"/>
                  <w:tcBorders>
                    <w:top w:val="nil"/>
                    <w:left w:val="nil"/>
                    <w:bottom w:val="nil"/>
                    <w:right w:val="single" w:sz="4" w:space="0" w:color="auto"/>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2977" w:type="dxa"/>
                  <w:gridSpan w:val="3"/>
                  <w:vMerge w:val="restart"/>
                  <w:tcBorders>
                    <w:top w:val="single" w:sz="4" w:space="0" w:color="auto"/>
                    <w:left w:val="single" w:sz="4" w:space="0" w:color="auto"/>
                    <w:bottom w:val="single" w:sz="8" w:space="0" w:color="000000"/>
                    <w:right w:val="single" w:sz="4" w:space="0" w:color="auto"/>
                  </w:tcBorders>
                  <w:shd w:val="clear" w:color="000000" w:fill="92D050"/>
                  <w:vAlign w:val="center"/>
                  <w:hideMark/>
                </w:tcPr>
                <w:p w:rsidR="00542328" w:rsidRPr="007B55F1" w:rsidRDefault="00542328" w:rsidP="00542328">
                  <w:pPr>
                    <w:spacing w:after="0"/>
                    <w:jc w:val="both"/>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xml:space="preserve">Porcentaje de reducción </w:t>
                  </w:r>
                  <w:r w:rsidRPr="007B55F1">
                    <w:rPr>
                      <w:rFonts w:ascii="Century Gothic" w:eastAsia="Times New Roman" w:hAnsi="Century Gothic"/>
                      <w:b/>
                      <w:bCs/>
                      <w:color w:val="000000"/>
                      <w:sz w:val="12"/>
                      <w:szCs w:val="12"/>
                      <w:lang w:val="es-CO" w:eastAsia="es-CO"/>
                    </w:rPr>
                    <w:t>ejecutado</w:t>
                  </w:r>
                  <w:r w:rsidRPr="007B55F1">
                    <w:rPr>
                      <w:rFonts w:ascii="Century Gothic" w:eastAsia="Times New Roman" w:hAnsi="Century Gothic"/>
                      <w:color w:val="000000"/>
                      <w:sz w:val="12"/>
                      <w:szCs w:val="12"/>
                      <w:lang w:val="es-CO" w:eastAsia="es-CO"/>
                    </w:rPr>
                    <w:t xml:space="preserve"> del Plan de Austeridad 2016 - UARIV</w:t>
                  </w:r>
                </w:p>
              </w:tc>
              <w:tc>
                <w:tcPr>
                  <w:tcW w:w="569" w:type="dxa"/>
                  <w:vMerge w:val="restart"/>
                  <w:tcBorders>
                    <w:top w:val="nil"/>
                    <w:left w:val="single" w:sz="4" w:space="0" w:color="auto"/>
                    <w:bottom w:val="single" w:sz="8" w:space="0" w:color="000000"/>
                    <w:right w:val="single" w:sz="8" w:space="0" w:color="auto"/>
                  </w:tcBorders>
                  <w:shd w:val="clear" w:color="000000" w:fill="92D050"/>
                  <w:vAlign w:val="center"/>
                  <w:hideMark/>
                </w:tcPr>
                <w:p w:rsidR="00542328" w:rsidRPr="007B55F1" w:rsidRDefault="00542328" w:rsidP="00542328">
                  <w:pPr>
                    <w:spacing w:after="0"/>
                    <w:jc w:val="center"/>
                    <w:rPr>
                      <w:rFonts w:ascii="Century Gothic" w:eastAsia="Times New Roman" w:hAnsi="Century Gothic"/>
                      <w:b/>
                      <w:bCs/>
                      <w:color w:val="000000"/>
                      <w:sz w:val="12"/>
                      <w:szCs w:val="12"/>
                      <w:lang w:val="es-CO" w:eastAsia="es-CO"/>
                    </w:rPr>
                  </w:pPr>
                  <w:r>
                    <w:rPr>
                      <w:rFonts w:ascii="Century Gothic" w:eastAsia="Times New Roman" w:hAnsi="Century Gothic"/>
                      <w:b/>
                      <w:bCs/>
                      <w:color w:val="000000"/>
                      <w:sz w:val="12"/>
                      <w:szCs w:val="12"/>
                      <w:lang w:val="es-CO" w:eastAsia="es-CO"/>
                    </w:rPr>
                    <w:t>-35,6</w:t>
                  </w:r>
                  <w:r w:rsidRPr="007B55F1">
                    <w:rPr>
                      <w:rFonts w:ascii="Century Gothic" w:eastAsia="Times New Roman" w:hAnsi="Century Gothic"/>
                      <w:b/>
                      <w:bCs/>
                      <w:color w:val="000000"/>
                      <w:sz w:val="12"/>
                      <w:szCs w:val="12"/>
                      <w:lang w:val="es-CO" w:eastAsia="es-CO"/>
                    </w:rPr>
                    <w:t>%</w:t>
                  </w:r>
                </w:p>
              </w:tc>
            </w:tr>
            <w:tr w:rsidR="00542328" w:rsidRPr="007B55F1" w:rsidTr="00B601A4">
              <w:trPr>
                <w:trHeight w:val="315"/>
              </w:trPr>
              <w:tc>
                <w:tcPr>
                  <w:tcW w:w="3037" w:type="dxa"/>
                  <w:gridSpan w:val="3"/>
                  <w:vMerge/>
                  <w:tcBorders>
                    <w:top w:val="single" w:sz="4" w:space="0" w:color="auto"/>
                    <w:left w:val="single" w:sz="8" w:space="0" w:color="auto"/>
                    <w:bottom w:val="single" w:sz="8" w:space="0" w:color="000000"/>
                    <w:right w:val="single" w:sz="4" w:space="0" w:color="auto"/>
                  </w:tcBorders>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p>
              </w:tc>
              <w:tc>
                <w:tcPr>
                  <w:tcW w:w="567" w:type="dxa"/>
                  <w:vMerge/>
                  <w:tcBorders>
                    <w:top w:val="nil"/>
                    <w:left w:val="single" w:sz="4" w:space="0" w:color="auto"/>
                    <w:bottom w:val="single" w:sz="8" w:space="0" w:color="000000"/>
                    <w:right w:val="single" w:sz="4" w:space="0" w:color="auto"/>
                  </w:tcBorders>
                  <w:vAlign w:val="center"/>
                  <w:hideMark/>
                </w:tcPr>
                <w:p w:rsidR="00542328" w:rsidRPr="007B55F1" w:rsidRDefault="00542328" w:rsidP="00542328">
                  <w:pPr>
                    <w:spacing w:after="0"/>
                    <w:rPr>
                      <w:rFonts w:ascii="Century Gothic" w:eastAsia="Times New Roman" w:hAnsi="Century Gothic"/>
                      <w:b/>
                      <w:bCs/>
                      <w:color w:val="000000"/>
                      <w:sz w:val="12"/>
                      <w:szCs w:val="12"/>
                      <w:lang w:val="es-CO" w:eastAsia="es-CO"/>
                    </w:rPr>
                  </w:pPr>
                </w:p>
              </w:tc>
              <w:tc>
                <w:tcPr>
                  <w:tcW w:w="1276" w:type="dxa"/>
                  <w:tcBorders>
                    <w:top w:val="nil"/>
                    <w:left w:val="nil"/>
                    <w:bottom w:val="single" w:sz="8" w:space="0" w:color="auto"/>
                    <w:right w:val="nil"/>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992" w:type="dxa"/>
                  <w:tcBorders>
                    <w:top w:val="nil"/>
                    <w:left w:val="nil"/>
                    <w:bottom w:val="single" w:sz="8" w:space="0" w:color="auto"/>
                    <w:right w:val="nil"/>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992" w:type="dxa"/>
                  <w:tcBorders>
                    <w:top w:val="nil"/>
                    <w:left w:val="nil"/>
                    <w:bottom w:val="single" w:sz="8" w:space="0" w:color="auto"/>
                    <w:right w:val="single" w:sz="4" w:space="0" w:color="auto"/>
                  </w:tcBorders>
                  <w:shd w:val="clear" w:color="000000" w:fill="B4C6E7"/>
                  <w:noWrap/>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r w:rsidRPr="007B55F1">
                    <w:rPr>
                      <w:rFonts w:ascii="Century Gothic" w:eastAsia="Times New Roman" w:hAnsi="Century Gothic"/>
                      <w:color w:val="000000"/>
                      <w:sz w:val="12"/>
                      <w:szCs w:val="12"/>
                      <w:lang w:val="es-CO" w:eastAsia="es-CO"/>
                    </w:rPr>
                    <w:t> </w:t>
                  </w:r>
                </w:p>
              </w:tc>
              <w:tc>
                <w:tcPr>
                  <w:tcW w:w="2977" w:type="dxa"/>
                  <w:gridSpan w:val="3"/>
                  <w:vMerge/>
                  <w:tcBorders>
                    <w:top w:val="nil"/>
                    <w:left w:val="nil"/>
                    <w:bottom w:val="single" w:sz="8" w:space="0" w:color="auto"/>
                    <w:right w:val="single" w:sz="4" w:space="0" w:color="auto"/>
                  </w:tcBorders>
                  <w:vAlign w:val="center"/>
                  <w:hideMark/>
                </w:tcPr>
                <w:p w:rsidR="00542328" w:rsidRPr="007B55F1" w:rsidRDefault="00542328" w:rsidP="00542328">
                  <w:pPr>
                    <w:spacing w:after="0"/>
                    <w:rPr>
                      <w:rFonts w:ascii="Century Gothic" w:eastAsia="Times New Roman" w:hAnsi="Century Gothic"/>
                      <w:color w:val="000000"/>
                      <w:sz w:val="12"/>
                      <w:szCs w:val="12"/>
                      <w:lang w:val="es-CO" w:eastAsia="es-CO"/>
                    </w:rPr>
                  </w:pPr>
                </w:p>
              </w:tc>
              <w:tc>
                <w:tcPr>
                  <w:tcW w:w="569" w:type="dxa"/>
                  <w:vMerge/>
                  <w:tcBorders>
                    <w:top w:val="nil"/>
                    <w:left w:val="single" w:sz="4" w:space="0" w:color="auto"/>
                    <w:bottom w:val="single" w:sz="8" w:space="0" w:color="000000"/>
                    <w:right w:val="single" w:sz="8" w:space="0" w:color="auto"/>
                  </w:tcBorders>
                  <w:vAlign w:val="center"/>
                  <w:hideMark/>
                </w:tcPr>
                <w:p w:rsidR="00542328" w:rsidRPr="007B55F1" w:rsidRDefault="00542328" w:rsidP="00542328">
                  <w:pPr>
                    <w:spacing w:after="0"/>
                    <w:rPr>
                      <w:rFonts w:ascii="Century Gothic" w:eastAsia="Times New Roman" w:hAnsi="Century Gothic"/>
                      <w:b/>
                      <w:bCs/>
                      <w:color w:val="000000"/>
                      <w:sz w:val="12"/>
                      <w:szCs w:val="12"/>
                      <w:lang w:val="es-CO" w:eastAsia="es-CO"/>
                    </w:rPr>
                  </w:pPr>
                </w:p>
              </w:tc>
            </w:tr>
          </w:tbl>
          <w:p w:rsidR="00542328" w:rsidRDefault="00542328" w:rsidP="00542328">
            <w:pPr>
              <w:jc w:val="both"/>
              <w:rPr>
                <w:rFonts w:ascii="Century Gothic" w:hAnsi="Century Gothic" w:cs="Arial"/>
                <w:sz w:val="20"/>
                <w:szCs w:val="20"/>
              </w:rPr>
            </w:pPr>
            <w:r>
              <w:rPr>
                <w:rFonts w:ascii="Century Gothic" w:hAnsi="Century Gothic" w:cs="Arial"/>
                <w:sz w:val="20"/>
                <w:szCs w:val="20"/>
              </w:rPr>
              <w:t xml:space="preserve">La apropiación vigente para los rubros del Plan de Austeridad 2016 de la Entidad es de $13.903.846.044, y la </w:t>
            </w:r>
            <w:r w:rsidRPr="00AF1786">
              <w:rPr>
                <w:rFonts w:ascii="Century Gothic" w:hAnsi="Century Gothic" w:cs="Arial"/>
                <w:sz w:val="20"/>
                <w:szCs w:val="20"/>
              </w:rPr>
              <w:t>Apropiación</w:t>
            </w:r>
            <w:r w:rsidRPr="007B55F1">
              <w:rPr>
                <w:rFonts w:ascii="Century Gothic" w:hAnsi="Century Gothic" w:cs="Arial"/>
                <w:sz w:val="20"/>
                <w:szCs w:val="20"/>
              </w:rPr>
              <w:t xml:space="preserve"> Reducida</w:t>
            </w:r>
            <w:r>
              <w:rPr>
                <w:rFonts w:ascii="Century Gothic" w:hAnsi="Century Gothic" w:cs="Arial"/>
                <w:sz w:val="20"/>
                <w:szCs w:val="20"/>
              </w:rPr>
              <w:t xml:space="preserve"> es de $ </w:t>
            </w:r>
            <w:r w:rsidRPr="00AF1786">
              <w:rPr>
                <w:rFonts w:ascii="Century Gothic" w:hAnsi="Century Gothic" w:cs="Arial"/>
                <w:sz w:val="20"/>
                <w:szCs w:val="20"/>
              </w:rPr>
              <w:t xml:space="preserve">12.511.863.731 </w:t>
            </w:r>
            <w:r>
              <w:rPr>
                <w:rFonts w:ascii="Century Gothic" w:hAnsi="Century Gothic" w:cs="Arial"/>
                <w:sz w:val="20"/>
                <w:szCs w:val="20"/>
              </w:rPr>
              <w:t xml:space="preserve">y al corte 31de diciembre se ha ejecutado </w:t>
            </w:r>
            <w:r w:rsidRPr="00D6555E">
              <w:rPr>
                <w:rFonts w:ascii="Century Gothic" w:hAnsi="Century Gothic" w:cs="Arial"/>
                <w:sz w:val="20"/>
                <w:szCs w:val="20"/>
              </w:rPr>
              <w:t>$</w:t>
            </w:r>
            <w:r>
              <w:rPr>
                <w:rFonts w:ascii="Century Gothic" w:hAnsi="Century Gothic" w:cs="Arial"/>
                <w:sz w:val="20"/>
                <w:szCs w:val="20"/>
              </w:rPr>
              <w:t xml:space="preserve"> </w:t>
            </w:r>
            <w:r w:rsidRPr="007B55F1">
              <w:rPr>
                <w:rFonts w:ascii="Century Gothic" w:hAnsi="Century Gothic" w:cs="Arial"/>
                <w:sz w:val="20"/>
                <w:szCs w:val="20"/>
              </w:rPr>
              <w:t xml:space="preserve">8.956.156.346 </w:t>
            </w:r>
            <w:r w:rsidRPr="00AF1786">
              <w:rPr>
                <w:rFonts w:ascii="Century Gothic" w:hAnsi="Century Gothic" w:cs="Arial"/>
                <w:sz w:val="20"/>
                <w:szCs w:val="20"/>
              </w:rPr>
              <w:t>de la Apropiación</w:t>
            </w:r>
            <w:r w:rsidRPr="007B55F1">
              <w:rPr>
                <w:rFonts w:ascii="Century Gothic" w:hAnsi="Century Gothic" w:cs="Arial"/>
                <w:sz w:val="20"/>
                <w:szCs w:val="20"/>
              </w:rPr>
              <w:t xml:space="preserve"> Reducida</w:t>
            </w:r>
            <w:r>
              <w:rPr>
                <w:rFonts w:ascii="Century Gothic" w:hAnsi="Century Gothic" w:cs="Arial"/>
                <w:sz w:val="20"/>
                <w:szCs w:val="20"/>
              </w:rPr>
              <w:t>, lo equivalente a 72%.</w:t>
            </w:r>
          </w:p>
          <w:p w:rsidR="00542328" w:rsidRPr="00542328" w:rsidRDefault="00542328" w:rsidP="00542328">
            <w:pPr>
              <w:jc w:val="both"/>
              <w:rPr>
                <w:rFonts w:ascii="Century Gothic" w:hAnsi="Century Gothic" w:cs="Arial"/>
                <w:sz w:val="20"/>
                <w:szCs w:val="20"/>
                <w:lang w:eastAsia="es-CO"/>
              </w:rPr>
            </w:pPr>
            <w:r>
              <w:rPr>
                <w:rFonts w:ascii="Century Gothic" w:hAnsi="Century Gothic" w:cs="Arial"/>
                <w:sz w:val="20"/>
                <w:szCs w:val="20"/>
              </w:rPr>
              <w:t xml:space="preserve">La Entidad para el comienzo del año buscaba reducir en el Plan de Austeridad 2016 el 10.01% y al 31 de diciembre de 2016 se alcanza a reducir el 35.6%, cumpliendo con lo establecido en la </w:t>
            </w:r>
            <w:r w:rsidRPr="00F577A0">
              <w:rPr>
                <w:rFonts w:ascii="Century Gothic" w:hAnsi="Century Gothic" w:cs="Arial"/>
                <w:sz w:val="20"/>
                <w:szCs w:val="20"/>
              </w:rPr>
              <w:t xml:space="preserve">Directiva Presidencial Nº </w:t>
            </w:r>
            <w:r>
              <w:rPr>
                <w:rFonts w:ascii="Century Gothic" w:hAnsi="Century Gothic" w:cs="Arial"/>
                <w:sz w:val="20"/>
                <w:szCs w:val="20"/>
              </w:rPr>
              <w:t>01</w:t>
            </w:r>
            <w:r w:rsidRPr="00F577A0">
              <w:rPr>
                <w:rFonts w:ascii="Century Gothic" w:hAnsi="Century Gothic" w:cs="Arial"/>
                <w:sz w:val="20"/>
                <w:szCs w:val="20"/>
              </w:rPr>
              <w:t xml:space="preserve"> de </w:t>
            </w:r>
            <w:r>
              <w:rPr>
                <w:rFonts w:ascii="Century Gothic" w:hAnsi="Century Gothic" w:cs="Arial"/>
                <w:sz w:val="20"/>
                <w:szCs w:val="20"/>
              </w:rPr>
              <w:t>10</w:t>
            </w:r>
            <w:r w:rsidRPr="00F577A0">
              <w:rPr>
                <w:rFonts w:ascii="Century Gothic" w:hAnsi="Century Gothic" w:cs="Arial"/>
                <w:sz w:val="20"/>
                <w:szCs w:val="20"/>
              </w:rPr>
              <w:t xml:space="preserve"> de </w:t>
            </w:r>
            <w:r>
              <w:rPr>
                <w:rFonts w:ascii="Century Gothic" w:hAnsi="Century Gothic" w:cs="Arial"/>
                <w:sz w:val="20"/>
                <w:szCs w:val="20"/>
              </w:rPr>
              <w:t>febrero</w:t>
            </w:r>
            <w:r w:rsidRPr="00F577A0">
              <w:rPr>
                <w:rFonts w:ascii="Century Gothic" w:hAnsi="Century Gothic" w:cs="Arial"/>
                <w:sz w:val="20"/>
                <w:szCs w:val="20"/>
              </w:rPr>
              <w:t xml:space="preserve"> de 20</w:t>
            </w:r>
            <w:r>
              <w:rPr>
                <w:rFonts w:ascii="Century Gothic" w:hAnsi="Century Gothic" w:cs="Arial"/>
                <w:sz w:val="20"/>
                <w:szCs w:val="20"/>
              </w:rPr>
              <w:t>16.</w:t>
            </w:r>
          </w:p>
          <w:p w:rsidR="00DD2063" w:rsidRPr="006369FA" w:rsidRDefault="00DD2063" w:rsidP="00542328">
            <w:pPr>
              <w:pStyle w:val="Default"/>
              <w:jc w:val="both"/>
              <w:rPr>
                <w:b/>
                <w:sz w:val="20"/>
                <w:szCs w:val="20"/>
              </w:rPr>
            </w:pPr>
          </w:p>
        </w:tc>
        <w:bookmarkStart w:id="0" w:name="_GoBack"/>
        <w:bookmarkEnd w:id="0"/>
      </w:tr>
      <w:tr w:rsidR="00DD2063" w:rsidRPr="006369FA" w:rsidTr="00430BB9">
        <w:tc>
          <w:tcPr>
            <w:tcW w:w="10632" w:type="dxa"/>
            <w:shd w:val="clear" w:color="auto" w:fill="D9D9D9"/>
          </w:tcPr>
          <w:p w:rsidR="00DD2063" w:rsidRPr="004F3EE5" w:rsidRDefault="004F3EE5" w:rsidP="004F3EE5">
            <w:pPr>
              <w:pStyle w:val="Prrafodelista"/>
              <w:numPr>
                <w:ilvl w:val="0"/>
                <w:numId w:val="21"/>
              </w:numPr>
              <w:spacing w:after="0"/>
              <w:ind w:left="318"/>
              <w:rPr>
                <w:rFonts w:ascii="Arial" w:hAnsi="Arial" w:cs="Arial"/>
                <w:b/>
                <w:sz w:val="20"/>
                <w:szCs w:val="20"/>
              </w:rPr>
            </w:pPr>
            <w:r>
              <w:rPr>
                <w:rFonts w:ascii="Arial Narrow" w:hAnsi="Arial Narrow"/>
                <w:b/>
              </w:rPr>
              <w:lastRenderedPageBreak/>
              <w:t>C</w:t>
            </w:r>
            <w:r w:rsidRPr="004F3EE5">
              <w:rPr>
                <w:rFonts w:ascii="Arial Narrow" w:hAnsi="Arial Narrow"/>
                <w:b/>
              </w:rPr>
              <w:t xml:space="preserve">onclusiones y/o </w:t>
            </w:r>
            <w:r>
              <w:rPr>
                <w:rFonts w:ascii="Arial Narrow" w:hAnsi="Arial Narrow"/>
                <w:b/>
              </w:rPr>
              <w:t>R</w:t>
            </w:r>
            <w:r w:rsidRPr="004F3EE5">
              <w:rPr>
                <w:rFonts w:ascii="Arial Narrow" w:hAnsi="Arial Narrow"/>
                <w:b/>
              </w:rPr>
              <w:t>ecomendaciones</w:t>
            </w:r>
          </w:p>
          <w:p w:rsidR="004F3EE5" w:rsidRPr="006369FA" w:rsidRDefault="004F3EE5" w:rsidP="004F3EE5">
            <w:pPr>
              <w:pStyle w:val="Prrafodelista"/>
              <w:spacing w:after="0"/>
              <w:ind w:left="318"/>
              <w:rPr>
                <w:rFonts w:ascii="Arial" w:hAnsi="Arial" w:cs="Arial"/>
                <w:b/>
                <w:sz w:val="20"/>
                <w:szCs w:val="20"/>
              </w:rPr>
            </w:pPr>
          </w:p>
        </w:tc>
      </w:tr>
      <w:tr w:rsidR="00DD2063" w:rsidRPr="006369FA" w:rsidTr="00430BB9">
        <w:tc>
          <w:tcPr>
            <w:tcW w:w="10632" w:type="dxa"/>
            <w:shd w:val="clear" w:color="auto" w:fill="auto"/>
          </w:tcPr>
          <w:p w:rsidR="00DD2063" w:rsidRDefault="00DD2063" w:rsidP="00B601A4">
            <w:pPr>
              <w:rPr>
                <w:rFonts w:ascii="Arial" w:eastAsia="PMingLiU" w:hAnsi="Arial" w:cs="Arial"/>
                <w:bCs/>
                <w:color w:val="0000FF"/>
                <w:sz w:val="20"/>
                <w:szCs w:val="20"/>
              </w:rPr>
            </w:pPr>
          </w:p>
          <w:p w:rsidR="00542328" w:rsidRPr="001665DC" w:rsidRDefault="00542328" w:rsidP="00542328">
            <w:pPr>
              <w:pStyle w:val="Prrafodelista"/>
              <w:numPr>
                <w:ilvl w:val="0"/>
                <w:numId w:val="32"/>
              </w:numPr>
              <w:jc w:val="both"/>
              <w:rPr>
                <w:rFonts w:ascii="Century Gothic" w:hAnsi="Century Gothic" w:cs="Arial"/>
                <w:sz w:val="20"/>
                <w:szCs w:val="20"/>
              </w:rPr>
            </w:pPr>
            <w:r>
              <w:rPr>
                <w:rFonts w:ascii="Century Gothic" w:hAnsi="Century Gothic" w:cs="Arial"/>
                <w:sz w:val="20"/>
                <w:szCs w:val="20"/>
              </w:rPr>
              <w:lastRenderedPageBreak/>
              <w:t xml:space="preserve">Se solicita continuar con la ejecución de las medidas de control y seguimiento frente a los </w:t>
            </w:r>
            <w:r w:rsidRPr="00664918">
              <w:rPr>
                <w:rFonts w:ascii="Century Gothic" w:hAnsi="Century Gothic" w:cs="Arial"/>
                <w:sz w:val="20"/>
                <w:szCs w:val="20"/>
              </w:rPr>
              <w:t>de funcionamiento para la vigencia 2017</w:t>
            </w:r>
            <w:r>
              <w:rPr>
                <w:rFonts w:ascii="Century Gothic" w:hAnsi="Century Gothic" w:cs="Arial"/>
                <w:sz w:val="20"/>
                <w:szCs w:val="20"/>
              </w:rPr>
              <w:t>.</w:t>
            </w:r>
          </w:p>
          <w:p w:rsidR="00542328" w:rsidRPr="00F41602" w:rsidRDefault="00542328" w:rsidP="00542328">
            <w:pPr>
              <w:pStyle w:val="Prrafodelista"/>
              <w:numPr>
                <w:ilvl w:val="0"/>
                <w:numId w:val="32"/>
              </w:numPr>
              <w:jc w:val="both"/>
              <w:rPr>
                <w:rFonts w:ascii="Arial" w:eastAsia="PMingLiU" w:hAnsi="Arial" w:cs="Arial"/>
                <w:bCs/>
                <w:color w:val="0000FF"/>
                <w:sz w:val="20"/>
                <w:szCs w:val="20"/>
              </w:rPr>
            </w:pPr>
            <w:r w:rsidRPr="003C7A88">
              <w:rPr>
                <w:rFonts w:ascii="Century Gothic" w:hAnsi="Century Gothic" w:cs="Arial"/>
                <w:sz w:val="20"/>
                <w:szCs w:val="20"/>
              </w:rPr>
              <w:t xml:space="preserve">Dar cumplimiento </w:t>
            </w:r>
            <w:r>
              <w:rPr>
                <w:rFonts w:ascii="Century Gothic" w:hAnsi="Century Gothic" w:cs="Arial"/>
                <w:sz w:val="20"/>
                <w:szCs w:val="20"/>
              </w:rPr>
              <w:t>a</w:t>
            </w:r>
            <w:r w:rsidRPr="003C7A88">
              <w:rPr>
                <w:rFonts w:ascii="Century Gothic" w:hAnsi="Century Gothic" w:cs="Arial"/>
                <w:sz w:val="20"/>
                <w:szCs w:val="20"/>
              </w:rPr>
              <w:t xml:space="preserve"> las instrucciones de la directiva presidencial </w:t>
            </w:r>
            <w:r>
              <w:rPr>
                <w:rFonts w:ascii="Century Gothic" w:hAnsi="Century Gothic" w:cs="Arial"/>
                <w:sz w:val="20"/>
                <w:szCs w:val="20"/>
              </w:rPr>
              <w:t>01 de 2016</w:t>
            </w:r>
            <w:r w:rsidRPr="003C7A88">
              <w:rPr>
                <w:rFonts w:ascii="Century Gothic" w:hAnsi="Century Gothic" w:cs="Arial"/>
                <w:sz w:val="20"/>
                <w:szCs w:val="20"/>
              </w:rPr>
              <w:t xml:space="preserve"> en materia de reducción de gastos generales, en promover acciones </w:t>
            </w:r>
            <w:r>
              <w:rPr>
                <w:rFonts w:ascii="Century Gothic" w:hAnsi="Century Gothic" w:cs="Arial"/>
                <w:sz w:val="20"/>
                <w:szCs w:val="20"/>
              </w:rPr>
              <w:t xml:space="preserve">estratégicas e </w:t>
            </w:r>
            <w:r w:rsidRPr="003C7A88">
              <w:rPr>
                <w:rFonts w:ascii="Century Gothic" w:hAnsi="Century Gothic" w:cs="Arial"/>
                <w:sz w:val="20"/>
                <w:szCs w:val="20"/>
              </w:rPr>
              <w:t>innovadoras para alcanzar ahorros significativos en los gastos de fun</w:t>
            </w:r>
            <w:r>
              <w:rPr>
                <w:rFonts w:ascii="Century Gothic" w:hAnsi="Century Gothic" w:cs="Arial"/>
                <w:sz w:val="20"/>
                <w:szCs w:val="20"/>
              </w:rPr>
              <w:t>cionamiento de la Unidad.</w:t>
            </w:r>
          </w:p>
          <w:p w:rsidR="00DD2063" w:rsidRPr="00542328" w:rsidRDefault="00542328" w:rsidP="00B601A4">
            <w:pPr>
              <w:rPr>
                <w:rFonts w:ascii="Arial" w:eastAsia="PMingLiU" w:hAnsi="Arial" w:cs="Arial"/>
                <w:bCs/>
                <w:color w:val="0000FF"/>
                <w:sz w:val="20"/>
                <w:szCs w:val="20"/>
              </w:rPr>
            </w:pPr>
            <w:r w:rsidRPr="0059414A">
              <w:rPr>
                <w:rFonts w:ascii="Century Gothic" w:hAnsi="Century Gothic" w:cs="Arial"/>
                <w:sz w:val="20"/>
                <w:szCs w:val="20"/>
              </w:rPr>
              <w:t>Para futuros seguimientos, emitir respuesta clara y debidamente argumentada de las variaciones presentadas y el cumplimento de las metas del plan de austeridad en el trimestre de cada vigencia con sus respectivos soportes en los tiempos pactados por la OCI</w:t>
            </w:r>
            <w:r>
              <w:rPr>
                <w:rFonts w:ascii="Century Gothic" w:hAnsi="Century Gothic" w:cs="Arial"/>
                <w:sz w:val="20"/>
                <w:szCs w:val="20"/>
              </w:rPr>
              <w:t>, estos datos fueron revisados frente al SIIF, encontrando coincidencia con los registros señalados.</w:t>
            </w:r>
          </w:p>
        </w:tc>
      </w:tr>
    </w:tbl>
    <w:p w:rsidR="00DD2063" w:rsidRDefault="00DD2063" w:rsidP="00DD2063">
      <w:pPr>
        <w:spacing w:after="0"/>
        <w:rPr>
          <w:rFonts w:ascii="Arial Narrow" w:hAnsi="Arial Narrow"/>
          <w:b/>
        </w:rPr>
      </w:pPr>
    </w:p>
    <w:p w:rsidR="00430BB9" w:rsidRDefault="00430BB9" w:rsidP="00DD2063">
      <w:pPr>
        <w:spacing w:after="0"/>
        <w:rPr>
          <w:rFonts w:ascii="Arial Narrow" w:hAnsi="Arial Narrow"/>
          <w:b/>
        </w:rPr>
      </w:pPr>
    </w:p>
    <w:p w:rsidR="00430BB9" w:rsidRPr="006C54C0" w:rsidRDefault="00430BB9" w:rsidP="00FE4F31">
      <w:pPr>
        <w:spacing w:after="0"/>
        <w:ind w:left="-567"/>
        <w:rPr>
          <w:rFonts w:ascii="Arial" w:hAnsi="Arial" w:cs="Arial"/>
          <w:b/>
        </w:rPr>
      </w:pPr>
      <w:r w:rsidRPr="006C54C0">
        <w:rPr>
          <w:rFonts w:ascii="Arial" w:hAnsi="Arial" w:cs="Arial"/>
          <w:b/>
        </w:rPr>
        <w:t>ANEXOS</w:t>
      </w:r>
    </w:p>
    <w:p w:rsidR="00430BB9" w:rsidRPr="006C54C0" w:rsidRDefault="00430BB9" w:rsidP="00FE4F31">
      <w:pPr>
        <w:pStyle w:val="Prrafodelista"/>
        <w:ind w:left="-567"/>
      </w:pPr>
    </w:p>
    <w:p w:rsidR="00430BB9" w:rsidRPr="006C54C0" w:rsidRDefault="00430BB9" w:rsidP="00FE4F31">
      <w:pPr>
        <w:pStyle w:val="Prrafodelista"/>
        <w:ind w:left="-567"/>
        <w:rPr>
          <w:rFonts w:ascii="Arial" w:hAnsi="Arial" w:cs="Arial"/>
          <w:b/>
        </w:rPr>
      </w:pPr>
      <w:r w:rsidRPr="006C54C0">
        <w:rPr>
          <w:rFonts w:ascii="Arial" w:hAnsi="Arial" w:cs="Arial"/>
          <w:b/>
          <w:bCs/>
          <w:lang w:val="es-CO" w:eastAsia="es-ES"/>
        </w:rPr>
        <w:t xml:space="preserve">ANEXO 1: </w:t>
      </w:r>
      <w:r w:rsidRPr="006C54C0">
        <w:rPr>
          <w:rFonts w:ascii="Arial" w:hAnsi="Arial" w:cs="Arial"/>
          <w:b/>
        </w:rPr>
        <w:t>CONTROL DE CAMBIOS</w:t>
      </w:r>
    </w:p>
    <w:p w:rsidR="00430BB9" w:rsidRPr="006C54C0" w:rsidRDefault="00430BB9" w:rsidP="00430BB9">
      <w:pPr>
        <w:pStyle w:val="Prrafodelista"/>
        <w:ind w:left="-142"/>
        <w:rPr>
          <w:rFonts w:ascii="Arial" w:hAnsi="Arial" w:cs="Arial"/>
          <w:b/>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6C54C0" w:rsidTr="00430BB9">
        <w:tc>
          <w:tcPr>
            <w:tcW w:w="842"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Versión</w:t>
            </w:r>
          </w:p>
        </w:tc>
        <w:tc>
          <w:tcPr>
            <w:tcW w:w="797"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Ítem del cambio</w:t>
            </w:r>
          </w:p>
        </w:tc>
        <w:tc>
          <w:tcPr>
            <w:tcW w:w="1312"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Cambio realizado</w:t>
            </w:r>
          </w:p>
        </w:tc>
        <w:tc>
          <w:tcPr>
            <w:tcW w:w="1216"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Motivo del cambio</w:t>
            </w:r>
          </w:p>
        </w:tc>
        <w:tc>
          <w:tcPr>
            <w:tcW w:w="833" w:type="pct"/>
            <w:shd w:val="clear" w:color="auto" w:fill="F2DBDB"/>
            <w:vAlign w:val="center"/>
          </w:tcPr>
          <w:p w:rsidR="00430BB9" w:rsidRPr="006C54C0" w:rsidRDefault="00430BB9" w:rsidP="00B601A4">
            <w:pPr>
              <w:pStyle w:val="Prrafodelista"/>
              <w:spacing w:after="0"/>
              <w:ind w:left="0"/>
              <w:jc w:val="center"/>
              <w:rPr>
                <w:rFonts w:ascii="Arial" w:hAnsi="Arial" w:cs="Arial"/>
                <w:b/>
              </w:rPr>
            </w:pPr>
            <w:r w:rsidRPr="006C54C0">
              <w:rPr>
                <w:rFonts w:ascii="Arial" w:hAnsi="Arial" w:cs="Arial"/>
                <w:b/>
              </w:rPr>
              <w:t>Fecha del cambio</w:t>
            </w:r>
          </w:p>
        </w:tc>
      </w:tr>
      <w:tr w:rsidR="00430BB9" w:rsidRPr="006C54C0" w:rsidTr="00060535">
        <w:tc>
          <w:tcPr>
            <w:tcW w:w="842" w:type="pct"/>
            <w:shd w:val="clear" w:color="auto" w:fill="auto"/>
            <w:vAlign w:val="center"/>
          </w:tcPr>
          <w:p w:rsidR="00430BB9" w:rsidRPr="002D6B47" w:rsidRDefault="00060535" w:rsidP="00060535">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02</w:t>
            </w:r>
          </w:p>
        </w:tc>
        <w:tc>
          <w:tcPr>
            <w:tcW w:w="797" w:type="pct"/>
            <w:shd w:val="clear" w:color="auto" w:fill="auto"/>
            <w:vAlign w:val="center"/>
          </w:tcPr>
          <w:p w:rsidR="00430BB9" w:rsidRPr="002D6B47" w:rsidRDefault="00430BB9" w:rsidP="00B601A4">
            <w:pPr>
              <w:pStyle w:val="Prrafodelista"/>
              <w:spacing w:after="0"/>
              <w:ind w:left="0"/>
              <w:rPr>
                <w:rFonts w:ascii="Arial Narrow" w:hAnsi="Arial Narrow" w:cs="Arial"/>
                <w:sz w:val="20"/>
                <w:szCs w:val="20"/>
                <w:lang w:val="es-CO" w:eastAsia="es-CO"/>
              </w:rPr>
            </w:pPr>
          </w:p>
        </w:tc>
        <w:tc>
          <w:tcPr>
            <w:tcW w:w="1312" w:type="pct"/>
            <w:shd w:val="clear" w:color="auto" w:fill="auto"/>
            <w:vAlign w:val="center"/>
          </w:tcPr>
          <w:p w:rsidR="00430BB9" w:rsidRPr="002D6B47" w:rsidRDefault="00060535" w:rsidP="00060535">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Se elimina la casilla fecha del informe.</w:t>
            </w:r>
          </w:p>
        </w:tc>
        <w:tc>
          <w:tcPr>
            <w:tcW w:w="1216" w:type="pct"/>
            <w:shd w:val="clear" w:color="auto" w:fill="auto"/>
          </w:tcPr>
          <w:p w:rsidR="00430BB9" w:rsidRPr="002D6B47" w:rsidRDefault="00060535" w:rsidP="00B601A4">
            <w:pPr>
              <w:pStyle w:val="Prrafodelista"/>
              <w:spacing w:after="0"/>
              <w:ind w:left="0"/>
              <w:rPr>
                <w:rFonts w:ascii="Arial Narrow" w:hAnsi="Arial Narrow" w:cs="Arial"/>
                <w:sz w:val="20"/>
                <w:szCs w:val="20"/>
                <w:lang w:val="es-CO" w:eastAsia="es-CO"/>
              </w:rPr>
            </w:pPr>
            <w:r>
              <w:rPr>
                <w:rFonts w:ascii="Arial Narrow" w:hAnsi="Arial Narrow" w:cs="Arial"/>
                <w:sz w:val="20"/>
                <w:szCs w:val="20"/>
                <w:lang w:val="es-CO" w:eastAsia="es-CO"/>
              </w:rPr>
              <w:t>Al revisar el formato se evidencia que la casilla fecha del informe esta repetida.</w:t>
            </w:r>
          </w:p>
        </w:tc>
        <w:tc>
          <w:tcPr>
            <w:tcW w:w="833" w:type="pct"/>
            <w:shd w:val="clear" w:color="auto" w:fill="auto"/>
            <w:vAlign w:val="center"/>
          </w:tcPr>
          <w:p w:rsidR="00430BB9" w:rsidRPr="002D6B47" w:rsidRDefault="00F677DF" w:rsidP="00B601A4">
            <w:pPr>
              <w:pStyle w:val="Prrafodelista"/>
              <w:spacing w:after="0"/>
              <w:ind w:left="0"/>
              <w:jc w:val="center"/>
              <w:rPr>
                <w:rFonts w:ascii="Arial Narrow" w:hAnsi="Arial Narrow" w:cs="Arial"/>
                <w:sz w:val="20"/>
                <w:szCs w:val="20"/>
                <w:lang w:val="es-CO" w:eastAsia="es-CO"/>
              </w:rPr>
            </w:pPr>
            <w:r>
              <w:rPr>
                <w:rFonts w:ascii="Arial Narrow" w:hAnsi="Arial Narrow" w:cs="Arial"/>
                <w:sz w:val="20"/>
                <w:szCs w:val="20"/>
                <w:lang w:val="es-CO" w:eastAsia="es-CO"/>
              </w:rPr>
              <w:t>09</w:t>
            </w:r>
            <w:r w:rsidR="00060535">
              <w:rPr>
                <w:rFonts w:ascii="Arial Narrow" w:hAnsi="Arial Narrow" w:cs="Arial"/>
                <w:sz w:val="20"/>
                <w:szCs w:val="20"/>
                <w:lang w:val="es-CO" w:eastAsia="es-CO"/>
              </w:rPr>
              <w:t>/03/2015</w:t>
            </w:r>
          </w:p>
        </w:tc>
      </w:tr>
    </w:tbl>
    <w:p w:rsidR="00430BB9" w:rsidRPr="00E619FD" w:rsidRDefault="00430BB9" w:rsidP="00DD2063">
      <w:pPr>
        <w:spacing w:after="0"/>
        <w:rPr>
          <w:rFonts w:ascii="Arial Narrow" w:hAnsi="Arial Narrow"/>
          <w:b/>
        </w:rPr>
      </w:pPr>
    </w:p>
    <w:sectPr w:rsidR="00430BB9" w:rsidRPr="00E619FD" w:rsidSect="0082203A">
      <w:headerReference w:type="even" r:id="rId12"/>
      <w:headerReference w:type="default" r:id="rId13"/>
      <w:headerReference w:type="first" r:id="rId14"/>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5DF" w:rsidRDefault="004B05DF">
      <w:pPr>
        <w:spacing w:after="0"/>
      </w:pPr>
      <w:r>
        <w:separator/>
      </w:r>
    </w:p>
  </w:endnote>
  <w:endnote w:type="continuationSeparator" w:id="0">
    <w:p w:rsidR="004B05DF" w:rsidRDefault="004B05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5DF" w:rsidRDefault="004B05DF">
      <w:pPr>
        <w:spacing w:after="0"/>
      </w:pPr>
      <w:r>
        <w:separator/>
      </w:r>
    </w:p>
  </w:footnote>
  <w:footnote w:type="continuationSeparator" w:id="0">
    <w:p w:rsidR="004B05DF" w:rsidRDefault="004B05D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5D7" w:rsidRDefault="004405D7">
    <w:pPr>
      <w:pStyle w:val="Encabezado"/>
    </w:pPr>
    <w:r>
      <w:rPr>
        <w:noProof/>
        <w:lang w:val="es-CO" w:eastAsia="es-CO"/>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5D7" w:rsidRDefault="004405D7">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4405D7" w:rsidTr="00B601A4">
      <w:trPr>
        <w:trHeight w:val="844"/>
      </w:trPr>
      <w:tc>
        <w:tcPr>
          <w:tcW w:w="3306" w:type="dxa"/>
          <w:vMerge w:val="restart"/>
        </w:tcPr>
        <w:p w:rsidR="004405D7" w:rsidRDefault="004405D7" w:rsidP="0060122A">
          <w:pPr>
            <w:pStyle w:val="Encabezado"/>
            <w:jc w:val="center"/>
          </w:pPr>
          <w:r>
            <w:rPr>
              <w:noProof/>
              <w:lang w:val="es-CO" w:eastAsia="es-CO"/>
            </w:rPr>
            <w:drawing>
              <wp:anchor distT="0" distB="0" distL="114300" distR="114300" simplePos="0" relativeHeight="251660800" behindDoc="0" locked="0" layoutInCell="1" allowOverlap="1" wp14:anchorId="779AC051" wp14:editId="06D0E6C7">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4405D7" w:rsidRPr="009B12B0" w:rsidRDefault="004405D7"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4405D7" w:rsidRPr="00075304" w:rsidRDefault="004405D7"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4405D7" w:rsidRPr="00075304" w:rsidRDefault="004405D7" w:rsidP="0060122A">
          <w:pPr>
            <w:pStyle w:val="Encabezado"/>
            <w:rPr>
              <w:rFonts w:ascii="Arial" w:hAnsi="Arial" w:cs="Arial"/>
              <w:b/>
              <w:sz w:val="16"/>
              <w:szCs w:val="22"/>
            </w:rPr>
          </w:pPr>
        </w:p>
        <w:p w:rsidR="004405D7" w:rsidRPr="00075304" w:rsidRDefault="004405D7"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4405D7" w:rsidRPr="00075304" w:rsidRDefault="004405D7" w:rsidP="0060122A">
          <w:pPr>
            <w:pStyle w:val="Encabezado"/>
            <w:rPr>
              <w:rFonts w:ascii="Arial" w:hAnsi="Arial" w:cs="Arial"/>
              <w:b/>
              <w:sz w:val="16"/>
              <w:szCs w:val="22"/>
            </w:rPr>
          </w:pPr>
        </w:p>
        <w:p w:rsidR="004405D7" w:rsidRPr="0060122A" w:rsidRDefault="004405D7"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4405D7" w:rsidRPr="0060122A" w:rsidRDefault="004405D7" w:rsidP="0060122A">
          <w:pPr>
            <w:pStyle w:val="Encabezado"/>
            <w:rPr>
              <w:rFonts w:ascii="Arial" w:hAnsi="Arial" w:cs="Arial"/>
              <w:b/>
              <w:sz w:val="16"/>
              <w:szCs w:val="16"/>
            </w:rPr>
          </w:pPr>
        </w:p>
        <w:p w:rsidR="004405D7" w:rsidRPr="0060122A" w:rsidRDefault="004405D7"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Pr="0060122A">
                <w:rPr>
                  <w:rFonts w:ascii="Arial" w:hAnsi="Arial" w:cs="Arial"/>
                  <w:b/>
                  <w:sz w:val="16"/>
                  <w:szCs w:val="16"/>
                  <w:lang w:val="es-ES"/>
                </w:rPr>
                <w:t>PÁGINA</w:t>
              </w:r>
              <w:r>
                <w:rPr>
                  <w:rFonts w:ascii="Arial" w:hAnsi="Arial" w:cs="Arial"/>
                  <w:b/>
                  <w:sz w:val="16"/>
                  <w:szCs w:val="16"/>
                  <w:lang w:val="es-ES"/>
                </w:rPr>
                <w:t>:</w:t>
              </w:r>
              <w:r w:rsidRPr="0060122A">
                <w:rPr>
                  <w:rFonts w:ascii="Arial" w:hAnsi="Arial" w:cs="Arial"/>
                  <w:b/>
                  <w:sz w:val="16"/>
                  <w:szCs w:val="16"/>
                  <w:lang w:val="es-ES"/>
                </w:rPr>
                <w:t xml:space="preserve"> </w:t>
              </w:r>
              <w:r w:rsidRPr="0060122A">
                <w:rPr>
                  <w:rFonts w:ascii="Arial" w:hAnsi="Arial" w:cs="Arial"/>
                  <w:b/>
                  <w:bCs/>
                  <w:sz w:val="16"/>
                  <w:szCs w:val="16"/>
                </w:rPr>
                <w:fldChar w:fldCharType="begin"/>
              </w:r>
              <w:r w:rsidRPr="0060122A">
                <w:rPr>
                  <w:rFonts w:ascii="Arial" w:hAnsi="Arial" w:cs="Arial"/>
                  <w:b/>
                  <w:bCs/>
                  <w:sz w:val="16"/>
                  <w:szCs w:val="16"/>
                </w:rPr>
                <w:instrText>PAGE</w:instrText>
              </w:r>
              <w:r w:rsidRPr="0060122A">
                <w:rPr>
                  <w:rFonts w:ascii="Arial" w:hAnsi="Arial" w:cs="Arial"/>
                  <w:b/>
                  <w:bCs/>
                  <w:sz w:val="16"/>
                  <w:szCs w:val="16"/>
                </w:rPr>
                <w:fldChar w:fldCharType="separate"/>
              </w:r>
              <w:r w:rsidR="00DF32EE">
                <w:rPr>
                  <w:rFonts w:ascii="Arial" w:hAnsi="Arial" w:cs="Arial"/>
                  <w:b/>
                  <w:bCs/>
                  <w:noProof/>
                  <w:sz w:val="16"/>
                  <w:szCs w:val="16"/>
                </w:rPr>
                <w:t>10</w:t>
              </w:r>
              <w:r w:rsidRPr="0060122A">
                <w:rPr>
                  <w:rFonts w:ascii="Arial" w:hAnsi="Arial" w:cs="Arial"/>
                  <w:b/>
                  <w:bCs/>
                  <w:sz w:val="16"/>
                  <w:szCs w:val="16"/>
                </w:rPr>
                <w:fldChar w:fldCharType="end"/>
              </w:r>
              <w:r w:rsidRPr="0060122A">
                <w:rPr>
                  <w:rFonts w:ascii="Arial" w:hAnsi="Arial" w:cs="Arial"/>
                  <w:b/>
                  <w:sz w:val="16"/>
                  <w:szCs w:val="16"/>
                  <w:lang w:val="es-ES"/>
                </w:rPr>
                <w:t xml:space="preserve"> de </w:t>
              </w:r>
              <w:r w:rsidRPr="0060122A">
                <w:rPr>
                  <w:rFonts w:ascii="Arial" w:hAnsi="Arial" w:cs="Arial"/>
                  <w:b/>
                  <w:bCs/>
                  <w:sz w:val="16"/>
                  <w:szCs w:val="16"/>
                </w:rPr>
                <w:fldChar w:fldCharType="begin"/>
              </w:r>
              <w:r w:rsidRPr="0060122A">
                <w:rPr>
                  <w:rFonts w:ascii="Arial" w:hAnsi="Arial" w:cs="Arial"/>
                  <w:b/>
                  <w:bCs/>
                  <w:sz w:val="16"/>
                  <w:szCs w:val="16"/>
                </w:rPr>
                <w:instrText>NUMPAGES</w:instrText>
              </w:r>
              <w:r w:rsidRPr="0060122A">
                <w:rPr>
                  <w:rFonts w:ascii="Arial" w:hAnsi="Arial" w:cs="Arial"/>
                  <w:b/>
                  <w:bCs/>
                  <w:sz w:val="16"/>
                  <w:szCs w:val="16"/>
                </w:rPr>
                <w:fldChar w:fldCharType="separate"/>
              </w:r>
              <w:r w:rsidR="00DF32EE">
                <w:rPr>
                  <w:rFonts w:ascii="Arial" w:hAnsi="Arial" w:cs="Arial"/>
                  <w:b/>
                  <w:bCs/>
                  <w:noProof/>
                  <w:sz w:val="16"/>
                  <w:szCs w:val="16"/>
                </w:rPr>
                <w:t>13</w:t>
              </w:r>
              <w:r w:rsidRPr="0060122A">
                <w:rPr>
                  <w:rFonts w:ascii="Arial" w:hAnsi="Arial" w:cs="Arial"/>
                  <w:b/>
                  <w:bCs/>
                  <w:sz w:val="16"/>
                  <w:szCs w:val="16"/>
                </w:rPr>
                <w:fldChar w:fldCharType="end"/>
              </w:r>
            </w:sdtContent>
          </w:sdt>
        </w:p>
        <w:p w:rsidR="004405D7" w:rsidRPr="00171E31" w:rsidRDefault="004405D7" w:rsidP="0060122A">
          <w:pPr>
            <w:pStyle w:val="Encabezado"/>
            <w:rPr>
              <w:rFonts w:ascii="Arial" w:hAnsi="Arial" w:cs="Arial"/>
              <w:b/>
              <w:sz w:val="16"/>
              <w:szCs w:val="22"/>
            </w:rPr>
          </w:pPr>
          <w:r w:rsidRPr="00171E31">
            <w:rPr>
              <w:rFonts w:ascii="Arial" w:hAnsi="Arial" w:cs="Arial"/>
              <w:b/>
              <w:sz w:val="16"/>
              <w:szCs w:val="22"/>
            </w:rPr>
            <w:t xml:space="preserve"> </w:t>
          </w:r>
        </w:p>
      </w:tc>
    </w:tr>
    <w:tr w:rsidR="004405D7" w:rsidTr="00B601A4">
      <w:trPr>
        <w:trHeight w:val="557"/>
      </w:trPr>
      <w:tc>
        <w:tcPr>
          <w:tcW w:w="3306" w:type="dxa"/>
          <w:vMerge/>
        </w:tcPr>
        <w:p w:rsidR="004405D7" w:rsidRDefault="004405D7" w:rsidP="0060122A">
          <w:pPr>
            <w:pStyle w:val="Encabezado"/>
            <w:jc w:val="center"/>
            <w:rPr>
              <w:noProof/>
              <w:lang w:val="es-CO" w:eastAsia="es-CO"/>
            </w:rPr>
          </w:pPr>
        </w:p>
      </w:tc>
      <w:tc>
        <w:tcPr>
          <w:tcW w:w="4962" w:type="dxa"/>
          <w:vAlign w:val="center"/>
        </w:tcPr>
        <w:p w:rsidR="004405D7" w:rsidRDefault="004405D7"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4405D7" w:rsidRPr="005174B1" w:rsidRDefault="004405D7" w:rsidP="0060122A">
          <w:pPr>
            <w:pStyle w:val="Encabezado"/>
            <w:rPr>
              <w:rFonts w:ascii="Arial" w:hAnsi="Arial" w:cs="Arial"/>
              <w:b/>
              <w:sz w:val="20"/>
              <w:szCs w:val="22"/>
            </w:rPr>
          </w:pPr>
        </w:p>
      </w:tc>
    </w:tr>
  </w:tbl>
  <w:p w:rsidR="004405D7" w:rsidRPr="00BB156A" w:rsidRDefault="004405D7"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05D7" w:rsidRDefault="004405D7">
    <w:pPr>
      <w:pStyle w:val="Encabezado"/>
    </w:pPr>
    <w:r>
      <w:rPr>
        <w:noProof/>
        <w:lang w:val="es-CO" w:eastAsia="es-CO"/>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BC82914"/>
    <w:multiLevelType w:val="hybridMultilevel"/>
    <w:tmpl w:val="9FB2E1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FE4E97"/>
    <w:multiLevelType w:val="hybridMultilevel"/>
    <w:tmpl w:val="945C1544"/>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677FDE"/>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40F18D8"/>
    <w:multiLevelType w:val="hybridMultilevel"/>
    <w:tmpl w:val="6298F280"/>
    <w:lvl w:ilvl="0" w:tplc="BB0C3868">
      <w:start w:val="1"/>
      <w:numFmt w:val="decimal"/>
      <w:lvlText w:val="%1."/>
      <w:lvlJc w:val="left"/>
      <w:pPr>
        <w:ind w:left="720" w:hanging="360"/>
      </w:pPr>
      <w:rPr>
        <w:rFonts w:ascii="Century Gothic" w:eastAsia="Cambria" w:hAnsi="Century Gothic"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B5FF7"/>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4" w15:restartNumberingAfterBreak="0">
    <w:nsid w:val="3CE43706"/>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FBD5458"/>
    <w:multiLevelType w:val="multilevel"/>
    <w:tmpl w:val="E48C87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9" w15:restartNumberingAfterBreak="0">
    <w:nsid w:val="562E6E7F"/>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BA93E5B"/>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24"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772F1D2A"/>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790878A3"/>
    <w:multiLevelType w:val="multilevel"/>
    <w:tmpl w:val="7AC43E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30"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23"/>
  </w:num>
  <w:num w:numId="2">
    <w:abstractNumId w:val="3"/>
  </w:num>
  <w:num w:numId="3">
    <w:abstractNumId w:val="9"/>
  </w:num>
  <w:num w:numId="4">
    <w:abstractNumId w:val="15"/>
  </w:num>
  <w:num w:numId="5">
    <w:abstractNumId w:val="30"/>
  </w:num>
  <w:num w:numId="6">
    <w:abstractNumId w:val="17"/>
  </w:num>
  <w:num w:numId="7">
    <w:abstractNumId w:val="11"/>
  </w:num>
  <w:num w:numId="8">
    <w:abstractNumId w:val="8"/>
  </w:num>
  <w:num w:numId="9">
    <w:abstractNumId w:val="7"/>
  </w:num>
  <w:num w:numId="10">
    <w:abstractNumId w:val="21"/>
  </w:num>
  <w:num w:numId="11">
    <w:abstractNumId w:val="22"/>
  </w:num>
  <w:num w:numId="12">
    <w:abstractNumId w:val="25"/>
  </w:num>
  <w:num w:numId="13">
    <w:abstractNumId w:val="10"/>
  </w:num>
  <w:num w:numId="14">
    <w:abstractNumId w:val="4"/>
  </w:num>
  <w:num w:numId="15">
    <w:abstractNumId w:val="18"/>
  </w:num>
  <w:num w:numId="16">
    <w:abstractNumId w:val="27"/>
  </w:num>
  <w:num w:numId="17">
    <w:abstractNumId w:val="31"/>
  </w:num>
  <w:num w:numId="18">
    <w:abstractNumId w:val="24"/>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2"/>
  </w:num>
  <w:num w:numId="23">
    <w:abstractNumId w:val="20"/>
  </w:num>
  <w:num w:numId="24">
    <w:abstractNumId w:val="1"/>
  </w:num>
  <w:num w:numId="25">
    <w:abstractNumId w:val="26"/>
  </w:num>
  <w:num w:numId="26">
    <w:abstractNumId w:val="14"/>
  </w:num>
  <w:num w:numId="27">
    <w:abstractNumId w:val="5"/>
  </w:num>
  <w:num w:numId="28">
    <w:abstractNumId w:val="19"/>
  </w:num>
  <w:num w:numId="29">
    <w:abstractNumId w:val="12"/>
  </w:num>
  <w:num w:numId="30">
    <w:abstractNumId w:val="28"/>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2249"/>
    <w:rsid w:val="00003FBB"/>
    <w:rsid w:val="00011707"/>
    <w:rsid w:val="00021FA0"/>
    <w:rsid w:val="00035906"/>
    <w:rsid w:val="00046E51"/>
    <w:rsid w:val="00060535"/>
    <w:rsid w:val="00064EBC"/>
    <w:rsid w:val="00072130"/>
    <w:rsid w:val="00075304"/>
    <w:rsid w:val="00084629"/>
    <w:rsid w:val="00096A9C"/>
    <w:rsid w:val="00096E13"/>
    <w:rsid w:val="000A3C94"/>
    <w:rsid w:val="000A4528"/>
    <w:rsid w:val="000B13CD"/>
    <w:rsid w:val="000B1B69"/>
    <w:rsid w:val="000B1CAA"/>
    <w:rsid w:val="000D0D69"/>
    <w:rsid w:val="000D5FE0"/>
    <w:rsid w:val="000F10D2"/>
    <w:rsid w:val="000F1D5D"/>
    <w:rsid w:val="000F539E"/>
    <w:rsid w:val="00103297"/>
    <w:rsid w:val="00110BEE"/>
    <w:rsid w:val="001111BB"/>
    <w:rsid w:val="00145604"/>
    <w:rsid w:val="001458AE"/>
    <w:rsid w:val="00151F9E"/>
    <w:rsid w:val="00156DDE"/>
    <w:rsid w:val="00166B8B"/>
    <w:rsid w:val="00166DE2"/>
    <w:rsid w:val="0017127A"/>
    <w:rsid w:val="00171E31"/>
    <w:rsid w:val="00177334"/>
    <w:rsid w:val="00182C88"/>
    <w:rsid w:val="00187F9F"/>
    <w:rsid w:val="001942E2"/>
    <w:rsid w:val="001A4320"/>
    <w:rsid w:val="001B1713"/>
    <w:rsid w:val="001B3AE0"/>
    <w:rsid w:val="001C2753"/>
    <w:rsid w:val="001E6DEC"/>
    <w:rsid w:val="001F5D33"/>
    <w:rsid w:val="001F5E23"/>
    <w:rsid w:val="002006B0"/>
    <w:rsid w:val="00217165"/>
    <w:rsid w:val="0022074D"/>
    <w:rsid w:val="0022123A"/>
    <w:rsid w:val="00244CA1"/>
    <w:rsid w:val="00256F9F"/>
    <w:rsid w:val="00260188"/>
    <w:rsid w:val="00270072"/>
    <w:rsid w:val="00273C21"/>
    <w:rsid w:val="002859DE"/>
    <w:rsid w:val="00286317"/>
    <w:rsid w:val="00297BFC"/>
    <w:rsid w:val="002A08EF"/>
    <w:rsid w:val="002B7A41"/>
    <w:rsid w:val="002C241F"/>
    <w:rsid w:val="002F2E76"/>
    <w:rsid w:val="002F54DA"/>
    <w:rsid w:val="00310AE4"/>
    <w:rsid w:val="00315DEC"/>
    <w:rsid w:val="00323090"/>
    <w:rsid w:val="00327D50"/>
    <w:rsid w:val="00330E79"/>
    <w:rsid w:val="00331C1E"/>
    <w:rsid w:val="00332CC0"/>
    <w:rsid w:val="003409D7"/>
    <w:rsid w:val="003653B5"/>
    <w:rsid w:val="00376A9C"/>
    <w:rsid w:val="00377591"/>
    <w:rsid w:val="00377A6E"/>
    <w:rsid w:val="003900A2"/>
    <w:rsid w:val="003B0748"/>
    <w:rsid w:val="003B4D52"/>
    <w:rsid w:val="003B7FFD"/>
    <w:rsid w:val="003C7D7B"/>
    <w:rsid w:val="003D265E"/>
    <w:rsid w:val="003F0155"/>
    <w:rsid w:val="003F071E"/>
    <w:rsid w:val="003F6F32"/>
    <w:rsid w:val="0040100D"/>
    <w:rsid w:val="00430BB9"/>
    <w:rsid w:val="00433975"/>
    <w:rsid w:val="004405D7"/>
    <w:rsid w:val="00456BAA"/>
    <w:rsid w:val="00466EC7"/>
    <w:rsid w:val="004672EE"/>
    <w:rsid w:val="00471AC5"/>
    <w:rsid w:val="00476DD6"/>
    <w:rsid w:val="004806A4"/>
    <w:rsid w:val="00481462"/>
    <w:rsid w:val="00485FF9"/>
    <w:rsid w:val="004A484F"/>
    <w:rsid w:val="004B05DF"/>
    <w:rsid w:val="004B7E93"/>
    <w:rsid w:val="004D48A0"/>
    <w:rsid w:val="004E2D95"/>
    <w:rsid w:val="004E374A"/>
    <w:rsid w:val="004F3EE5"/>
    <w:rsid w:val="0050432D"/>
    <w:rsid w:val="005174B1"/>
    <w:rsid w:val="00537B8F"/>
    <w:rsid w:val="00542328"/>
    <w:rsid w:val="005427E4"/>
    <w:rsid w:val="00566B02"/>
    <w:rsid w:val="00590A54"/>
    <w:rsid w:val="005A6567"/>
    <w:rsid w:val="005C1358"/>
    <w:rsid w:val="005C3375"/>
    <w:rsid w:val="005D0581"/>
    <w:rsid w:val="005D5EC5"/>
    <w:rsid w:val="005E2624"/>
    <w:rsid w:val="005E5AA4"/>
    <w:rsid w:val="005E6CDC"/>
    <w:rsid w:val="0060122A"/>
    <w:rsid w:val="00602963"/>
    <w:rsid w:val="00614BA9"/>
    <w:rsid w:val="00625C6E"/>
    <w:rsid w:val="0062603B"/>
    <w:rsid w:val="00626674"/>
    <w:rsid w:val="00643B53"/>
    <w:rsid w:val="006503C9"/>
    <w:rsid w:val="0065202F"/>
    <w:rsid w:val="00654A67"/>
    <w:rsid w:val="00657EEC"/>
    <w:rsid w:val="00666ED3"/>
    <w:rsid w:val="00670191"/>
    <w:rsid w:val="00682B06"/>
    <w:rsid w:val="006A6B5D"/>
    <w:rsid w:val="006B1949"/>
    <w:rsid w:val="006B5344"/>
    <w:rsid w:val="006B53A1"/>
    <w:rsid w:val="006D46AA"/>
    <w:rsid w:val="006F19C5"/>
    <w:rsid w:val="006F3883"/>
    <w:rsid w:val="00704B2C"/>
    <w:rsid w:val="0072262D"/>
    <w:rsid w:val="0073750F"/>
    <w:rsid w:val="00747B98"/>
    <w:rsid w:val="00751137"/>
    <w:rsid w:val="00752678"/>
    <w:rsid w:val="0076015E"/>
    <w:rsid w:val="007722AB"/>
    <w:rsid w:val="00773A6A"/>
    <w:rsid w:val="007817F2"/>
    <w:rsid w:val="00792049"/>
    <w:rsid w:val="00792591"/>
    <w:rsid w:val="007A541D"/>
    <w:rsid w:val="007B41D7"/>
    <w:rsid w:val="007C14BE"/>
    <w:rsid w:val="007C2D0E"/>
    <w:rsid w:val="007D58DF"/>
    <w:rsid w:val="007E75CF"/>
    <w:rsid w:val="00803762"/>
    <w:rsid w:val="00807908"/>
    <w:rsid w:val="00821305"/>
    <w:rsid w:val="0082203A"/>
    <w:rsid w:val="008275CD"/>
    <w:rsid w:val="0083363E"/>
    <w:rsid w:val="00846532"/>
    <w:rsid w:val="008532B5"/>
    <w:rsid w:val="00867395"/>
    <w:rsid w:val="00872468"/>
    <w:rsid w:val="00874A09"/>
    <w:rsid w:val="008753A4"/>
    <w:rsid w:val="008A0111"/>
    <w:rsid w:val="008A1394"/>
    <w:rsid w:val="008A2C90"/>
    <w:rsid w:val="008A3595"/>
    <w:rsid w:val="008B02DD"/>
    <w:rsid w:val="008C0846"/>
    <w:rsid w:val="008D503C"/>
    <w:rsid w:val="008D7797"/>
    <w:rsid w:val="008D7AF3"/>
    <w:rsid w:val="008E3801"/>
    <w:rsid w:val="008E63F2"/>
    <w:rsid w:val="008E64E5"/>
    <w:rsid w:val="00912704"/>
    <w:rsid w:val="00914524"/>
    <w:rsid w:val="00914568"/>
    <w:rsid w:val="00920FC9"/>
    <w:rsid w:val="009218B3"/>
    <w:rsid w:val="00930F5A"/>
    <w:rsid w:val="00934FEF"/>
    <w:rsid w:val="00951306"/>
    <w:rsid w:val="009532C3"/>
    <w:rsid w:val="00955B94"/>
    <w:rsid w:val="009576EC"/>
    <w:rsid w:val="00973EA6"/>
    <w:rsid w:val="0097776E"/>
    <w:rsid w:val="009872C3"/>
    <w:rsid w:val="00991484"/>
    <w:rsid w:val="00992231"/>
    <w:rsid w:val="0099431D"/>
    <w:rsid w:val="009B12B0"/>
    <w:rsid w:val="009C6F9B"/>
    <w:rsid w:val="009D4572"/>
    <w:rsid w:val="009D7818"/>
    <w:rsid w:val="009E0C76"/>
    <w:rsid w:val="009E22F1"/>
    <w:rsid w:val="009F1005"/>
    <w:rsid w:val="00A00E59"/>
    <w:rsid w:val="00A16F07"/>
    <w:rsid w:val="00A22072"/>
    <w:rsid w:val="00A4098B"/>
    <w:rsid w:val="00A50231"/>
    <w:rsid w:val="00A53B74"/>
    <w:rsid w:val="00A544CE"/>
    <w:rsid w:val="00A56495"/>
    <w:rsid w:val="00A57572"/>
    <w:rsid w:val="00A65066"/>
    <w:rsid w:val="00A76CD1"/>
    <w:rsid w:val="00A82B2F"/>
    <w:rsid w:val="00AC155D"/>
    <w:rsid w:val="00AC731D"/>
    <w:rsid w:val="00AF13C9"/>
    <w:rsid w:val="00AF28B3"/>
    <w:rsid w:val="00B0504F"/>
    <w:rsid w:val="00B07556"/>
    <w:rsid w:val="00B22CFC"/>
    <w:rsid w:val="00B322E7"/>
    <w:rsid w:val="00B349DE"/>
    <w:rsid w:val="00B40884"/>
    <w:rsid w:val="00B42314"/>
    <w:rsid w:val="00B601A4"/>
    <w:rsid w:val="00B62DC6"/>
    <w:rsid w:val="00B818DE"/>
    <w:rsid w:val="00B84145"/>
    <w:rsid w:val="00B877BD"/>
    <w:rsid w:val="00B877CC"/>
    <w:rsid w:val="00B91F95"/>
    <w:rsid w:val="00BB156A"/>
    <w:rsid w:val="00BB2D1B"/>
    <w:rsid w:val="00BC0D1E"/>
    <w:rsid w:val="00BD027D"/>
    <w:rsid w:val="00BD2535"/>
    <w:rsid w:val="00BE0573"/>
    <w:rsid w:val="00BF4194"/>
    <w:rsid w:val="00C109E9"/>
    <w:rsid w:val="00C17081"/>
    <w:rsid w:val="00C2751D"/>
    <w:rsid w:val="00C43BAF"/>
    <w:rsid w:val="00C55B7B"/>
    <w:rsid w:val="00C71EBB"/>
    <w:rsid w:val="00C73F46"/>
    <w:rsid w:val="00C7450E"/>
    <w:rsid w:val="00C87C6F"/>
    <w:rsid w:val="00C91CCB"/>
    <w:rsid w:val="00C97A50"/>
    <w:rsid w:val="00CA78B6"/>
    <w:rsid w:val="00CA7E74"/>
    <w:rsid w:val="00CB1814"/>
    <w:rsid w:val="00CB478D"/>
    <w:rsid w:val="00CB5C3D"/>
    <w:rsid w:val="00CC75CC"/>
    <w:rsid w:val="00CD73A2"/>
    <w:rsid w:val="00CD7616"/>
    <w:rsid w:val="00CF526F"/>
    <w:rsid w:val="00D072E5"/>
    <w:rsid w:val="00D15C90"/>
    <w:rsid w:val="00D17B0F"/>
    <w:rsid w:val="00D2285A"/>
    <w:rsid w:val="00D304E0"/>
    <w:rsid w:val="00D30871"/>
    <w:rsid w:val="00D45786"/>
    <w:rsid w:val="00D4622D"/>
    <w:rsid w:val="00D52035"/>
    <w:rsid w:val="00D55146"/>
    <w:rsid w:val="00D56A39"/>
    <w:rsid w:val="00D60CE9"/>
    <w:rsid w:val="00D6225E"/>
    <w:rsid w:val="00D62C30"/>
    <w:rsid w:val="00D65E24"/>
    <w:rsid w:val="00D73F0B"/>
    <w:rsid w:val="00D84A48"/>
    <w:rsid w:val="00D851C8"/>
    <w:rsid w:val="00D86B29"/>
    <w:rsid w:val="00DA125E"/>
    <w:rsid w:val="00DB52D0"/>
    <w:rsid w:val="00DC11C0"/>
    <w:rsid w:val="00DD2063"/>
    <w:rsid w:val="00DD6BAC"/>
    <w:rsid w:val="00DF0635"/>
    <w:rsid w:val="00DF32EE"/>
    <w:rsid w:val="00DF61CF"/>
    <w:rsid w:val="00DF7F68"/>
    <w:rsid w:val="00E02216"/>
    <w:rsid w:val="00E112D4"/>
    <w:rsid w:val="00E50204"/>
    <w:rsid w:val="00E52BA4"/>
    <w:rsid w:val="00E619FD"/>
    <w:rsid w:val="00E71BBA"/>
    <w:rsid w:val="00E72035"/>
    <w:rsid w:val="00E73C1B"/>
    <w:rsid w:val="00E74B4F"/>
    <w:rsid w:val="00E80823"/>
    <w:rsid w:val="00E82F7C"/>
    <w:rsid w:val="00EA189F"/>
    <w:rsid w:val="00EA7502"/>
    <w:rsid w:val="00EB2102"/>
    <w:rsid w:val="00EB298A"/>
    <w:rsid w:val="00EB7616"/>
    <w:rsid w:val="00EC5791"/>
    <w:rsid w:val="00ED66AB"/>
    <w:rsid w:val="00EE192F"/>
    <w:rsid w:val="00F237D2"/>
    <w:rsid w:val="00F338AD"/>
    <w:rsid w:val="00F5099C"/>
    <w:rsid w:val="00F65943"/>
    <w:rsid w:val="00F65D55"/>
    <w:rsid w:val="00F677DF"/>
    <w:rsid w:val="00FA23DC"/>
    <w:rsid w:val="00FB47CA"/>
    <w:rsid w:val="00FB7544"/>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74A303"/>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uiPriority w:val="9"/>
    <w:qFormat/>
    <w:rsid w:val="00542328"/>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uiPriority w:val="9"/>
    <w:semiHidden/>
    <w:unhideWhenUsed/>
    <w:qFormat/>
    <w:rsid w:val="0054232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 w:type="character" w:customStyle="1" w:styleId="Ttulo1Car">
    <w:name w:val="Título 1 Car"/>
    <w:basedOn w:val="Fuentedeprrafopredeter"/>
    <w:link w:val="Ttulo1"/>
    <w:uiPriority w:val="9"/>
    <w:rsid w:val="00542328"/>
    <w:rPr>
      <w:rFonts w:ascii="Arial Narrow" w:eastAsia="Times New Roman" w:hAnsi="Arial Narrow"/>
      <w:b/>
      <w:bCs/>
      <w:sz w:val="14"/>
      <w:szCs w:val="24"/>
    </w:rPr>
  </w:style>
  <w:style w:type="character" w:customStyle="1" w:styleId="Ttulo2Car">
    <w:name w:val="Título 2 Car"/>
    <w:basedOn w:val="Fuentedeprrafopredeter"/>
    <w:link w:val="Ttulo2"/>
    <w:uiPriority w:val="9"/>
    <w:semiHidden/>
    <w:rsid w:val="00542328"/>
    <w:rPr>
      <w:rFonts w:asciiTheme="majorHAnsi" w:eastAsiaTheme="majorEastAsia" w:hAnsiTheme="majorHAnsi" w:cstheme="majorBidi"/>
      <w:color w:val="365F91" w:themeColor="accent1" w:themeShade="BF"/>
      <w:sz w:val="26"/>
      <w:szCs w:val="2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6267510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79550137">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C02A7-D38F-491D-AD66-2BD4302A2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13</Pages>
  <Words>5520</Words>
  <Characters>30366</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35815</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Jose David Murcia Rodriguez</cp:lastModifiedBy>
  <cp:revision>5</cp:revision>
  <cp:lastPrinted>2017-03-21T20:16:00Z</cp:lastPrinted>
  <dcterms:created xsi:type="dcterms:W3CDTF">2017-03-17T17:10:00Z</dcterms:created>
  <dcterms:modified xsi:type="dcterms:W3CDTF">2017-03-21T21:39:00Z</dcterms:modified>
</cp:coreProperties>
</file>