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43" w:rsidRPr="00F36A44" w:rsidRDefault="0057736F" w:rsidP="005773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F36A44">
        <w:rPr>
          <w:rFonts w:ascii="Arial" w:hAnsi="Arial" w:cs="Arial"/>
          <w:b/>
        </w:rPr>
        <w:t>INFORME DE LA REVISIÓN POR LA DIRE</w:t>
      </w:r>
      <w:r w:rsidR="00E40797">
        <w:rPr>
          <w:rFonts w:ascii="Arial" w:hAnsi="Arial" w:cs="Arial"/>
          <w:b/>
        </w:rPr>
        <w:t>C</w:t>
      </w:r>
      <w:r w:rsidRPr="00F36A44">
        <w:rPr>
          <w:rFonts w:ascii="Arial" w:hAnsi="Arial" w:cs="Arial"/>
          <w:b/>
        </w:rPr>
        <w:t>CIÓN</w:t>
      </w:r>
    </w:p>
    <w:p w:rsidR="0057736F" w:rsidRDefault="0057736F" w:rsidP="0057736F">
      <w:pPr>
        <w:spacing w:after="0"/>
        <w:rPr>
          <w:rFonts w:ascii="Arial" w:hAnsi="Arial" w:cs="Arial"/>
          <w:b/>
          <w:sz w:val="22"/>
          <w:szCs w:val="22"/>
        </w:rPr>
      </w:pPr>
    </w:p>
    <w:p w:rsidR="0057736F" w:rsidRDefault="0057736F" w:rsidP="0057736F">
      <w:pPr>
        <w:spacing w:after="0"/>
        <w:rPr>
          <w:rFonts w:ascii="Arial" w:hAnsi="Arial" w:cs="Arial"/>
          <w:b/>
          <w:sz w:val="22"/>
          <w:szCs w:val="22"/>
        </w:rPr>
      </w:pPr>
    </w:p>
    <w:p w:rsidR="0057736F" w:rsidRDefault="0057736F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VIGENCIA DEL REPORTE: </w:t>
      </w:r>
    </w:p>
    <w:p w:rsidR="0057736F" w:rsidRDefault="0057736F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57736F" w:rsidRDefault="008C0799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SISTEMA DE GESTIÓN DE CALIDAD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Estado de las acciones de las revisiones por la dirección anterior.</w:t>
      </w:r>
      <w:r w:rsidR="00244272">
        <w:rPr>
          <w:rFonts w:ascii="Arial" w:hAnsi="Arial" w:cs="Arial"/>
          <w:b/>
          <w:sz w:val="22"/>
          <w:szCs w:val="22"/>
        </w:rPr>
        <w:t xml:space="preserve"> </w:t>
      </w:r>
      <w:r w:rsidR="00244272" w:rsidRPr="00244272">
        <w:rPr>
          <w:rFonts w:ascii="Arial" w:hAnsi="Arial" w:cs="Arial"/>
          <w:i/>
          <w:sz w:val="22"/>
          <w:szCs w:val="22"/>
        </w:rPr>
        <w:t>(Cuando aplique)</w:t>
      </w:r>
    </w:p>
    <w:p w:rsidR="00107BF3" w:rsidRDefault="00107BF3" w:rsidP="00107BF3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107BF3" w:rsidRPr="00FE033D" w:rsidRDefault="00107BF3" w:rsidP="00107BF3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033D">
        <w:rPr>
          <w:rFonts w:ascii="Arial" w:hAnsi="Arial" w:cs="Arial"/>
          <w:i/>
          <w:sz w:val="22"/>
          <w:szCs w:val="22"/>
        </w:rPr>
        <w:t>Esta información es solicitada</w:t>
      </w:r>
      <w:r w:rsidR="00244272">
        <w:rPr>
          <w:rFonts w:ascii="Arial" w:hAnsi="Arial" w:cs="Arial"/>
          <w:i/>
          <w:sz w:val="22"/>
          <w:szCs w:val="22"/>
        </w:rPr>
        <w:t xml:space="preserve"> a los procesos responsables</w:t>
      </w:r>
      <w:r w:rsidRPr="00FE033D">
        <w:rPr>
          <w:rFonts w:ascii="Arial" w:hAnsi="Arial" w:cs="Arial"/>
          <w:i/>
          <w:sz w:val="22"/>
          <w:szCs w:val="22"/>
        </w:rPr>
        <w:t xml:space="preserve">, consolidada </w:t>
      </w:r>
      <w:r w:rsidR="00FE033D" w:rsidRPr="00FE033D">
        <w:rPr>
          <w:rFonts w:ascii="Arial" w:hAnsi="Arial" w:cs="Arial"/>
          <w:i/>
          <w:sz w:val="22"/>
          <w:szCs w:val="22"/>
        </w:rPr>
        <w:t xml:space="preserve">y reportada por el proceso de Direccionamiento Estratégico </w:t>
      </w:r>
    </w:p>
    <w:p w:rsidR="008648C7" w:rsidRDefault="008648C7" w:rsidP="00E40797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110"/>
        <w:gridCol w:w="2001"/>
        <w:gridCol w:w="2551"/>
        <w:gridCol w:w="2410"/>
      </w:tblGrid>
      <w:tr w:rsidR="00822FFE" w:rsidTr="00103655">
        <w:tc>
          <w:tcPr>
            <w:tcW w:w="2110" w:type="dxa"/>
            <w:shd w:val="clear" w:color="auto" w:fill="auto"/>
            <w:vAlign w:val="center"/>
          </w:tcPr>
          <w:p w:rsidR="00822FFE" w:rsidRDefault="00822FFE" w:rsidP="0024427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COMPROMISO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22FFE" w:rsidRDefault="00822FFE" w:rsidP="0024427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PROCESO RESPONSABLE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2FFE" w:rsidRDefault="00822FFE" w:rsidP="0024427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AVANCE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2FFE" w:rsidRDefault="00822FFE" w:rsidP="0024427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EVIDENCIA DE LA IMPLEMENTACIÓN</w:t>
            </w:r>
          </w:p>
        </w:tc>
      </w:tr>
      <w:tr w:rsidR="00822FFE" w:rsidTr="00822FFE">
        <w:tc>
          <w:tcPr>
            <w:tcW w:w="2110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2FFE" w:rsidTr="00822FFE">
        <w:tc>
          <w:tcPr>
            <w:tcW w:w="2110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2FFE" w:rsidTr="00822FFE">
        <w:tc>
          <w:tcPr>
            <w:tcW w:w="2110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822FFE" w:rsidRDefault="00822FFE" w:rsidP="00E4079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648C7" w:rsidRPr="008648C7" w:rsidRDefault="008648C7" w:rsidP="00E40797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8648C7" w:rsidRPr="008648C7" w:rsidRDefault="008648C7" w:rsidP="00E40797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8648C7" w:rsidRP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Los cambios en las cuestiones externas e internas que sean pertinentes al SGC.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822FFE" w:rsidRPr="00E40797" w:rsidRDefault="00E40797" w:rsidP="00E40797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 xml:space="preserve">Esto es reportado por el proceso de Direccionamiento Estratégico </w:t>
      </w:r>
    </w:p>
    <w:p w:rsidR="00822FFE" w:rsidRPr="008648C7" w:rsidRDefault="00822FFE" w:rsidP="00E40797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8648C7" w:rsidRP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Tendencia de la satisfacción del cliente y la retroalimentación de las partes interesadas pertinentes.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40797" w:rsidRPr="00E40797" w:rsidRDefault="00E40797" w:rsidP="00E40797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 xml:space="preserve">Esto debe ser reportado por todos los procesos, de acuerdo con los resultados de las mediciones de la satisfacción de las partes interesadas del proceso </w:t>
      </w:r>
    </w:p>
    <w:p w:rsidR="00E40797" w:rsidRPr="008648C7" w:rsidRDefault="00E40797" w:rsidP="00E40797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8648C7" w:rsidRP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El grado en que se han logrado los objetivos de calidad.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40797" w:rsidRPr="00E40797" w:rsidRDefault="00E40797" w:rsidP="00E40797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 xml:space="preserve">Esto es reportado por el proceso de Direccionamiento Estratégico </w:t>
      </w:r>
    </w:p>
    <w:p w:rsidR="00E40797" w:rsidRPr="008648C7" w:rsidRDefault="00E4079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El desempeño de los procesos y conformidad de los productos y servicios.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40797" w:rsidRDefault="00E40797" w:rsidP="00E40797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Se debe hacer un análisis del desempeño mensual para saber la tendencia del proceso, a lo largo de la vigencia que se está evaluando. </w:t>
      </w:r>
    </w:p>
    <w:p w:rsidR="00E40797" w:rsidRDefault="00E40797" w:rsidP="00E40797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E40797" w:rsidRDefault="00E40797" w:rsidP="00E40797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Adicional los procesos misionales y los procesos estratégicos (Gestión de la Información y Gestión Interinstitucional) deben reportar la tendencia y comportamiento de las Salidas No conformes del proceso durante toda la vigencia. </w:t>
      </w:r>
    </w:p>
    <w:p w:rsidR="00E40797" w:rsidRPr="008648C7" w:rsidRDefault="00E40797" w:rsidP="00E40797">
      <w:pPr>
        <w:spacing w:after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Tendencia de las no conformidades y acciones correctivas.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653D2F" w:rsidRDefault="00653D2F" w:rsidP="00653D2F">
      <w:pPr>
        <w:spacing w:after="0"/>
        <w:ind w:left="851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debe ser reportado por todos los procesos, de acuerdo con</w:t>
      </w:r>
      <w:r>
        <w:rPr>
          <w:rFonts w:ascii="Arial" w:hAnsi="Arial" w:cs="Arial"/>
          <w:i/>
          <w:sz w:val="22"/>
          <w:szCs w:val="22"/>
        </w:rPr>
        <w:t xml:space="preserve"> las no conformidades generadas y gestionadas por el proceso y el esta</w:t>
      </w:r>
      <w:r w:rsidR="000E513F">
        <w:rPr>
          <w:rFonts w:ascii="Arial" w:hAnsi="Arial" w:cs="Arial"/>
          <w:i/>
          <w:sz w:val="22"/>
          <w:szCs w:val="22"/>
        </w:rPr>
        <w:t xml:space="preserve">do de las acciones correctivas y </w:t>
      </w:r>
      <w:r>
        <w:rPr>
          <w:rFonts w:ascii="Arial" w:hAnsi="Arial" w:cs="Arial"/>
          <w:i/>
          <w:sz w:val="22"/>
          <w:szCs w:val="22"/>
        </w:rPr>
        <w:t>pre</w:t>
      </w:r>
      <w:r w:rsidR="000E513F">
        <w:rPr>
          <w:rFonts w:ascii="Arial" w:hAnsi="Arial" w:cs="Arial"/>
          <w:i/>
          <w:sz w:val="22"/>
          <w:szCs w:val="22"/>
        </w:rPr>
        <w:t>ventivas</w:t>
      </w:r>
      <w:r>
        <w:rPr>
          <w:rFonts w:ascii="Arial" w:hAnsi="Arial" w:cs="Arial"/>
          <w:i/>
          <w:sz w:val="22"/>
          <w:szCs w:val="22"/>
        </w:rPr>
        <w:t xml:space="preserve"> formuladas, por cada una de las vigencias. </w:t>
      </w:r>
    </w:p>
    <w:p w:rsidR="00653D2F" w:rsidRDefault="00653D2F" w:rsidP="00653D2F">
      <w:pPr>
        <w:spacing w:after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653D2F" w:rsidRDefault="00653D2F" w:rsidP="00653D2F">
      <w:pPr>
        <w:spacing w:after="0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Adicional reportar el estado de las acciones c</w:t>
      </w:r>
      <w:r w:rsidR="000E513F">
        <w:rPr>
          <w:rFonts w:ascii="Arial" w:hAnsi="Arial" w:cs="Arial"/>
          <w:i/>
          <w:sz w:val="22"/>
          <w:szCs w:val="22"/>
        </w:rPr>
        <w:t>orrectivas y preventivas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E513F">
        <w:rPr>
          <w:rFonts w:ascii="Arial" w:hAnsi="Arial" w:cs="Arial"/>
          <w:i/>
          <w:sz w:val="22"/>
          <w:szCs w:val="22"/>
        </w:rPr>
        <w:t>de acuerdo con</w:t>
      </w:r>
      <w:r>
        <w:rPr>
          <w:rFonts w:ascii="Arial" w:hAnsi="Arial" w:cs="Arial"/>
          <w:i/>
          <w:sz w:val="22"/>
          <w:szCs w:val="22"/>
        </w:rPr>
        <w:t xml:space="preserve"> los seguimientos y verificaciones</w:t>
      </w:r>
      <w:r w:rsidR="000E513F">
        <w:rPr>
          <w:rFonts w:ascii="Arial" w:hAnsi="Arial" w:cs="Arial"/>
          <w:i/>
          <w:sz w:val="22"/>
          <w:szCs w:val="22"/>
        </w:rPr>
        <w:t xml:space="preserve"> realizadas al proceso.</w:t>
      </w:r>
    </w:p>
    <w:p w:rsidR="00653D2F" w:rsidRPr="008648C7" w:rsidRDefault="00653D2F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Tendencia de los resultados de seguimiento y medición.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40797" w:rsidRDefault="00E40797" w:rsidP="00E40797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debe ser reportado por todos los procesos, de acuerdo con los resultados de las mediciones</w:t>
      </w:r>
      <w:r>
        <w:rPr>
          <w:rFonts w:ascii="Arial" w:hAnsi="Arial" w:cs="Arial"/>
          <w:i/>
          <w:sz w:val="22"/>
          <w:szCs w:val="22"/>
        </w:rPr>
        <w:t xml:space="preserve"> del desempeño del proceso que ha realizado (resultados del Plan de Acción de las dependencias que lo conforman). </w:t>
      </w:r>
    </w:p>
    <w:p w:rsidR="00E40797" w:rsidRPr="008648C7" w:rsidRDefault="00E4079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Tendencia de los resultados de las auditorías</w:t>
      </w:r>
      <w:r>
        <w:rPr>
          <w:rFonts w:ascii="Arial" w:hAnsi="Arial" w:cs="Arial"/>
          <w:b/>
          <w:sz w:val="22"/>
          <w:szCs w:val="22"/>
        </w:rPr>
        <w:t>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653D2F" w:rsidRDefault="00653D2F" w:rsidP="00653D2F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</w:t>
      </w:r>
      <w:r>
        <w:rPr>
          <w:rFonts w:ascii="Arial" w:hAnsi="Arial" w:cs="Arial"/>
          <w:i/>
          <w:sz w:val="22"/>
          <w:szCs w:val="22"/>
        </w:rPr>
        <w:t xml:space="preserve">or el proceso de Evaluación Independiente </w:t>
      </w:r>
    </w:p>
    <w:p w:rsidR="00653D2F" w:rsidRPr="008648C7" w:rsidRDefault="00653D2F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Tendencia del desempeño de los proveedores externos.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0E513F" w:rsidRDefault="000E513F" w:rsidP="000E513F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</w:t>
      </w:r>
      <w:r>
        <w:rPr>
          <w:rFonts w:ascii="Arial" w:hAnsi="Arial" w:cs="Arial"/>
          <w:i/>
          <w:sz w:val="22"/>
          <w:szCs w:val="22"/>
        </w:rPr>
        <w:t xml:space="preserve">or el proceso de Gestión Contractual, </w:t>
      </w:r>
      <w:r w:rsidR="00FE033D">
        <w:rPr>
          <w:rFonts w:ascii="Arial" w:hAnsi="Arial" w:cs="Arial"/>
          <w:i/>
          <w:sz w:val="22"/>
          <w:szCs w:val="22"/>
        </w:rPr>
        <w:t>de acuerdo con</w:t>
      </w:r>
      <w:r>
        <w:rPr>
          <w:rFonts w:ascii="Arial" w:hAnsi="Arial" w:cs="Arial"/>
          <w:i/>
          <w:sz w:val="22"/>
          <w:szCs w:val="22"/>
        </w:rPr>
        <w:t xml:space="preserve"> lo informado por los supervisores de contratos </w:t>
      </w:r>
    </w:p>
    <w:p w:rsidR="000E513F" w:rsidRPr="008648C7" w:rsidRDefault="000E513F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La adecuación de los recursos.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E033D" w:rsidRPr="00244272" w:rsidRDefault="00FE033D" w:rsidP="00FE033D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 xml:space="preserve">Esto debe ser reportado por todos los procesos, </w:t>
      </w:r>
      <w:r>
        <w:rPr>
          <w:rFonts w:ascii="Arial" w:hAnsi="Arial" w:cs="Arial"/>
          <w:i/>
          <w:sz w:val="22"/>
          <w:szCs w:val="22"/>
        </w:rPr>
        <w:t>aquí se debe reportar todos</w:t>
      </w:r>
      <w:r w:rsidRPr="00E40797">
        <w:rPr>
          <w:rFonts w:ascii="Arial" w:hAnsi="Arial" w:cs="Arial"/>
          <w:i/>
          <w:sz w:val="22"/>
          <w:szCs w:val="22"/>
        </w:rPr>
        <w:t xml:space="preserve"> los</w:t>
      </w:r>
      <w:r>
        <w:rPr>
          <w:rFonts w:ascii="Arial" w:hAnsi="Arial" w:cs="Arial"/>
          <w:i/>
          <w:sz w:val="22"/>
          <w:szCs w:val="22"/>
        </w:rPr>
        <w:t xml:space="preserve"> recursos (</w:t>
      </w:r>
      <w:r w:rsidRPr="00244272">
        <w:rPr>
          <w:rFonts w:ascii="Arial" w:hAnsi="Arial" w:cs="Arial"/>
          <w:i/>
          <w:sz w:val="22"/>
          <w:szCs w:val="22"/>
        </w:rPr>
        <w:t>físicos, humanos, presupuestales, etc.) que ha destinado el proceso para la</w:t>
      </w:r>
      <w:r w:rsidR="00E67F33">
        <w:rPr>
          <w:rFonts w:ascii="Arial" w:hAnsi="Arial" w:cs="Arial"/>
          <w:i/>
          <w:sz w:val="22"/>
          <w:szCs w:val="22"/>
        </w:rPr>
        <w:t xml:space="preserve"> implementación y mejora del SGC</w:t>
      </w:r>
      <w:r w:rsidRPr="00244272">
        <w:rPr>
          <w:rFonts w:ascii="Arial" w:hAnsi="Arial" w:cs="Arial"/>
          <w:i/>
          <w:sz w:val="22"/>
          <w:szCs w:val="22"/>
        </w:rPr>
        <w:t>.</w:t>
      </w:r>
    </w:p>
    <w:p w:rsidR="00FE033D" w:rsidRPr="00244272" w:rsidRDefault="00FE033D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8648C7" w:rsidRPr="00244272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44272">
        <w:rPr>
          <w:rFonts w:ascii="Arial" w:hAnsi="Arial" w:cs="Arial"/>
          <w:b/>
          <w:sz w:val="22"/>
          <w:szCs w:val="22"/>
        </w:rPr>
        <w:t>La eficacia de las acciones tomadas para abordar los riesgos y las oportunidades.</w:t>
      </w:r>
    </w:p>
    <w:p w:rsidR="008648C7" w:rsidRPr="00244272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244272">
        <w:rPr>
          <w:rFonts w:ascii="Arial" w:hAnsi="Arial" w:cs="Arial"/>
          <w:i/>
          <w:sz w:val="22"/>
          <w:szCs w:val="22"/>
        </w:rPr>
        <w:t xml:space="preserve">Esto debe ser reportado por todos los procesos, aquí se debe reportar </w:t>
      </w:r>
      <w:r w:rsidR="00E67F33" w:rsidRPr="00244272">
        <w:rPr>
          <w:rFonts w:ascii="Arial" w:hAnsi="Arial" w:cs="Arial"/>
          <w:i/>
          <w:sz w:val="22"/>
          <w:szCs w:val="22"/>
        </w:rPr>
        <w:t>de acuerdo con el</w:t>
      </w:r>
      <w:r w:rsidRPr="00244272">
        <w:rPr>
          <w:rFonts w:ascii="Arial" w:hAnsi="Arial" w:cs="Arial"/>
          <w:i/>
          <w:sz w:val="22"/>
          <w:szCs w:val="22"/>
        </w:rPr>
        <w:t xml:space="preserve"> resultado de los seguimientos </w:t>
      </w:r>
      <w:r>
        <w:rPr>
          <w:rFonts w:ascii="Arial" w:hAnsi="Arial" w:cs="Arial"/>
          <w:i/>
          <w:sz w:val="22"/>
          <w:szCs w:val="22"/>
        </w:rPr>
        <w:t xml:space="preserve">realizados por la Oficina de Control Interno a los mapas de riesgos de los procesos. </w:t>
      </w:r>
    </w:p>
    <w:p w:rsidR="00244272" w:rsidRPr="00F0171D" w:rsidRDefault="00244272" w:rsidP="00244272">
      <w:pPr>
        <w:spacing w:after="0"/>
        <w:ind w:left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648C7" w:rsidRPr="008648C7" w:rsidRDefault="008648C7" w:rsidP="00E40797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Las oportunidades de mejora.</w:t>
      </w:r>
    </w:p>
    <w:p w:rsidR="008648C7" w:rsidRDefault="008648C7" w:rsidP="00E40797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0E513F" w:rsidRDefault="000E513F" w:rsidP="000E513F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debe ser reportado por todos los procesos, de acuerdo con</w:t>
      </w:r>
      <w:r>
        <w:rPr>
          <w:rFonts w:ascii="Arial" w:hAnsi="Arial" w:cs="Arial"/>
          <w:i/>
          <w:sz w:val="22"/>
          <w:szCs w:val="22"/>
        </w:rPr>
        <w:t xml:space="preserve"> las oportunidades de mejora generadas y gestionadas por el proceso y el estado de las acciones formuladas, por cada una de las vigencias. </w:t>
      </w:r>
    </w:p>
    <w:p w:rsidR="000E513F" w:rsidRDefault="000E513F" w:rsidP="000E513F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57736F" w:rsidRDefault="000E513F" w:rsidP="000E513F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Adicional reportar el estado de las acciones de mejora de acuerdo con los seguimientos y verificaciones realizadas al proceso.</w:t>
      </w:r>
    </w:p>
    <w:p w:rsidR="0057736F" w:rsidRDefault="0057736F" w:rsidP="000E513F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57736F" w:rsidRDefault="0057736F" w:rsidP="000E513F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57736F" w:rsidRDefault="0057736F" w:rsidP="0057736F">
      <w:pPr>
        <w:spacing w:after="0"/>
        <w:rPr>
          <w:rFonts w:ascii="Arial" w:hAnsi="Arial" w:cs="Arial"/>
          <w:b/>
          <w:sz w:val="22"/>
          <w:szCs w:val="22"/>
        </w:rPr>
      </w:pPr>
    </w:p>
    <w:p w:rsidR="0057736F" w:rsidRDefault="0057736F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SISTEMA DE GESTIÓN AMBIENTAL </w:t>
      </w:r>
      <w:r w:rsidRPr="00244272">
        <w:rPr>
          <w:rFonts w:ascii="Arial" w:hAnsi="Arial" w:cs="Arial"/>
          <w:i/>
          <w:sz w:val="22"/>
          <w:szCs w:val="22"/>
          <w:highlight w:val="yellow"/>
        </w:rPr>
        <w:t>(este sistema se incluirá dependiendo del alcance definido para la Revisión por la Dirección)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Estado de las acciones de las revisiones por la dirección anterior.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44272">
        <w:rPr>
          <w:rFonts w:ascii="Arial" w:hAnsi="Arial" w:cs="Arial"/>
          <w:i/>
          <w:sz w:val="22"/>
          <w:szCs w:val="22"/>
        </w:rPr>
        <w:t>(Cuando aplique)</w:t>
      </w:r>
    </w:p>
    <w:p w:rsidR="00244272" w:rsidRDefault="00244272" w:rsidP="0024427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44272" w:rsidRPr="00FE033D" w:rsidRDefault="00244272" w:rsidP="00244272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033D">
        <w:rPr>
          <w:rFonts w:ascii="Arial" w:hAnsi="Arial" w:cs="Arial"/>
          <w:i/>
          <w:sz w:val="22"/>
          <w:szCs w:val="22"/>
        </w:rPr>
        <w:t>Esta información es solicitada</w:t>
      </w:r>
      <w:r>
        <w:rPr>
          <w:rFonts w:ascii="Arial" w:hAnsi="Arial" w:cs="Arial"/>
          <w:i/>
          <w:sz w:val="22"/>
          <w:szCs w:val="22"/>
        </w:rPr>
        <w:t xml:space="preserve"> a los procesos responsables</w:t>
      </w:r>
      <w:r w:rsidRPr="00FE033D">
        <w:rPr>
          <w:rFonts w:ascii="Arial" w:hAnsi="Arial" w:cs="Arial"/>
          <w:i/>
          <w:sz w:val="22"/>
          <w:szCs w:val="22"/>
        </w:rPr>
        <w:t>, consolidada y reportada por el proceso</w:t>
      </w:r>
      <w:r>
        <w:rPr>
          <w:rFonts w:ascii="Arial" w:hAnsi="Arial" w:cs="Arial"/>
          <w:i/>
          <w:sz w:val="22"/>
          <w:szCs w:val="22"/>
        </w:rPr>
        <w:t xml:space="preserve"> de Gestión Ambiental</w:t>
      </w:r>
      <w:r w:rsidRPr="00FE033D">
        <w:rPr>
          <w:rFonts w:ascii="Arial" w:hAnsi="Arial" w:cs="Arial"/>
          <w:i/>
          <w:sz w:val="22"/>
          <w:szCs w:val="22"/>
        </w:rPr>
        <w:t xml:space="preserve"> </w:t>
      </w:r>
    </w:p>
    <w:p w:rsidR="00244272" w:rsidRDefault="00244272" w:rsidP="0024427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110"/>
        <w:gridCol w:w="2001"/>
        <w:gridCol w:w="2551"/>
        <w:gridCol w:w="2410"/>
      </w:tblGrid>
      <w:tr w:rsidR="00244272" w:rsidTr="00103655">
        <w:tc>
          <w:tcPr>
            <w:tcW w:w="2110" w:type="dxa"/>
            <w:vAlign w:val="center"/>
          </w:tcPr>
          <w:p w:rsidR="00244272" w:rsidRDefault="00244272" w:rsidP="0010365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COMPROMISO</w:t>
            </w:r>
          </w:p>
        </w:tc>
        <w:tc>
          <w:tcPr>
            <w:tcW w:w="2001" w:type="dxa"/>
            <w:vAlign w:val="center"/>
          </w:tcPr>
          <w:p w:rsidR="00244272" w:rsidRDefault="00244272" w:rsidP="0010365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PROCESO RESPONSABLE</w:t>
            </w:r>
          </w:p>
        </w:tc>
        <w:tc>
          <w:tcPr>
            <w:tcW w:w="2551" w:type="dxa"/>
            <w:vAlign w:val="center"/>
          </w:tcPr>
          <w:p w:rsidR="00244272" w:rsidRDefault="00244272" w:rsidP="0010365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AVANCE</w:t>
            </w:r>
          </w:p>
        </w:tc>
        <w:tc>
          <w:tcPr>
            <w:tcW w:w="2410" w:type="dxa"/>
            <w:vAlign w:val="center"/>
          </w:tcPr>
          <w:p w:rsidR="00244272" w:rsidRDefault="00244272" w:rsidP="0010365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EVIDENCIA DE LA IMPLEMENTACIÓN</w:t>
            </w:r>
          </w:p>
        </w:tc>
      </w:tr>
      <w:tr w:rsidR="00244272" w:rsidTr="00471F5F">
        <w:tc>
          <w:tcPr>
            <w:tcW w:w="2110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272" w:rsidTr="00471F5F">
        <w:tc>
          <w:tcPr>
            <w:tcW w:w="2110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272" w:rsidTr="00471F5F">
        <w:tc>
          <w:tcPr>
            <w:tcW w:w="2110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44272" w:rsidRDefault="00244272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44272" w:rsidRPr="008648C7" w:rsidRDefault="00244272" w:rsidP="0024427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44272" w:rsidRPr="008648C7" w:rsidRDefault="00244272" w:rsidP="0024427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44272" w:rsidRPr="008648C7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bookmarkStart w:id="1" w:name="_Hlk506977469"/>
      <w:r w:rsidRPr="008648C7">
        <w:rPr>
          <w:rFonts w:ascii="Arial" w:hAnsi="Arial" w:cs="Arial"/>
          <w:b/>
          <w:sz w:val="22"/>
          <w:szCs w:val="22"/>
        </w:rPr>
        <w:t xml:space="preserve">Los cambios en las cuestiones externas e internas que sean </w:t>
      </w:r>
      <w:r>
        <w:rPr>
          <w:rFonts w:ascii="Arial" w:hAnsi="Arial" w:cs="Arial"/>
          <w:b/>
          <w:sz w:val="22"/>
          <w:szCs w:val="22"/>
        </w:rPr>
        <w:t>pertinentes al SGA</w:t>
      </w:r>
      <w:r w:rsidRPr="008648C7">
        <w:rPr>
          <w:rFonts w:ascii="Arial" w:hAnsi="Arial" w:cs="Arial"/>
          <w:b/>
          <w:sz w:val="22"/>
          <w:szCs w:val="22"/>
        </w:rPr>
        <w:t>.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Pr="00E40797" w:rsidRDefault="00244272" w:rsidP="00244272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Ambiental</w:t>
      </w:r>
      <w:r w:rsidRPr="00E40797">
        <w:rPr>
          <w:rFonts w:ascii="Arial" w:hAnsi="Arial" w:cs="Arial"/>
          <w:i/>
          <w:sz w:val="22"/>
          <w:szCs w:val="22"/>
        </w:rPr>
        <w:t xml:space="preserve"> </w:t>
      </w:r>
    </w:p>
    <w:bookmarkEnd w:id="1"/>
    <w:p w:rsidR="00244272" w:rsidRPr="008648C7" w:rsidRDefault="00244272" w:rsidP="00244272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244272" w:rsidRPr="008648C7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Los cambios en las necesidades y expectativas de las partes involucrad</w:t>
      </w:r>
      <w:r w:rsidR="00E67F33">
        <w:rPr>
          <w:rFonts w:ascii="Arial" w:hAnsi="Arial" w:cs="Arial"/>
          <w:b/>
          <w:sz w:val="22"/>
          <w:szCs w:val="22"/>
        </w:rPr>
        <w:t>as, incluidas las obligaciones de cumplimiento</w:t>
      </w:r>
      <w:r w:rsidRPr="008648C7">
        <w:rPr>
          <w:rFonts w:ascii="Arial" w:hAnsi="Arial" w:cs="Arial"/>
          <w:b/>
          <w:sz w:val="22"/>
          <w:szCs w:val="22"/>
        </w:rPr>
        <w:t>.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Pr="00E40797" w:rsidRDefault="00E67F33" w:rsidP="00244272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Ambiental</w:t>
      </w:r>
      <w:r w:rsidR="00244272" w:rsidRPr="00E40797">
        <w:rPr>
          <w:rFonts w:ascii="Arial" w:hAnsi="Arial" w:cs="Arial"/>
          <w:i/>
          <w:sz w:val="22"/>
          <w:szCs w:val="22"/>
        </w:rPr>
        <w:t xml:space="preserve"> </w:t>
      </w:r>
    </w:p>
    <w:p w:rsidR="00244272" w:rsidRPr="008648C7" w:rsidRDefault="00244272" w:rsidP="00244272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244272" w:rsidRPr="008648C7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 xml:space="preserve">El grado en que se han </w:t>
      </w:r>
      <w:r w:rsidR="00E67F33">
        <w:rPr>
          <w:rFonts w:ascii="Arial" w:hAnsi="Arial" w:cs="Arial"/>
          <w:b/>
          <w:sz w:val="22"/>
          <w:szCs w:val="22"/>
        </w:rPr>
        <w:t>logrado los objetivos ambientales</w:t>
      </w:r>
      <w:r w:rsidRPr="008648C7">
        <w:rPr>
          <w:rFonts w:ascii="Arial" w:hAnsi="Arial" w:cs="Arial"/>
          <w:b/>
          <w:sz w:val="22"/>
          <w:szCs w:val="22"/>
        </w:rPr>
        <w:t>.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Pr="00E40797" w:rsidRDefault="00244272" w:rsidP="00244272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 xml:space="preserve">Esto es reportado por el proceso de Direccionamiento Estratégico </w:t>
      </w:r>
    </w:p>
    <w:p w:rsidR="00244272" w:rsidRPr="008648C7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Tendencia de las no conformidades y acciones correctivas</w:t>
      </w:r>
      <w:r w:rsidR="00E67F33">
        <w:rPr>
          <w:rFonts w:ascii="Arial" w:hAnsi="Arial" w:cs="Arial"/>
          <w:b/>
          <w:sz w:val="22"/>
          <w:szCs w:val="22"/>
        </w:rPr>
        <w:t xml:space="preserve"> generadas por el SGA</w:t>
      </w:r>
      <w:r w:rsidRPr="008648C7">
        <w:rPr>
          <w:rFonts w:ascii="Arial" w:hAnsi="Arial" w:cs="Arial"/>
          <w:b/>
          <w:sz w:val="22"/>
          <w:szCs w:val="22"/>
        </w:rPr>
        <w:t>.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spacing w:after="0"/>
        <w:ind w:left="851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debe ser reportado por todos los procesos, de acuerdo con</w:t>
      </w:r>
      <w:r>
        <w:rPr>
          <w:rFonts w:ascii="Arial" w:hAnsi="Arial" w:cs="Arial"/>
          <w:i/>
          <w:sz w:val="22"/>
          <w:szCs w:val="22"/>
        </w:rPr>
        <w:t xml:space="preserve"> las no conformidades generadas y gestionadas por el proceso</w:t>
      </w:r>
      <w:r w:rsidR="00E67F33">
        <w:rPr>
          <w:rFonts w:ascii="Arial" w:hAnsi="Arial" w:cs="Arial"/>
          <w:i/>
          <w:sz w:val="22"/>
          <w:szCs w:val="22"/>
        </w:rPr>
        <w:t xml:space="preserve"> en el marco del Sistema de Gestión Ambiental</w:t>
      </w:r>
      <w:r>
        <w:rPr>
          <w:rFonts w:ascii="Arial" w:hAnsi="Arial" w:cs="Arial"/>
          <w:i/>
          <w:sz w:val="22"/>
          <w:szCs w:val="22"/>
        </w:rPr>
        <w:t xml:space="preserve"> y el estado de las acciones correctivas y preventivas formuladas, por cada una de las vigencias. </w:t>
      </w:r>
    </w:p>
    <w:p w:rsidR="00244272" w:rsidRDefault="00244272" w:rsidP="00244272">
      <w:pPr>
        <w:spacing w:after="0"/>
        <w:ind w:left="851"/>
        <w:jc w:val="both"/>
        <w:rPr>
          <w:rFonts w:ascii="Arial" w:hAnsi="Arial" w:cs="Arial"/>
          <w:i/>
          <w:sz w:val="22"/>
          <w:szCs w:val="22"/>
        </w:rPr>
      </w:pPr>
    </w:p>
    <w:p w:rsidR="00244272" w:rsidRDefault="00244272" w:rsidP="00244272">
      <w:pPr>
        <w:spacing w:after="0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Adicional reportar el estado de las acciones correctivas y preventivas de acuerdo con los seguimientos y verificaciones realizadas al proceso.</w:t>
      </w:r>
    </w:p>
    <w:p w:rsidR="00244272" w:rsidRPr="008648C7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Tendencia de los resultados de seguimiento y medición.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67F33" w:rsidRPr="00E40797" w:rsidRDefault="00E67F33" w:rsidP="00E67F33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bookmarkStart w:id="2" w:name="_Hlk506972468"/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Ambiental</w:t>
      </w:r>
      <w:r w:rsidRPr="00E40797">
        <w:rPr>
          <w:rFonts w:ascii="Arial" w:hAnsi="Arial" w:cs="Arial"/>
          <w:i/>
          <w:sz w:val="22"/>
          <w:szCs w:val="22"/>
        </w:rPr>
        <w:t xml:space="preserve"> </w:t>
      </w:r>
    </w:p>
    <w:bookmarkEnd w:id="2"/>
    <w:p w:rsidR="00244272" w:rsidRPr="008648C7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Tendencia de los resultados de las auditorías</w:t>
      </w:r>
      <w:r w:rsidR="00E67F33">
        <w:rPr>
          <w:rFonts w:ascii="Arial" w:hAnsi="Arial" w:cs="Arial"/>
          <w:b/>
          <w:sz w:val="22"/>
          <w:szCs w:val="22"/>
        </w:rPr>
        <w:t xml:space="preserve"> al SGA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</w:t>
      </w:r>
      <w:r>
        <w:rPr>
          <w:rFonts w:ascii="Arial" w:hAnsi="Arial" w:cs="Arial"/>
          <w:i/>
          <w:sz w:val="22"/>
          <w:szCs w:val="22"/>
        </w:rPr>
        <w:t xml:space="preserve">or el proceso de Evaluación Independiente 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Pr="008648C7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lastRenderedPageBreak/>
        <w:t>La adecuación de los recursos.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Pr="00244272" w:rsidRDefault="00244272" w:rsidP="00244272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 xml:space="preserve">Esto debe ser reportado por todos los procesos, </w:t>
      </w:r>
      <w:r>
        <w:rPr>
          <w:rFonts w:ascii="Arial" w:hAnsi="Arial" w:cs="Arial"/>
          <w:i/>
          <w:sz w:val="22"/>
          <w:szCs w:val="22"/>
        </w:rPr>
        <w:t>aquí se debe reportar todos</w:t>
      </w:r>
      <w:r w:rsidRPr="00E40797">
        <w:rPr>
          <w:rFonts w:ascii="Arial" w:hAnsi="Arial" w:cs="Arial"/>
          <w:i/>
          <w:sz w:val="22"/>
          <w:szCs w:val="22"/>
        </w:rPr>
        <w:t xml:space="preserve"> los</w:t>
      </w:r>
      <w:r>
        <w:rPr>
          <w:rFonts w:ascii="Arial" w:hAnsi="Arial" w:cs="Arial"/>
          <w:i/>
          <w:sz w:val="22"/>
          <w:szCs w:val="22"/>
        </w:rPr>
        <w:t xml:space="preserve"> recursos (</w:t>
      </w:r>
      <w:r w:rsidRPr="00244272">
        <w:rPr>
          <w:rFonts w:ascii="Arial" w:hAnsi="Arial" w:cs="Arial"/>
          <w:i/>
          <w:sz w:val="22"/>
          <w:szCs w:val="22"/>
        </w:rPr>
        <w:t>físicos, humanos, presupuestales, etc.) que ha destinado el proceso para la</w:t>
      </w:r>
      <w:r w:rsidR="00E67F33">
        <w:rPr>
          <w:rFonts w:ascii="Arial" w:hAnsi="Arial" w:cs="Arial"/>
          <w:i/>
          <w:sz w:val="22"/>
          <w:szCs w:val="22"/>
        </w:rPr>
        <w:t xml:space="preserve"> implementación y mejora del SGA</w:t>
      </w:r>
      <w:r w:rsidRPr="00244272">
        <w:rPr>
          <w:rFonts w:ascii="Arial" w:hAnsi="Arial" w:cs="Arial"/>
          <w:i/>
          <w:sz w:val="22"/>
          <w:szCs w:val="22"/>
        </w:rPr>
        <w:t>.</w:t>
      </w:r>
    </w:p>
    <w:p w:rsidR="00244272" w:rsidRP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Pr="00244272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44272">
        <w:rPr>
          <w:rFonts w:ascii="Arial" w:hAnsi="Arial" w:cs="Arial"/>
          <w:b/>
          <w:sz w:val="22"/>
          <w:szCs w:val="22"/>
        </w:rPr>
        <w:t>L</w:t>
      </w:r>
      <w:r w:rsidR="00E67F33">
        <w:rPr>
          <w:rFonts w:ascii="Arial" w:hAnsi="Arial" w:cs="Arial"/>
          <w:b/>
          <w:sz w:val="22"/>
          <w:szCs w:val="22"/>
        </w:rPr>
        <w:t>os cambios en</w:t>
      </w:r>
      <w:r w:rsidRPr="00244272">
        <w:rPr>
          <w:rFonts w:ascii="Arial" w:hAnsi="Arial" w:cs="Arial"/>
          <w:b/>
          <w:sz w:val="22"/>
          <w:szCs w:val="22"/>
        </w:rPr>
        <w:t xml:space="preserve"> los riesgos y las oportunidades</w:t>
      </w:r>
      <w:r w:rsidR="00E67F33">
        <w:rPr>
          <w:rFonts w:ascii="Arial" w:hAnsi="Arial" w:cs="Arial"/>
          <w:b/>
          <w:sz w:val="22"/>
          <w:szCs w:val="22"/>
        </w:rPr>
        <w:t xml:space="preserve"> identificadas del SGA</w:t>
      </w:r>
      <w:r w:rsidRPr="00244272">
        <w:rPr>
          <w:rFonts w:ascii="Arial" w:hAnsi="Arial" w:cs="Arial"/>
          <w:b/>
          <w:sz w:val="22"/>
          <w:szCs w:val="22"/>
        </w:rPr>
        <w:t>.</w:t>
      </w:r>
    </w:p>
    <w:p w:rsidR="00244272" w:rsidRP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244272">
        <w:rPr>
          <w:rFonts w:ascii="Arial" w:hAnsi="Arial" w:cs="Arial"/>
          <w:i/>
          <w:sz w:val="22"/>
          <w:szCs w:val="22"/>
        </w:rPr>
        <w:t xml:space="preserve">Esto debe ser </w:t>
      </w:r>
      <w:r w:rsidR="00E67F33">
        <w:rPr>
          <w:rFonts w:ascii="Arial" w:hAnsi="Arial" w:cs="Arial"/>
          <w:i/>
          <w:sz w:val="22"/>
          <w:szCs w:val="22"/>
        </w:rPr>
        <w:t>reportado por el proceso de Gestión Ambiental</w:t>
      </w:r>
      <w:r w:rsidRPr="00244272">
        <w:rPr>
          <w:rFonts w:ascii="Arial" w:hAnsi="Arial" w:cs="Arial"/>
          <w:i/>
          <w:sz w:val="22"/>
          <w:szCs w:val="22"/>
        </w:rPr>
        <w:t xml:space="preserve">, aquí se debe reportar </w:t>
      </w:r>
      <w:r w:rsidR="00E67F33" w:rsidRPr="00244272">
        <w:rPr>
          <w:rFonts w:ascii="Arial" w:hAnsi="Arial" w:cs="Arial"/>
          <w:i/>
          <w:sz w:val="22"/>
          <w:szCs w:val="22"/>
        </w:rPr>
        <w:t>de acuerdo con el</w:t>
      </w:r>
      <w:r w:rsidRPr="00244272">
        <w:rPr>
          <w:rFonts w:ascii="Arial" w:hAnsi="Arial" w:cs="Arial"/>
          <w:i/>
          <w:sz w:val="22"/>
          <w:szCs w:val="22"/>
        </w:rPr>
        <w:t xml:space="preserve"> resultado de los seguimientos </w:t>
      </w:r>
      <w:r>
        <w:rPr>
          <w:rFonts w:ascii="Arial" w:hAnsi="Arial" w:cs="Arial"/>
          <w:i/>
          <w:sz w:val="22"/>
          <w:szCs w:val="22"/>
        </w:rPr>
        <w:t>realizados por la Ofici</w:t>
      </w:r>
      <w:r w:rsidR="00E67F33">
        <w:rPr>
          <w:rFonts w:ascii="Arial" w:hAnsi="Arial" w:cs="Arial"/>
          <w:i/>
          <w:sz w:val="22"/>
          <w:szCs w:val="22"/>
        </w:rPr>
        <w:t>na de Control Interno a los riesgos ambientales. Adicional las oportunidades identificadas en el marco del SGA.</w:t>
      </w:r>
    </w:p>
    <w:p w:rsidR="00244272" w:rsidRPr="00F0171D" w:rsidRDefault="00244272" w:rsidP="00244272">
      <w:pPr>
        <w:spacing w:after="0"/>
        <w:ind w:left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44272" w:rsidRPr="008648C7" w:rsidRDefault="00244272" w:rsidP="00244272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Las oportunidades de mejora.</w:t>
      </w:r>
    </w:p>
    <w:p w:rsidR="00244272" w:rsidRDefault="00244272" w:rsidP="00244272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44272" w:rsidRDefault="00244272" w:rsidP="00244272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debe ser reportado por todos los procesos, de acuerdo con</w:t>
      </w:r>
      <w:r>
        <w:rPr>
          <w:rFonts w:ascii="Arial" w:hAnsi="Arial" w:cs="Arial"/>
          <w:i/>
          <w:sz w:val="22"/>
          <w:szCs w:val="22"/>
        </w:rPr>
        <w:t xml:space="preserve"> las oportunidades de mejora generadas y gestionadas por el proceso y el estado de las acciones formuladas,</w:t>
      </w:r>
      <w:r w:rsidR="000435C4">
        <w:rPr>
          <w:rFonts w:ascii="Arial" w:hAnsi="Arial" w:cs="Arial"/>
          <w:i/>
          <w:sz w:val="22"/>
          <w:szCs w:val="22"/>
        </w:rPr>
        <w:t xml:space="preserve"> por cada una de las vigencias, en el marco del SGA.</w:t>
      </w:r>
    </w:p>
    <w:p w:rsidR="00244272" w:rsidRDefault="00244272" w:rsidP="00244272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244272" w:rsidRDefault="00244272" w:rsidP="00244272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Adicional reportar el estado de las acciones de mejora de acuerdo con los seguimientos y verificaciones realizadas al proceso.</w:t>
      </w:r>
    </w:p>
    <w:p w:rsidR="00E67F33" w:rsidRDefault="00E67F33" w:rsidP="00244272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E67F33" w:rsidRPr="000435C4" w:rsidRDefault="00E67F33" w:rsidP="00E67F33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67F33">
        <w:rPr>
          <w:rFonts w:ascii="Arial" w:hAnsi="Arial" w:cs="Arial"/>
          <w:b/>
          <w:sz w:val="22"/>
          <w:szCs w:val="22"/>
        </w:rPr>
        <w:t xml:space="preserve">Los </w:t>
      </w:r>
      <w:r w:rsidRPr="000435C4">
        <w:rPr>
          <w:rFonts w:ascii="Arial" w:hAnsi="Arial" w:cs="Arial"/>
          <w:b/>
          <w:sz w:val="22"/>
          <w:szCs w:val="22"/>
        </w:rPr>
        <w:t>cambios en los aspectos ambientales significativos</w:t>
      </w:r>
    </w:p>
    <w:p w:rsidR="000435C4" w:rsidRDefault="000435C4" w:rsidP="00E67F33">
      <w:pPr>
        <w:pStyle w:val="Prrafodeli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67F33" w:rsidRPr="000435C4" w:rsidRDefault="000435C4" w:rsidP="00E67F33">
      <w:pPr>
        <w:pStyle w:val="Prrafodelista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0435C4">
        <w:rPr>
          <w:rFonts w:ascii="Arial" w:hAnsi="Arial" w:cs="Arial"/>
          <w:i/>
          <w:sz w:val="22"/>
          <w:szCs w:val="22"/>
        </w:rPr>
        <w:t>Esto es reportado por el proceso de Gestión Ambiental</w:t>
      </w:r>
    </w:p>
    <w:p w:rsidR="00E67F33" w:rsidRPr="000435C4" w:rsidRDefault="00E67F33" w:rsidP="00E67F33">
      <w:pPr>
        <w:pStyle w:val="Prrafodeli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E67F33" w:rsidRPr="00E67F33" w:rsidRDefault="00E67F33" w:rsidP="00E67F33">
      <w:pPr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0435C4">
        <w:rPr>
          <w:rFonts w:ascii="Arial" w:hAnsi="Arial" w:cs="Arial"/>
          <w:b/>
          <w:sz w:val="22"/>
          <w:szCs w:val="22"/>
        </w:rPr>
        <w:t>Tendencia del cumplimiento</w:t>
      </w:r>
      <w:r w:rsidRPr="00E67F33">
        <w:rPr>
          <w:rFonts w:ascii="Arial" w:hAnsi="Arial" w:cs="Arial"/>
          <w:b/>
          <w:sz w:val="22"/>
          <w:szCs w:val="22"/>
        </w:rPr>
        <w:t xml:space="preserve"> de las obligaciones de cumplimiento </w:t>
      </w:r>
    </w:p>
    <w:p w:rsidR="000435C4" w:rsidRDefault="000435C4" w:rsidP="000435C4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0435C4" w:rsidRPr="000435C4" w:rsidRDefault="000435C4" w:rsidP="000435C4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0435C4">
        <w:rPr>
          <w:rFonts w:ascii="Arial" w:hAnsi="Arial" w:cs="Arial"/>
          <w:i/>
          <w:sz w:val="22"/>
          <w:szCs w:val="22"/>
        </w:rPr>
        <w:t>Esto es reportado por el proceso de Gestión Ambiental</w:t>
      </w:r>
    </w:p>
    <w:p w:rsidR="00B74319" w:rsidRDefault="00B74319">
      <w:pPr>
        <w:spacing w:after="0"/>
        <w:rPr>
          <w:rFonts w:ascii="Arial" w:hAnsi="Arial" w:cs="Arial"/>
          <w:b/>
          <w:sz w:val="22"/>
          <w:szCs w:val="22"/>
        </w:rPr>
      </w:pPr>
    </w:p>
    <w:p w:rsidR="00B74319" w:rsidRDefault="00B74319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74319" w:rsidRDefault="00F709A2" w:rsidP="00B74319">
      <w:p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SISTEMA DE GESTIÓN DE SEGURIDAD Y SALUD EN EL TRABAJO</w:t>
      </w:r>
      <w:r w:rsidR="00B74319">
        <w:rPr>
          <w:rFonts w:ascii="Arial" w:hAnsi="Arial" w:cs="Arial"/>
          <w:b/>
          <w:sz w:val="22"/>
          <w:szCs w:val="22"/>
        </w:rPr>
        <w:t xml:space="preserve"> </w:t>
      </w:r>
      <w:r w:rsidR="00B74319" w:rsidRPr="00244272">
        <w:rPr>
          <w:rFonts w:ascii="Arial" w:hAnsi="Arial" w:cs="Arial"/>
          <w:i/>
          <w:sz w:val="22"/>
          <w:szCs w:val="22"/>
          <w:highlight w:val="yellow"/>
        </w:rPr>
        <w:t>(este sistema se incluirá dependiendo del alcance definido para la Revisión por la Dirección)</w:t>
      </w:r>
    </w:p>
    <w:p w:rsidR="00B74319" w:rsidRDefault="00B74319" w:rsidP="002724DA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724DA" w:rsidRPr="008648C7" w:rsidRDefault="002724DA" w:rsidP="002724DA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724DA" w:rsidRDefault="002724DA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Estado de las acciones de</w:t>
      </w:r>
      <w:r>
        <w:rPr>
          <w:rFonts w:ascii="Arial" w:hAnsi="Arial" w:cs="Arial"/>
          <w:b/>
          <w:sz w:val="22"/>
          <w:szCs w:val="22"/>
        </w:rPr>
        <w:t xml:space="preserve"> las revisiones por gerenciales</w:t>
      </w:r>
      <w:r w:rsidRPr="008648C7">
        <w:rPr>
          <w:rFonts w:ascii="Arial" w:hAnsi="Arial" w:cs="Arial"/>
          <w:b/>
          <w:sz w:val="22"/>
          <w:szCs w:val="22"/>
        </w:rPr>
        <w:t xml:space="preserve"> anterior.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44272">
        <w:rPr>
          <w:rFonts w:ascii="Arial" w:hAnsi="Arial" w:cs="Arial"/>
          <w:i/>
          <w:sz w:val="22"/>
          <w:szCs w:val="22"/>
        </w:rPr>
        <w:t>(Cuando aplique)</w:t>
      </w:r>
    </w:p>
    <w:p w:rsidR="002724DA" w:rsidRDefault="002724DA" w:rsidP="002724DA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724DA" w:rsidRPr="00FE033D" w:rsidRDefault="002724DA" w:rsidP="002724DA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E033D">
        <w:rPr>
          <w:rFonts w:ascii="Arial" w:hAnsi="Arial" w:cs="Arial"/>
          <w:i/>
          <w:sz w:val="22"/>
          <w:szCs w:val="22"/>
        </w:rPr>
        <w:t>Esta información es solicitada</w:t>
      </w:r>
      <w:r>
        <w:rPr>
          <w:rFonts w:ascii="Arial" w:hAnsi="Arial" w:cs="Arial"/>
          <w:i/>
          <w:sz w:val="22"/>
          <w:szCs w:val="22"/>
        </w:rPr>
        <w:t xml:space="preserve"> a los procesos responsables</w:t>
      </w:r>
      <w:r w:rsidRPr="00FE033D">
        <w:rPr>
          <w:rFonts w:ascii="Arial" w:hAnsi="Arial" w:cs="Arial"/>
          <w:i/>
          <w:sz w:val="22"/>
          <w:szCs w:val="22"/>
        </w:rPr>
        <w:t>, consolidada y reportada por el proceso</w:t>
      </w:r>
      <w:r>
        <w:rPr>
          <w:rFonts w:ascii="Arial" w:hAnsi="Arial" w:cs="Arial"/>
          <w:i/>
          <w:sz w:val="22"/>
          <w:szCs w:val="22"/>
        </w:rPr>
        <w:t xml:space="preserve"> de Gestión del Talento Humano</w:t>
      </w:r>
    </w:p>
    <w:p w:rsidR="002724DA" w:rsidRDefault="002724DA" w:rsidP="002724DA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110"/>
        <w:gridCol w:w="2001"/>
        <w:gridCol w:w="2551"/>
        <w:gridCol w:w="2410"/>
      </w:tblGrid>
      <w:tr w:rsidR="002724DA" w:rsidTr="00D96A3A">
        <w:tc>
          <w:tcPr>
            <w:tcW w:w="2110" w:type="dxa"/>
            <w:vAlign w:val="center"/>
          </w:tcPr>
          <w:p w:rsidR="002724DA" w:rsidRDefault="002724DA" w:rsidP="00D96A3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COMPROMISO</w:t>
            </w:r>
          </w:p>
        </w:tc>
        <w:tc>
          <w:tcPr>
            <w:tcW w:w="2001" w:type="dxa"/>
            <w:vAlign w:val="center"/>
          </w:tcPr>
          <w:p w:rsidR="002724DA" w:rsidRDefault="002724DA" w:rsidP="00D96A3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PROCESO RESPONSABLE</w:t>
            </w:r>
          </w:p>
        </w:tc>
        <w:tc>
          <w:tcPr>
            <w:tcW w:w="2551" w:type="dxa"/>
            <w:vAlign w:val="center"/>
          </w:tcPr>
          <w:p w:rsidR="002724DA" w:rsidRDefault="002724DA" w:rsidP="00D96A3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AVANCE</w:t>
            </w:r>
          </w:p>
        </w:tc>
        <w:tc>
          <w:tcPr>
            <w:tcW w:w="2410" w:type="dxa"/>
            <w:vAlign w:val="center"/>
          </w:tcPr>
          <w:p w:rsidR="002724DA" w:rsidRDefault="002724DA" w:rsidP="00D96A3A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EVIDENCIA DE LA IMPLEMENTACIÓN</w:t>
            </w:r>
          </w:p>
        </w:tc>
      </w:tr>
      <w:tr w:rsidR="002724DA" w:rsidTr="00471F5F">
        <w:tc>
          <w:tcPr>
            <w:tcW w:w="2110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24DA" w:rsidTr="00471F5F">
        <w:tc>
          <w:tcPr>
            <w:tcW w:w="2110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24DA" w:rsidTr="00471F5F">
        <w:tc>
          <w:tcPr>
            <w:tcW w:w="2110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01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2724DA" w:rsidRDefault="002724DA" w:rsidP="00471F5F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24DA" w:rsidRPr="008648C7" w:rsidRDefault="002724DA" w:rsidP="002724DA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2724DA" w:rsidRDefault="002724DA" w:rsidP="002724DA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724DA" w:rsidRPr="008648C7" w:rsidRDefault="002724DA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Los cambios de circunstancias, incluyendo evolución en los requisitos legales y otros cambios relacionados con el SGSST</w:t>
      </w:r>
      <w:r w:rsidRPr="008648C7">
        <w:rPr>
          <w:rFonts w:ascii="Arial" w:hAnsi="Arial" w:cs="Arial"/>
          <w:b/>
          <w:sz w:val="22"/>
          <w:szCs w:val="22"/>
        </w:rPr>
        <w:t>.</w:t>
      </w:r>
    </w:p>
    <w:p w:rsidR="002724DA" w:rsidRDefault="002724DA" w:rsidP="002724DA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2724DA" w:rsidRPr="00E40797" w:rsidRDefault="002724DA" w:rsidP="002724DA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del Talento Humano</w:t>
      </w:r>
      <w:r w:rsidRPr="00E40797">
        <w:rPr>
          <w:rFonts w:ascii="Arial" w:hAnsi="Arial" w:cs="Arial"/>
          <w:i/>
          <w:sz w:val="22"/>
          <w:szCs w:val="22"/>
        </w:rPr>
        <w:t xml:space="preserve"> </w:t>
      </w:r>
    </w:p>
    <w:p w:rsidR="002724DA" w:rsidRDefault="002724DA" w:rsidP="002724DA">
      <w:pPr>
        <w:pStyle w:val="Prrafodeli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74319" w:rsidRPr="002724DA" w:rsidRDefault="00B74319" w:rsidP="002724DA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724DA">
        <w:rPr>
          <w:rFonts w:ascii="Arial" w:hAnsi="Arial" w:cs="Arial"/>
          <w:b/>
          <w:sz w:val="22"/>
          <w:szCs w:val="22"/>
        </w:rPr>
        <w:t>L</w:t>
      </w:r>
      <w:r w:rsidR="002724DA" w:rsidRPr="002724DA">
        <w:rPr>
          <w:rFonts w:ascii="Arial" w:hAnsi="Arial" w:cs="Arial"/>
          <w:b/>
          <w:sz w:val="22"/>
          <w:szCs w:val="22"/>
        </w:rPr>
        <w:t xml:space="preserve">as comunicaciones relevantes del SGSST </w:t>
      </w:r>
      <w:r w:rsidRPr="002724DA">
        <w:rPr>
          <w:rFonts w:ascii="Arial" w:hAnsi="Arial" w:cs="Arial"/>
          <w:b/>
          <w:sz w:val="22"/>
          <w:szCs w:val="22"/>
        </w:rPr>
        <w:t>de</w:t>
      </w:r>
      <w:r w:rsidR="002724DA" w:rsidRPr="002724DA">
        <w:rPr>
          <w:rFonts w:ascii="Arial" w:hAnsi="Arial" w:cs="Arial"/>
          <w:b/>
          <w:sz w:val="22"/>
          <w:szCs w:val="22"/>
        </w:rPr>
        <w:t xml:space="preserve"> las partes interesadas externas, incluyendo las quejas</w:t>
      </w:r>
      <w:r w:rsidRPr="002724DA">
        <w:rPr>
          <w:rFonts w:ascii="Arial" w:hAnsi="Arial" w:cs="Arial"/>
          <w:b/>
          <w:sz w:val="22"/>
          <w:szCs w:val="22"/>
        </w:rPr>
        <w:t>.</w:t>
      </w:r>
    </w:p>
    <w:p w:rsidR="00B74319" w:rsidRDefault="00B74319" w:rsidP="00B7431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74319" w:rsidRPr="00E40797" w:rsidRDefault="00B74319" w:rsidP="00B74319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</w:t>
      </w:r>
      <w:r w:rsidR="002724DA">
        <w:rPr>
          <w:rFonts w:ascii="Arial" w:hAnsi="Arial" w:cs="Arial"/>
          <w:i/>
          <w:sz w:val="22"/>
          <w:szCs w:val="22"/>
        </w:rPr>
        <w:t>ón del Talento Humano</w:t>
      </w:r>
      <w:r w:rsidRPr="00E40797">
        <w:rPr>
          <w:rFonts w:ascii="Arial" w:hAnsi="Arial" w:cs="Arial"/>
          <w:i/>
          <w:sz w:val="22"/>
          <w:szCs w:val="22"/>
        </w:rPr>
        <w:t xml:space="preserve"> </w:t>
      </w:r>
    </w:p>
    <w:p w:rsidR="00B74319" w:rsidRPr="008648C7" w:rsidRDefault="00B74319" w:rsidP="00B74319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B74319" w:rsidRPr="008648C7" w:rsidRDefault="00B74319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 xml:space="preserve">El grado en que se han </w:t>
      </w:r>
      <w:r>
        <w:rPr>
          <w:rFonts w:ascii="Arial" w:hAnsi="Arial" w:cs="Arial"/>
          <w:b/>
          <w:sz w:val="22"/>
          <w:szCs w:val="22"/>
        </w:rPr>
        <w:t>l</w:t>
      </w:r>
      <w:r w:rsidR="002724DA">
        <w:rPr>
          <w:rFonts w:ascii="Arial" w:hAnsi="Arial" w:cs="Arial"/>
          <w:b/>
          <w:sz w:val="22"/>
          <w:szCs w:val="22"/>
        </w:rPr>
        <w:t>ogrado los objetivos del SGSST</w:t>
      </w:r>
    </w:p>
    <w:p w:rsidR="00B74319" w:rsidRDefault="00B74319" w:rsidP="00B7431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74319" w:rsidRPr="00E40797" w:rsidRDefault="00B74319" w:rsidP="00B74319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 xml:space="preserve">Esto es reportado por el proceso de Direccionamiento Estratégico </w:t>
      </w:r>
    </w:p>
    <w:p w:rsidR="00B74319" w:rsidRPr="008648C7" w:rsidRDefault="00B74319" w:rsidP="00B7431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74319" w:rsidRPr="008648C7" w:rsidRDefault="00B74319" w:rsidP="00B7431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74319" w:rsidRDefault="002724DA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2724DA">
        <w:rPr>
          <w:rFonts w:ascii="Arial" w:hAnsi="Arial" w:cs="Arial"/>
          <w:b/>
          <w:sz w:val="22"/>
          <w:szCs w:val="22"/>
        </w:rPr>
        <w:t>R</w:t>
      </w:r>
      <w:r w:rsidR="00B74319" w:rsidRPr="002724DA">
        <w:rPr>
          <w:rFonts w:ascii="Arial" w:hAnsi="Arial" w:cs="Arial"/>
          <w:b/>
          <w:sz w:val="22"/>
          <w:szCs w:val="22"/>
        </w:rPr>
        <w:t xml:space="preserve">esultados de las auditorías </w:t>
      </w:r>
      <w:r w:rsidRPr="002724DA">
        <w:rPr>
          <w:rFonts w:ascii="Arial" w:hAnsi="Arial" w:cs="Arial"/>
          <w:b/>
          <w:sz w:val="22"/>
          <w:szCs w:val="22"/>
        </w:rPr>
        <w:t xml:space="preserve">internas </w:t>
      </w:r>
      <w:r>
        <w:rPr>
          <w:rFonts w:ascii="Arial" w:hAnsi="Arial" w:cs="Arial"/>
          <w:b/>
          <w:sz w:val="22"/>
          <w:szCs w:val="22"/>
        </w:rPr>
        <w:t>del SGSST y evaluación de conformidad con los requisitos legales aplicables y con otros requisitos que la Entidad defina</w:t>
      </w:r>
    </w:p>
    <w:p w:rsidR="002724DA" w:rsidRPr="002724DA" w:rsidRDefault="002724DA" w:rsidP="002724DA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B74319" w:rsidRDefault="00B74319" w:rsidP="00B74319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</w:t>
      </w:r>
      <w:r w:rsidR="002724DA">
        <w:rPr>
          <w:rFonts w:ascii="Arial" w:hAnsi="Arial" w:cs="Arial"/>
          <w:i/>
          <w:sz w:val="22"/>
          <w:szCs w:val="22"/>
        </w:rPr>
        <w:t>or los</w:t>
      </w:r>
      <w:r>
        <w:rPr>
          <w:rFonts w:ascii="Arial" w:hAnsi="Arial" w:cs="Arial"/>
          <w:i/>
          <w:sz w:val="22"/>
          <w:szCs w:val="22"/>
        </w:rPr>
        <w:t xml:space="preserve"> proceso</w:t>
      </w:r>
      <w:r w:rsidR="002724DA">
        <w:rPr>
          <w:rFonts w:ascii="Arial" w:hAnsi="Arial" w:cs="Arial"/>
          <w:i/>
          <w:sz w:val="22"/>
          <w:szCs w:val="22"/>
        </w:rPr>
        <w:t>s</w:t>
      </w:r>
      <w:r>
        <w:rPr>
          <w:rFonts w:ascii="Arial" w:hAnsi="Arial" w:cs="Arial"/>
          <w:i/>
          <w:sz w:val="22"/>
          <w:szCs w:val="22"/>
        </w:rPr>
        <w:t xml:space="preserve"> de Evaluación Independiente </w:t>
      </w:r>
      <w:r w:rsidR="002724DA">
        <w:rPr>
          <w:rFonts w:ascii="Arial" w:hAnsi="Arial" w:cs="Arial"/>
          <w:i/>
          <w:sz w:val="22"/>
          <w:szCs w:val="22"/>
        </w:rPr>
        <w:t xml:space="preserve">y Gestión del Talento Humano </w:t>
      </w:r>
    </w:p>
    <w:p w:rsidR="00B74319" w:rsidRDefault="00B74319" w:rsidP="00B7431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74319" w:rsidRPr="008648C7" w:rsidRDefault="00B74319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8648C7">
        <w:rPr>
          <w:rFonts w:ascii="Arial" w:hAnsi="Arial" w:cs="Arial"/>
          <w:b/>
          <w:sz w:val="22"/>
          <w:szCs w:val="22"/>
        </w:rPr>
        <w:t>Las oportunidades de mejora.</w:t>
      </w:r>
    </w:p>
    <w:p w:rsidR="00B74319" w:rsidRDefault="00B74319" w:rsidP="00B74319">
      <w:pPr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B74319" w:rsidRDefault="00B74319" w:rsidP="00B74319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debe ser reportado por todos los procesos, de acuerdo con</w:t>
      </w:r>
      <w:r>
        <w:rPr>
          <w:rFonts w:ascii="Arial" w:hAnsi="Arial" w:cs="Arial"/>
          <w:i/>
          <w:sz w:val="22"/>
          <w:szCs w:val="22"/>
        </w:rPr>
        <w:t xml:space="preserve"> las oportunidades de mejora generadas y gestionadas por el proceso y el estado de las acciones formuladas, por cada una de las vigencias, en el marco del SG</w:t>
      </w:r>
      <w:r w:rsidR="002724DA">
        <w:rPr>
          <w:rFonts w:ascii="Arial" w:hAnsi="Arial" w:cs="Arial"/>
          <w:i/>
          <w:sz w:val="22"/>
          <w:szCs w:val="22"/>
        </w:rPr>
        <w:t>SST</w:t>
      </w:r>
      <w:r>
        <w:rPr>
          <w:rFonts w:ascii="Arial" w:hAnsi="Arial" w:cs="Arial"/>
          <w:i/>
          <w:sz w:val="22"/>
          <w:szCs w:val="22"/>
        </w:rPr>
        <w:t>.</w:t>
      </w:r>
    </w:p>
    <w:p w:rsidR="00B74319" w:rsidRDefault="00B74319" w:rsidP="00B74319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B74319" w:rsidRDefault="00B74319" w:rsidP="00B74319">
      <w:pPr>
        <w:spacing w:after="0"/>
        <w:ind w:left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Adicional reportar el estado de las acciones de mejora de acuerdo con los seguimientos y verificaciones realizadas al proceso.</w:t>
      </w:r>
    </w:p>
    <w:p w:rsidR="00B74319" w:rsidRDefault="00B74319" w:rsidP="00B74319">
      <w:pPr>
        <w:spacing w:after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2724DA">
      <w:pPr>
        <w:pStyle w:val="Prrafodelista"/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709A2">
        <w:rPr>
          <w:rFonts w:ascii="Arial" w:hAnsi="Arial" w:cs="Arial"/>
          <w:b/>
          <w:sz w:val="22"/>
          <w:szCs w:val="22"/>
        </w:rPr>
        <w:lastRenderedPageBreak/>
        <w:t>Informe de gestión del Comité Paritario de Seguridad y Salud en el Trabajo COPASST</w:t>
      </w:r>
    </w:p>
    <w:p w:rsidR="00F709A2" w:rsidRDefault="00F709A2" w:rsidP="00F709A2">
      <w:pPr>
        <w:pStyle w:val="Prrafodeli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F709A2">
      <w:pPr>
        <w:pStyle w:val="Prrafodelista"/>
        <w:spacing w:after="0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del Talento Humano</w:t>
      </w:r>
    </w:p>
    <w:p w:rsidR="002724DA" w:rsidRPr="00F709A2" w:rsidRDefault="002724DA" w:rsidP="00F709A2">
      <w:pPr>
        <w:pStyle w:val="Prrafodeli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709A2">
        <w:rPr>
          <w:rFonts w:ascii="Arial" w:hAnsi="Arial" w:cs="Arial"/>
          <w:b/>
          <w:sz w:val="22"/>
          <w:szCs w:val="22"/>
        </w:rPr>
        <w:t>Informe de gestión del Comité de Convivencia Laboral</w:t>
      </w: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del Talento Humano</w:t>
      </w:r>
    </w:p>
    <w:p w:rsidR="00F709A2" w:rsidRPr="00F709A2" w:rsidRDefault="00F709A2" w:rsidP="00F709A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709A2">
        <w:rPr>
          <w:rFonts w:ascii="Arial" w:hAnsi="Arial" w:cs="Arial"/>
          <w:b/>
          <w:sz w:val="22"/>
          <w:szCs w:val="22"/>
        </w:rPr>
        <w:t>Informe gestión del Sistema de Seguridad y Salud en el Trabajo que incluya: grado de cumplimiento de los objetivos, estado de la investigación de accidentes de trabajo y enfermedades laborales y recomendaciones, cambios normativos y eficacia de los programas implementados.</w:t>
      </w: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del Talento Humano</w:t>
      </w:r>
    </w:p>
    <w:p w:rsidR="00F709A2" w:rsidRPr="00F709A2" w:rsidRDefault="00F709A2" w:rsidP="00F709A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709A2">
        <w:rPr>
          <w:rFonts w:ascii="Arial" w:hAnsi="Arial" w:cs="Arial"/>
          <w:b/>
          <w:sz w:val="22"/>
          <w:szCs w:val="22"/>
        </w:rPr>
        <w:t>Resultados de participación y consulta de los funcionarios, contratistas y colaboradores.</w:t>
      </w: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del Talento Humano</w:t>
      </w:r>
    </w:p>
    <w:p w:rsidR="00F709A2" w:rsidRPr="00F709A2" w:rsidRDefault="00F709A2" w:rsidP="00F709A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709A2">
        <w:rPr>
          <w:rFonts w:ascii="Arial" w:hAnsi="Arial" w:cs="Arial"/>
          <w:b/>
          <w:sz w:val="22"/>
          <w:szCs w:val="22"/>
        </w:rPr>
        <w:t>Desempeño del Sistema de Gestión de Seguridad y Salud en el Trabajo de la entidad.</w:t>
      </w: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i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del Talento Humano</w:t>
      </w:r>
    </w:p>
    <w:p w:rsidR="00F709A2" w:rsidRPr="00F709A2" w:rsidRDefault="00F709A2" w:rsidP="00F709A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709A2" w:rsidRDefault="00F709A2" w:rsidP="002724DA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F709A2">
        <w:rPr>
          <w:rFonts w:ascii="Arial" w:hAnsi="Arial" w:cs="Arial"/>
          <w:b/>
          <w:sz w:val="22"/>
          <w:szCs w:val="22"/>
        </w:rPr>
        <w:t>Estado de las investigaciones de incidentes, acciones correctivas y preventivas.</w:t>
      </w:r>
    </w:p>
    <w:p w:rsidR="00F709A2" w:rsidRDefault="00F709A2" w:rsidP="00F709A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709A2" w:rsidRPr="00F709A2" w:rsidRDefault="00F709A2" w:rsidP="00F709A2">
      <w:pPr>
        <w:spacing w:after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E40797">
        <w:rPr>
          <w:rFonts w:ascii="Arial" w:hAnsi="Arial" w:cs="Arial"/>
          <w:i/>
          <w:sz w:val="22"/>
          <w:szCs w:val="22"/>
        </w:rPr>
        <w:t>Esto es reportado por el proceso</w:t>
      </w:r>
      <w:r>
        <w:rPr>
          <w:rFonts w:ascii="Arial" w:hAnsi="Arial" w:cs="Arial"/>
          <w:i/>
          <w:sz w:val="22"/>
          <w:szCs w:val="22"/>
        </w:rPr>
        <w:t xml:space="preserve"> de Gestión del Talento Humano</w:t>
      </w:r>
    </w:p>
    <w:p w:rsidR="00F65943" w:rsidRDefault="00F65943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709A2" w:rsidRDefault="00F709A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709A2" w:rsidRDefault="00F709A2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709A2" w:rsidRDefault="00F709A2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:rsidR="009E22F1" w:rsidRDefault="009E22F1" w:rsidP="005174B1">
      <w:pPr>
        <w:pStyle w:val="Prrafodelista"/>
        <w:ind w:left="-142"/>
        <w:jc w:val="center"/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FE027B" w:rsidRPr="009541C3" w:rsidTr="00FE027B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1C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FE027B" w:rsidRPr="009541C3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FE027B" w:rsidRPr="00C431C5" w:rsidTr="00FE027B">
        <w:trPr>
          <w:trHeight w:val="443"/>
          <w:jc w:val="center"/>
        </w:trPr>
        <w:tc>
          <w:tcPr>
            <w:tcW w:w="591" w:type="pct"/>
            <w:shd w:val="clear" w:color="auto" w:fill="FFFFFF" w:themeFill="background1"/>
            <w:vAlign w:val="center"/>
          </w:tcPr>
          <w:p w:rsidR="00FE027B" w:rsidRPr="00C431C5" w:rsidRDefault="00FE027B" w:rsidP="004B3C25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:rsidR="00FE027B" w:rsidRDefault="00FE027B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pct"/>
            <w:shd w:val="clear" w:color="auto" w:fill="FFFFFF" w:themeFill="background1"/>
            <w:vAlign w:val="center"/>
          </w:tcPr>
          <w:p w:rsidR="00FE027B" w:rsidRPr="00C431C5" w:rsidRDefault="0057736F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Creación </w:t>
            </w:r>
          </w:p>
        </w:tc>
      </w:tr>
      <w:tr w:rsidR="00FE027B" w:rsidRPr="00A522F1" w:rsidTr="00FE027B">
        <w:trPr>
          <w:trHeight w:val="539"/>
          <w:jc w:val="center"/>
        </w:trPr>
        <w:tc>
          <w:tcPr>
            <w:tcW w:w="591" w:type="pct"/>
          </w:tcPr>
          <w:p w:rsidR="00FE027B" w:rsidRPr="00A522F1" w:rsidRDefault="00FE027B" w:rsidP="0057736F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2" w:type="pct"/>
          </w:tcPr>
          <w:p w:rsidR="00FE027B" w:rsidRPr="00A522F1" w:rsidRDefault="00FE027B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7" w:type="pct"/>
          </w:tcPr>
          <w:p w:rsidR="00FE027B" w:rsidRPr="00A522F1" w:rsidRDefault="00FE027B" w:rsidP="004B3C25">
            <w:pPr>
              <w:pStyle w:val="Prrafodelista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32" w:rsidRDefault="00925932">
      <w:pPr>
        <w:spacing w:after="0"/>
      </w:pPr>
      <w:r>
        <w:separator/>
      </w:r>
    </w:p>
  </w:endnote>
  <w:endnote w:type="continuationSeparator" w:id="0">
    <w:p w:rsidR="00925932" w:rsidRDefault="009259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32" w:rsidRDefault="00925932">
      <w:pPr>
        <w:spacing w:after="0"/>
      </w:pPr>
      <w:r>
        <w:separator/>
      </w:r>
    </w:p>
  </w:footnote>
  <w:footnote w:type="continuationSeparator" w:id="0">
    <w:p w:rsidR="00925932" w:rsidRDefault="009259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8" name="Imagen 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4B3C25">
      <w:trPr>
        <w:trHeight w:val="275"/>
      </w:trPr>
      <w:tc>
        <w:tcPr>
          <w:tcW w:w="2604" w:type="dxa"/>
          <w:vMerge w:val="restart"/>
          <w:shd w:val="clear" w:color="auto" w:fill="auto"/>
        </w:tcPr>
        <w:p w:rsidR="005C56A7" w:rsidRDefault="005C56A7" w:rsidP="005C56A7">
          <w:pPr>
            <w:widowControl w:val="0"/>
            <w:rPr>
              <w:noProof/>
              <w:sz w:val="16"/>
              <w:szCs w:val="16"/>
            </w:rPr>
          </w:pPr>
        </w:p>
        <w:p w:rsidR="003036EF" w:rsidRDefault="003036EF" w:rsidP="005C56A7">
          <w:pPr>
            <w:widowControl w:val="0"/>
            <w:rPr>
              <w:noProof/>
              <w:sz w:val="16"/>
              <w:szCs w:val="16"/>
            </w:rPr>
          </w:pPr>
        </w:p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  <w:r w:rsidRPr="00C225FB"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>
                <wp:extent cx="1485900" cy="276225"/>
                <wp:effectExtent l="0" t="0" r="0" b="952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D30F00" w:rsidP="005C56A7">
          <w:pPr>
            <w:widowControl w:val="0"/>
            <w:jc w:val="center"/>
            <w:rPr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 DE INFORME DE LA REVISI</w:t>
          </w:r>
          <w:r w:rsidR="0057736F">
            <w:rPr>
              <w:rFonts w:ascii="Arial" w:hAnsi="Arial" w:cs="Arial"/>
              <w:b/>
              <w:sz w:val="18"/>
              <w:szCs w:val="18"/>
            </w:rPr>
            <w:t xml:space="preserve">ÓN POR LA DIRECCIÓN 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C225FB" w:rsidRDefault="003036EF" w:rsidP="005C56A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57736F">
            <w:rPr>
              <w:rFonts w:ascii="Arial" w:hAnsi="Arial" w:cs="Arial"/>
              <w:sz w:val="16"/>
              <w:szCs w:val="16"/>
            </w:rPr>
            <w:t>REVISIÓN POR LA DIRECCIÓN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5C56A7" w:rsidRDefault="0057736F" w:rsidP="005C56A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PROCESO: DIRECCIONAMIENTO ESTRATÉGICO </w:t>
          </w:r>
        </w:p>
      </w:tc>
    </w:tr>
    <w:tr w:rsidR="005C56A7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5C56A7">
          <w:pPr>
            <w:widowControl w:val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3E2C29" w:rsidRDefault="005C56A7" w:rsidP="003E2C29">
          <w:pPr>
            <w:pStyle w:val="Encabezado"/>
            <w:widowControl w:val="0"/>
            <w:ind w:left="-9"/>
            <w:rPr>
              <w:rFonts w:cs="Arial"/>
              <w:color w:val="000000" w:themeColor="text1"/>
              <w:sz w:val="16"/>
              <w:szCs w:val="16"/>
            </w:rPr>
          </w:pPr>
          <w:r w:rsidRPr="003E2C29">
            <w:rPr>
              <w:rFonts w:cs="Arial"/>
              <w:color w:val="000000" w:themeColor="text1"/>
              <w:sz w:val="16"/>
              <w:szCs w:val="16"/>
            </w:rPr>
            <w:t>Código:</w:t>
          </w:r>
          <w:r w:rsidR="003E2C29" w:rsidRPr="003E2C29">
            <w:rPr>
              <w:rFonts w:cs="Arial"/>
              <w:color w:val="000000" w:themeColor="text1"/>
              <w:sz w:val="16"/>
              <w:szCs w:val="22"/>
            </w:rPr>
            <w:t>100.01.15-37</w:t>
          </w:r>
        </w:p>
      </w:tc>
      <w:tc>
        <w:tcPr>
          <w:tcW w:w="1475" w:type="dxa"/>
          <w:shd w:val="clear" w:color="auto" w:fill="auto"/>
        </w:tcPr>
        <w:p w:rsidR="005C56A7" w:rsidRPr="003E2C29" w:rsidRDefault="005C56A7" w:rsidP="005C56A7">
          <w:pPr>
            <w:pStyle w:val="Encabezado"/>
            <w:widowControl w:val="0"/>
            <w:rPr>
              <w:rFonts w:cs="Arial"/>
              <w:color w:val="000000" w:themeColor="text1"/>
              <w:sz w:val="16"/>
              <w:szCs w:val="16"/>
            </w:rPr>
          </w:pPr>
          <w:r w:rsidRPr="003E2C29">
            <w:rPr>
              <w:rFonts w:cs="Arial"/>
              <w:color w:val="000000" w:themeColor="text1"/>
              <w:sz w:val="16"/>
              <w:szCs w:val="16"/>
            </w:rPr>
            <w:t xml:space="preserve">Versión: </w:t>
          </w:r>
          <w:r w:rsidR="003E2C29" w:rsidRPr="003E2C29">
            <w:rPr>
              <w:rFonts w:cs="Arial"/>
              <w:color w:val="000000" w:themeColor="text1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3E2C29" w:rsidRDefault="005C56A7" w:rsidP="003E2C29">
          <w:pPr>
            <w:pStyle w:val="Encabezado"/>
            <w:widowControl w:val="0"/>
            <w:rPr>
              <w:rFonts w:cs="Arial"/>
              <w:color w:val="000000" w:themeColor="text1"/>
              <w:sz w:val="16"/>
              <w:szCs w:val="16"/>
            </w:rPr>
          </w:pPr>
          <w:r w:rsidRPr="003E2C29">
            <w:rPr>
              <w:rFonts w:cs="Arial"/>
              <w:color w:val="000000" w:themeColor="text1"/>
              <w:sz w:val="16"/>
              <w:szCs w:val="16"/>
            </w:rPr>
            <w:t xml:space="preserve">Fecha:  </w:t>
          </w:r>
          <w:r w:rsidR="003E2C29" w:rsidRPr="003E2C29">
            <w:rPr>
              <w:rFonts w:cs="Arial"/>
              <w:color w:val="000000" w:themeColor="text1"/>
              <w:sz w:val="16"/>
              <w:szCs w:val="16"/>
            </w:rPr>
            <w:t>23/02/2018</w:t>
          </w:r>
        </w:p>
      </w:tc>
      <w:tc>
        <w:tcPr>
          <w:tcW w:w="1415" w:type="dxa"/>
          <w:shd w:val="clear" w:color="auto" w:fill="auto"/>
        </w:tcPr>
        <w:p w:rsidR="005C56A7" w:rsidRPr="003E2C29" w:rsidRDefault="005C56A7" w:rsidP="005C56A7">
          <w:pPr>
            <w:widowControl w:val="0"/>
            <w:rPr>
              <w:color w:val="000000" w:themeColor="text1"/>
              <w:sz w:val="16"/>
              <w:szCs w:val="16"/>
            </w:rPr>
          </w:pPr>
          <w:r w:rsidRPr="003E2C29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Página </w:t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begin"/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instrText xml:space="preserve"> PAGE </w:instrText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separate"/>
          </w:r>
          <w:r w:rsidR="00406627">
            <w:rPr>
              <w:rFonts w:ascii="Arial" w:hAnsi="Arial" w:cs="Arial"/>
              <w:noProof/>
              <w:color w:val="000000" w:themeColor="text1"/>
              <w:sz w:val="16"/>
              <w:szCs w:val="22"/>
            </w:rPr>
            <w:t>2</w:t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end"/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t xml:space="preserve"> de </w:t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begin"/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instrText xml:space="preserve"> NUMPAGES </w:instrText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separate"/>
          </w:r>
          <w:r w:rsidR="00406627">
            <w:rPr>
              <w:rFonts w:ascii="Arial" w:hAnsi="Arial" w:cs="Arial"/>
              <w:noProof/>
              <w:color w:val="000000" w:themeColor="text1"/>
              <w:sz w:val="16"/>
              <w:szCs w:val="22"/>
            </w:rPr>
            <w:t>7</w:t>
          </w:r>
          <w:r w:rsidRPr="003E2C29">
            <w:rPr>
              <w:rFonts w:ascii="Arial" w:hAnsi="Arial" w:cs="Arial"/>
              <w:color w:val="000000" w:themeColor="text1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F58"/>
    <w:multiLevelType w:val="hybridMultilevel"/>
    <w:tmpl w:val="F93E5B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A05AA"/>
    <w:multiLevelType w:val="hybridMultilevel"/>
    <w:tmpl w:val="F78440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22D80"/>
    <w:multiLevelType w:val="hybridMultilevel"/>
    <w:tmpl w:val="C742A5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91BF2"/>
    <w:multiLevelType w:val="hybridMultilevel"/>
    <w:tmpl w:val="F93E5B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D0B54"/>
    <w:multiLevelType w:val="hybridMultilevel"/>
    <w:tmpl w:val="A394ED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07D8"/>
    <w:multiLevelType w:val="hybridMultilevel"/>
    <w:tmpl w:val="F93E5B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5A44307A"/>
    <w:multiLevelType w:val="hybridMultilevel"/>
    <w:tmpl w:val="F93E5B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67DC423D"/>
    <w:multiLevelType w:val="hybridMultilevel"/>
    <w:tmpl w:val="F93E5B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8"/>
  </w:num>
  <w:num w:numId="5">
    <w:abstractNumId w:val="15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2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435C4"/>
    <w:rsid w:val="00075304"/>
    <w:rsid w:val="00084629"/>
    <w:rsid w:val="00096A9C"/>
    <w:rsid w:val="000A3C94"/>
    <w:rsid w:val="000D5FE0"/>
    <w:rsid w:val="000E513F"/>
    <w:rsid w:val="000F1D5D"/>
    <w:rsid w:val="000F539E"/>
    <w:rsid w:val="00103655"/>
    <w:rsid w:val="00107BF3"/>
    <w:rsid w:val="00110BEE"/>
    <w:rsid w:val="00137487"/>
    <w:rsid w:val="00145604"/>
    <w:rsid w:val="001458E0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272"/>
    <w:rsid w:val="00244CA1"/>
    <w:rsid w:val="0024787C"/>
    <w:rsid w:val="00260188"/>
    <w:rsid w:val="00262034"/>
    <w:rsid w:val="00263CA1"/>
    <w:rsid w:val="002724DA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2C29"/>
    <w:rsid w:val="003F0155"/>
    <w:rsid w:val="00406627"/>
    <w:rsid w:val="00433D06"/>
    <w:rsid w:val="004806A4"/>
    <w:rsid w:val="004F795C"/>
    <w:rsid w:val="005174B1"/>
    <w:rsid w:val="00545828"/>
    <w:rsid w:val="0057736F"/>
    <w:rsid w:val="005A3842"/>
    <w:rsid w:val="005C56A7"/>
    <w:rsid w:val="005D5EC5"/>
    <w:rsid w:val="005E6CDC"/>
    <w:rsid w:val="005F524B"/>
    <w:rsid w:val="00614BA9"/>
    <w:rsid w:val="00615685"/>
    <w:rsid w:val="00636D5B"/>
    <w:rsid w:val="00643B53"/>
    <w:rsid w:val="00653D2F"/>
    <w:rsid w:val="00657EEC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715FC"/>
    <w:rsid w:val="0079015C"/>
    <w:rsid w:val="00792049"/>
    <w:rsid w:val="007A1594"/>
    <w:rsid w:val="007B41D7"/>
    <w:rsid w:val="007D58DF"/>
    <w:rsid w:val="00822FFE"/>
    <w:rsid w:val="008428D7"/>
    <w:rsid w:val="008648C7"/>
    <w:rsid w:val="00872468"/>
    <w:rsid w:val="008803B7"/>
    <w:rsid w:val="008C0799"/>
    <w:rsid w:val="008C0846"/>
    <w:rsid w:val="008D7AF3"/>
    <w:rsid w:val="008E1C20"/>
    <w:rsid w:val="008E3801"/>
    <w:rsid w:val="00914524"/>
    <w:rsid w:val="00925932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42AFC"/>
    <w:rsid w:val="00B74319"/>
    <w:rsid w:val="00B7544C"/>
    <w:rsid w:val="00B91F95"/>
    <w:rsid w:val="00BB2D1B"/>
    <w:rsid w:val="00BC0D1E"/>
    <w:rsid w:val="00BC7394"/>
    <w:rsid w:val="00BD027D"/>
    <w:rsid w:val="00BD2535"/>
    <w:rsid w:val="00BF50E4"/>
    <w:rsid w:val="00C20EFF"/>
    <w:rsid w:val="00C218F4"/>
    <w:rsid w:val="00C22560"/>
    <w:rsid w:val="00C2751D"/>
    <w:rsid w:val="00C55B7B"/>
    <w:rsid w:val="00C6160D"/>
    <w:rsid w:val="00C87C6F"/>
    <w:rsid w:val="00C97A50"/>
    <w:rsid w:val="00CA41C2"/>
    <w:rsid w:val="00CD0112"/>
    <w:rsid w:val="00CD73A2"/>
    <w:rsid w:val="00CD7616"/>
    <w:rsid w:val="00CF1E3B"/>
    <w:rsid w:val="00CF526F"/>
    <w:rsid w:val="00D06DB3"/>
    <w:rsid w:val="00D30F00"/>
    <w:rsid w:val="00D45786"/>
    <w:rsid w:val="00D56A39"/>
    <w:rsid w:val="00D60CE9"/>
    <w:rsid w:val="00D6225E"/>
    <w:rsid w:val="00D73F0B"/>
    <w:rsid w:val="00D84A48"/>
    <w:rsid w:val="00D96A3A"/>
    <w:rsid w:val="00DF7F68"/>
    <w:rsid w:val="00E02216"/>
    <w:rsid w:val="00E36686"/>
    <w:rsid w:val="00E40797"/>
    <w:rsid w:val="00E52BA4"/>
    <w:rsid w:val="00E67F33"/>
    <w:rsid w:val="00E72035"/>
    <w:rsid w:val="00E73C1B"/>
    <w:rsid w:val="00E82F7C"/>
    <w:rsid w:val="00EA189F"/>
    <w:rsid w:val="00EB2102"/>
    <w:rsid w:val="00ED44F8"/>
    <w:rsid w:val="00ED66AB"/>
    <w:rsid w:val="00ED69A7"/>
    <w:rsid w:val="00F0171D"/>
    <w:rsid w:val="00F338AD"/>
    <w:rsid w:val="00F36A44"/>
    <w:rsid w:val="00F65943"/>
    <w:rsid w:val="00F65D55"/>
    <w:rsid w:val="00F709A2"/>
    <w:rsid w:val="00FA465B"/>
    <w:rsid w:val="00FE027B"/>
    <w:rsid w:val="00FE033D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3618-62CD-4DD8-82A4-8A8F516A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UNIDAD VICTIMAS</cp:lastModifiedBy>
  <cp:revision>2</cp:revision>
  <dcterms:created xsi:type="dcterms:W3CDTF">2018-03-02T16:13:00Z</dcterms:created>
  <dcterms:modified xsi:type="dcterms:W3CDTF">2018-03-02T16:13:00Z</dcterms:modified>
</cp:coreProperties>
</file>