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6B" w:rsidRPr="003651B4" w:rsidRDefault="00D175A8" w:rsidP="001A2105">
      <w:pPr>
        <w:pStyle w:val="Ttulo1"/>
        <w:jc w:val="center"/>
        <w:rPr>
          <w:b/>
          <w:color w:val="auto"/>
        </w:rPr>
      </w:pPr>
      <w:r w:rsidRPr="003651B4">
        <w:rPr>
          <w:b/>
          <w:color w:val="auto"/>
        </w:rPr>
        <w:t>AVISO CONVOCATORIA PÚBLICA</w:t>
      </w:r>
    </w:p>
    <w:p w:rsidR="001708C5" w:rsidRDefault="001708C5" w:rsidP="000612B6">
      <w:pPr>
        <w:pStyle w:val="Sinespaciado"/>
        <w:jc w:val="center"/>
        <w:rPr>
          <w:rStyle w:val="Referenciaintensa"/>
          <w:rFonts w:asciiTheme="majorHAnsi" w:eastAsiaTheme="majorEastAsia" w:hAnsiTheme="majorHAnsi" w:cstheme="majorBidi"/>
          <w:bCs w:val="0"/>
          <w:smallCaps w:val="0"/>
          <w:color w:val="auto"/>
          <w:spacing w:val="0"/>
          <w:sz w:val="32"/>
          <w:szCs w:val="32"/>
        </w:rPr>
      </w:pPr>
    </w:p>
    <w:p w:rsidR="00C8409C" w:rsidRPr="003651B4" w:rsidRDefault="000612B6" w:rsidP="000612B6">
      <w:pPr>
        <w:pStyle w:val="Sinespaciado"/>
        <w:jc w:val="center"/>
        <w:rPr>
          <w:rStyle w:val="Referenciaintensa"/>
          <w:rFonts w:asciiTheme="majorHAnsi" w:eastAsiaTheme="majorEastAsia" w:hAnsiTheme="majorHAnsi" w:cstheme="majorBidi"/>
          <w:bCs w:val="0"/>
          <w:smallCaps w:val="0"/>
          <w:color w:val="auto"/>
          <w:spacing w:val="0"/>
          <w:sz w:val="32"/>
          <w:szCs w:val="32"/>
        </w:rPr>
      </w:pPr>
      <w:r w:rsidRPr="003651B4">
        <w:rPr>
          <w:rStyle w:val="Referenciaintensa"/>
          <w:rFonts w:asciiTheme="majorHAnsi" w:eastAsiaTheme="majorEastAsia" w:hAnsiTheme="majorHAnsi" w:cstheme="majorBidi"/>
          <w:bCs w:val="0"/>
          <w:smallCaps w:val="0"/>
          <w:color w:val="auto"/>
          <w:spacing w:val="0"/>
          <w:sz w:val="32"/>
          <w:szCs w:val="32"/>
        </w:rPr>
        <w:t xml:space="preserve"> </w:t>
      </w:r>
      <w:r w:rsidR="001708C5" w:rsidRPr="009428E9">
        <w:rPr>
          <w:rFonts w:asciiTheme="majorHAnsi" w:eastAsiaTheme="majorEastAsia" w:hAnsiTheme="majorHAnsi" w:cstheme="majorBidi"/>
          <w:b/>
          <w:sz w:val="24"/>
          <w:szCs w:val="24"/>
        </w:rPr>
        <w:t>S</w:t>
      </w:r>
      <w:r w:rsidR="003900BD">
        <w:rPr>
          <w:rFonts w:asciiTheme="majorHAnsi" w:eastAsiaTheme="majorEastAsia" w:hAnsiTheme="majorHAnsi" w:cstheme="majorBidi"/>
          <w:b/>
          <w:sz w:val="24"/>
          <w:szCs w:val="24"/>
        </w:rPr>
        <w:t>ELECCIÓN ABREVIADA DEL LITERAL H</w:t>
      </w:r>
      <w:r w:rsidR="001708C5" w:rsidRPr="009428E9">
        <w:rPr>
          <w:rFonts w:asciiTheme="majorHAnsi" w:eastAsiaTheme="majorEastAsia" w:hAnsiTheme="majorHAnsi" w:cstheme="majorBidi"/>
          <w:b/>
          <w:sz w:val="24"/>
          <w:szCs w:val="24"/>
        </w:rPr>
        <w:t xml:space="preserve"> DEL NUMERAL 2 DEL ARTÍCULO 2 DE LA LEY 1150 DE 2007 </w:t>
      </w:r>
      <w:r w:rsidRPr="009428E9">
        <w:rPr>
          <w:rStyle w:val="Referenciaintensa"/>
          <w:rFonts w:asciiTheme="majorHAnsi" w:eastAsiaTheme="majorEastAsia" w:hAnsiTheme="majorHAnsi" w:cstheme="majorBidi"/>
          <w:bCs w:val="0"/>
          <w:smallCaps w:val="0"/>
          <w:color w:val="auto"/>
          <w:spacing w:val="0"/>
          <w:sz w:val="24"/>
          <w:szCs w:val="24"/>
        </w:rPr>
        <w:t xml:space="preserve">No. </w:t>
      </w:r>
      <w:r w:rsidR="002E1D0D" w:rsidRPr="009428E9">
        <w:rPr>
          <w:rStyle w:val="Referenciaintensa"/>
          <w:rFonts w:asciiTheme="majorHAnsi" w:eastAsiaTheme="majorEastAsia" w:hAnsiTheme="majorHAnsi" w:cstheme="majorBidi"/>
          <w:bCs w:val="0"/>
          <w:smallCaps w:val="0"/>
          <w:color w:val="auto"/>
          <w:spacing w:val="0"/>
          <w:sz w:val="24"/>
          <w:szCs w:val="24"/>
        </w:rPr>
        <w:t>UARIV-</w:t>
      </w:r>
      <w:r w:rsidRPr="009428E9">
        <w:rPr>
          <w:rStyle w:val="Referenciaintensa"/>
          <w:rFonts w:asciiTheme="majorHAnsi" w:eastAsiaTheme="majorEastAsia" w:hAnsiTheme="majorHAnsi" w:cstheme="majorBidi"/>
          <w:bCs w:val="0"/>
          <w:smallCaps w:val="0"/>
          <w:color w:val="auto"/>
          <w:spacing w:val="0"/>
          <w:sz w:val="24"/>
          <w:szCs w:val="24"/>
        </w:rPr>
        <w:t>SA-0</w:t>
      </w:r>
      <w:r w:rsidR="002E1D0D" w:rsidRPr="009428E9">
        <w:rPr>
          <w:rStyle w:val="Referenciaintensa"/>
          <w:rFonts w:asciiTheme="majorHAnsi" w:eastAsiaTheme="majorEastAsia" w:hAnsiTheme="majorHAnsi" w:cstheme="majorBidi"/>
          <w:bCs w:val="0"/>
          <w:smallCaps w:val="0"/>
          <w:color w:val="auto"/>
          <w:spacing w:val="0"/>
          <w:sz w:val="24"/>
          <w:szCs w:val="24"/>
        </w:rPr>
        <w:t>0</w:t>
      </w:r>
      <w:r w:rsidR="00CA15CA">
        <w:rPr>
          <w:rStyle w:val="Referenciaintensa"/>
          <w:rFonts w:asciiTheme="majorHAnsi" w:eastAsiaTheme="majorEastAsia" w:hAnsiTheme="majorHAnsi" w:cstheme="majorBidi"/>
          <w:bCs w:val="0"/>
          <w:smallCaps w:val="0"/>
          <w:color w:val="auto"/>
          <w:spacing w:val="0"/>
          <w:sz w:val="24"/>
          <w:szCs w:val="24"/>
        </w:rPr>
        <w:t>4</w:t>
      </w:r>
      <w:r w:rsidRPr="009428E9">
        <w:rPr>
          <w:rStyle w:val="Referenciaintensa"/>
          <w:rFonts w:asciiTheme="majorHAnsi" w:eastAsiaTheme="majorEastAsia" w:hAnsiTheme="majorHAnsi" w:cstheme="majorBidi"/>
          <w:bCs w:val="0"/>
          <w:smallCaps w:val="0"/>
          <w:color w:val="auto"/>
          <w:spacing w:val="0"/>
          <w:sz w:val="24"/>
          <w:szCs w:val="24"/>
        </w:rPr>
        <w:t>-201</w:t>
      </w:r>
      <w:r w:rsidR="002E1D0D" w:rsidRPr="009428E9">
        <w:rPr>
          <w:rStyle w:val="Referenciaintensa"/>
          <w:rFonts w:asciiTheme="majorHAnsi" w:eastAsiaTheme="majorEastAsia" w:hAnsiTheme="majorHAnsi" w:cstheme="majorBidi"/>
          <w:bCs w:val="0"/>
          <w:smallCaps w:val="0"/>
          <w:color w:val="auto"/>
          <w:spacing w:val="0"/>
          <w:sz w:val="24"/>
          <w:szCs w:val="24"/>
        </w:rPr>
        <w:t>8</w:t>
      </w:r>
      <w:r w:rsidRPr="003651B4">
        <w:rPr>
          <w:rStyle w:val="Referenciaintensa"/>
          <w:rFonts w:asciiTheme="majorHAnsi" w:eastAsiaTheme="majorEastAsia" w:hAnsiTheme="majorHAnsi" w:cstheme="majorBidi"/>
          <w:bCs w:val="0"/>
          <w:smallCaps w:val="0"/>
          <w:color w:val="auto"/>
          <w:spacing w:val="0"/>
          <w:sz w:val="32"/>
          <w:szCs w:val="32"/>
        </w:rPr>
        <w:t>.</w:t>
      </w:r>
    </w:p>
    <w:p w:rsidR="000612B6" w:rsidRPr="00F90D94" w:rsidRDefault="000612B6" w:rsidP="0048774D">
      <w:pPr>
        <w:pStyle w:val="Sinespaciado"/>
        <w:jc w:val="both"/>
        <w:rPr>
          <w:rFonts w:ascii="Arial Narrow" w:hAnsi="Arial Narrow"/>
          <w:sz w:val="12"/>
          <w:szCs w:val="24"/>
        </w:rPr>
      </w:pPr>
    </w:p>
    <w:p w:rsidR="009428E9" w:rsidRDefault="009428E9" w:rsidP="0048774D">
      <w:pPr>
        <w:pStyle w:val="Sinespaciado"/>
        <w:jc w:val="both"/>
        <w:rPr>
          <w:rFonts w:ascii="Arial Narrow" w:hAnsi="Arial Narrow"/>
          <w:sz w:val="24"/>
          <w:szCs w:val="24"/>
        </w:rPr>
      </w:pPr>
    </w:p>
    <w:p w:rsidR="00B02A45" w:rsidRPr="00F90D94" w:rsidRDefault="00D175A8" w:rsidP="0048774D">
      <w:pPr>
        <w:pStyle w:val="Sinespaciado"/>
        <w:jc w:val="both"/>
        <w:rPr>
          <w:rFonts w:ascii="Arial Narrow" w:hAnsi="Arial Narrow"/>
          <w:sz w:val="24"/>
          <w:szCs w:val="24"/>
        </w:rPr>
      </w:pPr>
      <w:r w:rsidRPr="00F90D94">
        <w:rPr>
          <w:rFonts w:ascii="Arial Narrow" w:hAnsi="Arial Narrow"/>
          <w:sz w:val="24"/>
          <w:szCs w:val="24"/>
        </w:rPr>
        <w:t>La Unidad para la Atención y Reparación Integral a las Victimas en observancia de lo establecido en el Artículo 2.2.1.1.2.1.2 del Decreto 1082</w:t>
      </w:r>
      <w:r w:rsidR="006B0019" w:rsidRPr="00F90D94">
        <w:rPr>
          <w:rFonts w:ascii="Arial Narrow" w:hAnsi="Arial Narrow"/>
          <w:sz w:val="24"/>
          <w:szCs w:val="24"/>
        </w:rPr>
        <w:t xml:space="preserve"> </w:t>
      </w:r>
      <w:r w:rsidRPr="00F90D94">
        <w:rPr>
          <w:rFonts w:ascii="Arial Narrow" w:hAnsi="Arial Narrow"/>
          <w:sz w:val="24"/>
          <w:szCs w:val="24"/>
        </w:rPr>
        <w:t>de 2015, convoca públicamente a todos los interesados a participar en el proceso de selección conforme a la siguiente información:</w:t>
      </w:r>
    </w:p>
    <w:p w:rsidR="00F4602C" w:rsidRPr="009428E9" w:rsidRDefault="00F4602C" w:rsidP="003651B4">
      <w:pPr>
        <w:pStyle w:val="Ttulo1"/>
        <w:jc w:val="both"/>
        <w:rPr>
          <w:b/>
          <w:color w:val="auto"/>
          <w:sz w:val="24"/>
          <w:szCs w:val="24"/>
        </w:rPr>
      </w:pPr>
      <w:r w:rsidRPr="009428E9">
        <w:rPr>
          <w:b/>
          <w:color w:val="auto"/>
          <w:sz w:val="24"/>
          <w:szCs w:val="24"/>
        </w:rPr>
        <w:t>NOMBRE Y DIRECCIÓN DE LA ENTIDAD ESTATAL</w:t>
      </w:r>
    </w:p>
    <w:p w:rsidR="00B02A45" w:rsidRPr="00F90D94" w:rsidRDefault="00F4602C" w:rsidP="0048774D">
      <w:pPr>
        <w:pStyle w:val="Sinespaciado"/>
        <w:jc w:val="both"/>
        <w:rPr>
          <w:rFonts w:ascii="Arial Narrow" w:hAnsi="Arial Narrow"/>
          <w:sz w:val="24"/>
          <w:szCs w:val="24"/>
        </w:rPr>
      </w:pPr>
      <w:r w:rsidRPr="00F90D94">
        <w:rPr>
          <w:rFonts w:ascii="Arial Narrow" w:hAnsi="Arial Narrow"/>
          <w:sz w:val="24"/>
          <w:szCs w:val="24"/>
        </w:rPr>
        <w:t>La Unidad para la Atención y Reparación Integral a las Víctimas, Calle 16 No. 6 — 66 piso 19, Edificio Avianca de la Ciudad de Bogotá D.C.</w:t>
      </w:r>
    </w:p>
    <w:p w:rsidR="00F4602C" w:rsidRPr="009428E9" w:rsidRDefault="00F4602C" w:rsidP="003651B4">
      <w:pPr>
        <w:pStyle w:val="Ttulo1"/>
        <w:jc w:val="both"/>
        <w:rPr>
          <w:b/>
          <w:color w:val="auto"/>
          <w:sz w:val="24"/>
          <w:szCs w:val="24"/>
        </w:rPr>
      </w:pPr>
      <w:r w:rsidRPr="009428E9">
        <w:rPr>
          <w:b/>
          <w:color w:val="auto"/>
          <w:sz w:val="24"/>
          <w:szCs w:val="24"/>
        </w:rPr>
        <w:t>DIRECCIÓN, CORREO ELECTRÓNICO Y TELÉFONO DE ATENCIÓN A LOS INTERESADOS, CONSULTA Y PRESENTACIÓN DE DOCUMENTOS EN DESARROLLO DEL PROCESO DE CONTRATACIÓN:</w:t>
      </w:r>
    </w:p>
    <w:p w:rsidR="001708C5" w:rsidRDefault="001708C5" w:rsidP="00014EBA">
      <w:pPr>
        <w:pStyle w:val="Sinespaciado"/>
        <w:jc w:val="both"/>
        <w:rPr>
          <w:rFonts w:ascii="Arial Narrow" w:hAnsi="Arial Narrow"/>
          <w:sz w:val="24"/>
          <w:szCs w:val="24"/>
        </w:rPr>
      </w:pPr>
    </w:p>
    <w:p w:rsidR="00014EBA" w:rsidRDefault="00DE101D" w:rsidP="00014EBA">
      <w:pPr>
        <w:pStyle w:val="Sinespaciado"/>
        <w:jc w:val="both"/>
        <w:rPr>
          <w:rFonts w:ascii="Arial Narrow" w:hAnsi="Arial Narrow"/>
          <w:sz w:val="24"/>
          <w:szCs w:val="24"/>
        </w:rPr>
      </w:pPr>
      <w:r w:rsidRPr="00F90D94">
        <w:rPr>
          <w:rFonts w:ascii="Arial Narrow" w:hAnsi="Arial Narrow"/>
          <w:sz w:val="24"/>
          <w:szCs w:val="24"/>
        </w:rPr>
        <w:t>Grupo de Gestión Contractual de la Unidad para la Atención y Reparación Integral a las Víctimas, ubicado en la calle 16 No. 6-66 piso 19 del  Edificio Avianca de la ciudad de Bogotá D.C</w:t>
      </w:r>
      <w:r w:rsidRPr="002E1D0D">
        <w:rPr>
          <w:rFonts w:ascii="Arial Narrow" w:hAnsi="Arial Narrow"/>
          <w:sz w:val="24"/>
          <w:szCs w:val="24"/>
        </w:rPr>
        <w:t xml:space="preserve"> </w:t>
      </w:r>
      <w:r w:rsidR="00014EBA" w:rsidRPr="00F90D94">
        <w:rPr>
          <w:rFonts w:ascii="Arial Narrow" w:hAnsi="Arial Narrow"/>
          <w:sz w:val="24"/>
          <w:szCs w:val="24"/>
        </w:rPr>
        <w:t>Teléfono: 7965150.</w:t>
      </w:r>
    </w:p>
    <w:p w:rsidR="00014EBA" w:rsidRPr="00F90D94" w:rsidRDefault="00014EBA" w:rsidP="00014EBA">
      <w:pPr>
        <w:pStyle w:val="Sinespaciado"/>
        <w:jc w:val="both"/>
        <w:rPr>
          <w:rFonts w:ascii="Arial Narrow" w:hAnsi="Arial Narrow"/>
          <w:sz w:val="24"/>
          <w:szCs w:val="24"/>
        </w:rPr>
      </w:pPr>
    </w:p>
    <w:p w:rsidR="002E1D0D" w:rsidRDefault="002E1D0D" w:rsidP="002E1D0D">
      <w:pPr>
        <w:pStyle w:val="Sinespaciado"/>
        <w:jc w:val="both"/>
      </w:pPr>
      <w:r w:rsidRPr="002E1D0D">
        <w:rPr>
          <w:rFonts w:ascii="Arial Narrow" w:hAnsi="Arial Narrow"/>
          <w:sz w:val="24"/>
          <w:szCs w:val="24"/>
        </w:rPr>
        <w:t>Los documentos del proceso de selección, estudios previos, convocatoria, pliego de condiciones, se podrán consultar a través de la plataforma del SECOP II</w:t>
      </w:r>
      <w:r w:rsidR="00D40972">
        <w:rPr>
          <w:rFonts w:ascii="Arial Narrow" w:hAnsi="Arial Narrow"/>
          <w:sz w:val="24"/>
          <w:szCs w:val="24"/>
        </w:rPr>
        <w:t>.</w:t>
      </w:r>
      <w:r w:rsidRPr="002E1D0D">
        <w:rPr>
          <w:rFonts w:ascii="Arial Narrow" w:hAnsi="Arial Narrow"/>
          <w:sz w:val="24"/>
          <w:szCs w:val="24"/>
        </w:rPr>
        <w:t xml:space="preserve"> </w:t>
      </w:r>
      <w:r w:rsidR="00BC4142">
        <w:t xml:space="preserve">Los proponentes deberán presentar su oferta, </w:t>
      </w:r>
      <w:r w:rsidR="00D40972">
        <w:t>hasta ant</w:t>
      </w:r>
      <w:r w:rsidR="00BC4142">
        <w:t xml:space="preserve">es de la fecha y hora establecida en el cronograma, en el módulo del SECOP II </w:t>
      </w:r>
      <w:hyperlink r:id="rId8" w:history="1">
        <w:r w:rsidR="00BC4142" w:rsidRPr="000D3061">
          <w:rPr>
            <w:rStyle w:val="Hipervnculo"/>
          </w:rPr>
          <w:t>https://community.secop.gov.co/STS/Users/Login/Index?SkinName=CCE</w:t>
        </w:r>
      </w:hyperlink>
    </w:p>
    <w:p w:rsidR="00BC4142" w:rsidRPr="002E1D0D" w:rsidRDefault="00BC4142" w:rsidP="002E1D0D">
      <w:pPr>
        <w:pStyle w:val="Sinespaciado"/>
        <w:jc w:val="both"/>
        <w:rPr>
          <w:rFonts w:ascii="Arial Narrow" w:hAnsi="Arial Narrow"/>
          <w:sz w:val="24"/>
          <w:szCs w:val="24"/>
        </w:rPr>
      </w:pPr>
    </w:p>
    <w:p w:rsidR="002E1D0D" w:rsidRPr="00E809A8" w:rsidRDefault="00D175A8" w:rsidP="00E809A8">
      <w:pPr>
        <w:spacing w:line="240" w:lineRule="auto"/>
        <w:jc w:val="both"/>
        <w:rPr>
          <w:rFonts w:ascii="Arial Narrow" w:hAnsi="Arial Narrow"/>
          <w:sz w:val="24"/>
          <w:szCs w:val="24"/>
        </w:rPr>
      </w:pPr>
      <w:r w:rsidRPr="009428E9">
        <w:rPr>
          <w:rFonts w:asciiTheme="majorHAnsi" w:eastAsiaTheme="majorEastAsia" w:hAnsiTheme="majorHAnsi" w:cstheme="majorBidi"/>
          <w:b/>
          <w:sz w:val="24"/>
          <w:szCs w:val="24"/>
        </w:rPr>
        <w:t>OBJETO</w:t>
      </w:r>
      <w:r w:rsidRPr="003651B4">
        <w:rPr>
          <w:rFonts w:asciiTheme="majorHAnsi" w:eastAsiaTheme="majorEastAsia" w:hAnsiTheme="majorHAnsi" w:cstheme="majorBidi"/>
          <w:b/>
          <w:sz w:val="32"/>
          <w:szCs w:val="32"/>
        </w:rPr>
        <w:t>:</w:t>
      </w:r>
      <w:r w:rsidR="001367B4">
        <w:rPr>
          <w:rFonts w:ascii="Arial Narrow" w:hAnsi="Arial Narrow"/>
          <w:sz w:val="24"/>
          <w:szCs w:val="24"/>
          <w:lang w:val="es-ES_tradnl"/>
        </w:rPr>
        <w:t xml:space="preserve"> </w:t>
      </w:r>
      <w:r w:rsidR="00C709DF" w:rsidRPr="00E809A8">
        <w:rPr>
          <w:rFonts w:ascii="Arial Narrow" w:hAnsi="Arial Narrow"/>
          <w:sz w:val="24"/>
          <w:szCs w:val="24"/>
        </w:rPr>
        <w:t>Contratar la prestación de servicios que permitan garantizar a los familiares de las víctimas de desaparición forzada asistentes a las diligencias de entrega y/o búsqueda de cuerpos y/o restos humanos, el apoyo financiero y logístico necesario que cubra los costos de desplazamiento, hospedaje, alimentación y servicios funerarios, dentro de los parámetros establecidos por la UNIDAD</w:t>
      </w:r>
    </w:p>
    <w:p w:rsidR="00113742" w:rsidRPr="00113742" w:rsidRDefault="00113742" w:rsidP="00113742">
      <w:pPr>
        <w:jc w:val="both"/>
        <w:rPr>
          <w:rFonts w:ascii="Arial Narrow" w:hAnsi="Arial Narrow"/>
          <w:bCs/>
          <w:sz w:val="24"/>
          <w:szCs w:val="24"/>
          <w:lang w:val="es-ES_tradnl"/>
        </w:rPr>
      </w:pPr>
      <w:r w:rsidRPr="00113742">
        <w:rPr>
          <w:rFonts w:ascii="Arial Narrow" w:hAnsi="Arial Narrow"/>
          <w:bCs/>
          <w:sz w:val="24"/>
          <w:szCs w:val="24"/>
          <w:lang w:val="es-ES_tradnl"/>
        </w:rPr>
        <w:t>El presente proceso está identificado con el clasificador de bienes y servicios UNSPSC como se indica a continuación:</w:t>
      </w:r>
    </w:p>
    <w:p w:rsidR="00113742" w:rsidRDefault="00113742" w:rsidP="00113742">
      <w:pPr>
        <w:jc w:val="both"/>
        <w:rPr>
          <w:rFonts w:ascii="Arial Narrow" w:hAnsi="Arial Narrow"/>
          <w:bCs/>
          <w:sz w:val="24"/>
          <w:szCs w:val="24"/>
          <w:lang w:val="es-ES"/>
        </w:rPr>
      </w:pPr>
    </w:p>
    <w:p w:rsidR="00E809A8" w:rsidRDefault="00E809A8" w:rsidP="00113742">
      <w:pPr>
        <w:jc w:val="both"/>
        <w:rPr>
          <w:rFonts w:ascii="Arial Narrow" w:hAnsi="Arial Narrow"/>
          <w:bCs/>
          <w:sz w:val="24"/>
          <w:szCs w:val="24"/>
          <w:lang w:val="es-ES"/>
        </w:rPr>
      </w:pPr>
    </w:p>
    <w:p w:rsidR="00E809A8" w:rsidRDefault="00E809A8" w:rsidP="00113742">
      <w:pPr>
        <w:jc w:val="both"/>
        <w:rPr>
          <w:rFonts w:ascii="Arial Narrow" w:hAnsi="Arial Narrow"/>
          <w:bCs/>
          <w:sz w:val="24"/>
          <w:szCs w:val="24"/>
          <w:lang w:val="es-ES"/>
        </w:rPr>
      </w:pPr>
    </w:p>
    <w:tbl>
      <w:tblPr>
        <w:tblStyle w:val="Tablaconcuadrcula2"/>
        <w:tblW w:w="0" w:type="auto"/>
        <w:jc w:val="center"/>
        <w:tblLook w:val="04A0" w:firstRow="1" w:lastRow="0" w:firstColumn="1" w:lastColumn="0" w:noHBand="0" w:noVBand="1"/>
      </w:tblPr>
      <w:tblGrid>
        <w:gridCol w:w="2150"/>
        <w:gridCol w:w="1520"/>
        <w:gridCol w:w="1192"/>
        <w:gridCol w:w="992"/>
      </w:tblGrid>
      <w:tr w:rsidR="00C709DF" w:rsidRPr="00C709DF" w:rsidTr="00D47E94">
        <w:trPr>
          <w:jc w:val="center"/>
        </w:trPr>
        <w:tc>
          <w:tcPr>
            <w:tcW w:w="2150" w:type="dxa"/>
          </w:tcPr>
          <w:p w:rsidR="00C709DF" w:rsidRPr="00C709DF" w:rsidRDefault="00C709DF" w:rsidP="00C709DF">
            <w:pPr>
              <w:jc w:val="center"/>
              <w:rPr>
                <w:rFonts w:ascii="Verdana" w:eastAsia="Calibri" w:hAnsi="Verdana" w:cs="Arial"/>
                <w:b/>
                <w:sz w:val="20"/>
                <w:szCs w:val="20"/>
                <w:lang w:val="es-ES"/>
              </w:rPr>
            </w:pPr>
            <w:r w:rsidRPr="00C709DF">
              <w:rPr>
                <w:rFonts w:ascii="Verdana" w:eastAsia="Calibri" w:hAnsi="Verdana" w:cs="Arial"/>
                <w:b/>
                <w:sz w:val="20"/>
                <w:szCs w:val="20"/>
                <w:lang w:val="es-ES"/>
              </w:rPr>
              <w:t>CLASIFICACION UNSPSC</w:t>
            </w:r>
          </w:p>
        </w:tc>
        <w:tc>
          <w:tcPr>
            <w:tcW w:w="1520" w:type="dxa"/>
          </w:tcPr>
          <w:p w:rsidR="00C709DF" w:rsidRPr="00C709DF" w:rsidRDefault="00C709DF" w:rsidP="00C709DF">
            <w:pPr>
              <w:jc w:val="center"/>
              <w:rPr>
                <w:rFonts w:ascii="Verdana" w:eastAsia="Calibri" w:hAnsi="Verdana" w:cs="Arial"/>
                <w:b/>
                <w:sz w:val="20"/>
                <w:szCs w:val="20"/>
                <w:lang w:val="es-ES"/>
              </w:rPr>
            </w:pPr>
            <w:r w:rsidRPr="00C709DF">
              <w:rPr>
                <w:rFonts w:ascii="Verdana" w:eastAsia="Calibri" w:hAnsi="Verdana" w:cs="Arial"/>
                <w:b/>
                <w:sz w:val="20"/>
                <w:szCs w:val="20"/>
                <w:lang w:val="es-ES"/>
              </w:rPr>
              <w:t>SEGMENTO</w:t>
            </w:r>
          </w:p>
        </w:tc>
        <w:tc>
          <w:tcPr>
            <w:tcW w:w="1134" w:type="dxa"/>
          </w:tcPr>
          <w:p w:rsidR="00C709DF" w:rsidRPr="00C709DF" w:rsidRDefault="00C709DF" w:rsidP="00C709DF">
            <w:pPr>
              <w:jc w:val="center"/>
              <w:rPr>
                <w:rFonts w:ascii="Verdana" w:eastAsia="Calibri" w:hAnsi="Verdana" w:cs="Arial"/>
                <w:b/>
                <w:sz w:val="20"/>
                <w:szCs w:val="20"/>
                <w:lang w:val="es-ES"/>
              </w:rPr>
            </w:pPr>
            <w:r w:rsidRPr="00C709DF">
              <w:rPr>
                <w:rFonts w:ascii="Verdana" w:eastAsia="Calibri" w:hAnsi="Verdana" w:cs="Arial"/>
                <w:b/>
                <w:sz w:val="20"/>
                <w:szCs w:val="20"/>
                <w:lang w:val="es-ES"/>
              </w:rPr>
              <w:t>FAMILIA</w:t>
            </w:r>
          </w:p>
        </w:tc>
        <w:tc>
          <w:tcPr>
            <w:tcW w:w="992" w:type="dxa"/>
          </w:tcPr>
          <w:p w:rsidR="00C709DF" w:rsidRPr="00C709DF" w:rsidRDefault="00C709DF" w:rsidP="00C709DF">
            <w:pPr>
              <w:jc w:val="center"/>
              <w:rPr>
                <w:rFonts w:ascii="Verdana" w:eastAsia="Calibri" w:hAnsi="Verdana" w:cs="Arial"/>
                <w:b/>
                <w:sz w:val="20"/>
                <w:szCs w:val="20"/>
                <w:lang w:val="es-ES"/>
              </w:rPr>
            </w:pPr>
            <w:r w:rsidRPr="00C709DF">
              <w:rPr>
                <w:rFonts w:ascii="Verdana" w:eastAsia="Calibri" w:hAnsi="Verdana" w:cs="Arial"/>
                <w:b/>
                <w:sz w:val="20"/>
                <w:szCs w:val="20"/>
                <w:lang w:val="es-ES"/>
              </w:rPr>
              <w:t>CLASE</w:t>
            </w:r>
          </w:p>
        </w:tc>
      </w:tr>
      <w:tr w:rsidR="00C709DF" w:rsidRPr="00C709DF" w:rsidTr="00D47E94">
        <w:trPr>
          <w:jc w:val="center"/>
        </w:trPr>
        <w:tc>
          <w:tcPr>
            <w:tcW w:w="215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85171500</w:t>
            </w:r>
          </w:p>
        </w:tc>
        <w:tc>
          <w:tcPr>
            <w:tcW w:w="152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85</w:t>
            </w:r>
          </w:p>
        </w:tc>
        <w:tc>
          <w:tcPr>
            <w:tcW w:w="1134"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17</w:t>
            </w:r>
          </w:p>
        </w:tc>
        <w:tc>
          <w:tcPr>
            <w:tcW w:w="992"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15</w:t>
            </w:r>
          </w:p>
        </w:tc>
      </w:tr>
      <w:tr w:rsidR="00C709DF" w:rsidRPr="00C709DF" w:rsidTr="00D47E94">
        <w:trPr>
          <w:jc w:val="center"/>
        </w:trPr>
        <w:tc>
          <w:tcPr>
            <w:tcW w:w="215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90121500</w:t>
            </w:r>
          </w:p>
        </w:tc>
        <w:tc>
          <w:tcPr>
            <w:tcW w:w="152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w:t>
            </w:r>
          </w:p>
        </w:tc>
        <w:tc>
          <w:tcPr>
            <w:tcW w:w="1134"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12</w:t>
            </w:r>
          </w:p>
        </w:tc>
        <w:tc>
          <w:tcPr>
            <w:tcW w:w="992"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15</w:t>
            </w:r>
          </w:p>
        </w:tc>
      </w:tr>
      <w:tr w:rsidR="00C709DF" w:rsidRPr="00C709DF" w:rsidTr="00D47E94">
        <w:trPr>
          <w:jc w:val="center"/>
        </w:trPr>
        <w:tc>
          <w:tcPr>
            <w:tcW w:w="215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93141500</w:t>
            </w:r>
          </w:p>
        </w:tc>
        <w:tc>
          <w:tcPr>
            <w:tcW w:w="152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93</w:t>
            </w:r>
          </w:p>
        </w:tc>
        <w:tc>
          <w:tcPr>
            <w:tcW w:w="1134"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14</w:t>
            </w:r>
          </w:p>
        </w:tc>
        <w:tc>
          <w:tcPr>
            <w:tcW w:w="992"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15</w:t>
            </w:r>
          </w:p>
        </w:tc>
      </w:tr>
      <w:tr w:rsidR="00C709DF" w:rsidRPr="00C709DF" w:rsidTr="00D47E94">
        <w:trPr>
          <w:jc w:val="center"/>
        </w:trPr>
        <w:tc>
          <w:tcPr>
            <w:tcW w:w="215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90111500</w:t>
            </w:r>
          </w:p>
        </w:tc>
        <w:tc>
          <w:tcPr>
            <w:tcW w:w="152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w:t>
            </w:r>
          </w:p>
        </w:tc>
        <w:tc>
          <w:tcPr>
            <w:tcW w:w="1134"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11</w:t>
            </w:r>
          </w:p>
        </w:tc>
        <w:tc>
          <w:tcPr>
            <w:tcW w:w="992"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15</w:t>
            </w:r>
          </w:p>
        </w:tc>
      </w:tr>
      <w:tr w:rsidR="00C709DF" w:rsidRPr="00C709DF" w:rsidTr="00D47E94">
        <w:trPr>
          <w:jc w:val="center"/>
        </w:trPr>
        <w:tc>
          <w:tcPr>
            <w:tcW w:w="215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90111600</w:t>
            </w:r>
          </w:p>
        </w:tc>
        <w:tc>
          <w:tcPr>
            <w:tcW w:w="1520"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90</w:t>
            </w:r>
          </w:p>
        </w:tc>
        <w:tc>
          <w:tcPr>
            <w:tcW w:w="1134"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11</w:t>
            </w:r>
          </w:p>
        </w:tc>
        <w:tc>
          <w:tcPr>
            <w:tcW w:w="992" w:type="dxa"/>
          </w:tcPr>
          <w:p w:rsidR="00C709DF" w:rsidRPr="00C709DF" w:rsidRDefault="00C709DF" w:rsidP="00C709DF">
            <w:pPr>
              <w:jc w:val="center"/>
              <w:rPr>
                <w:rFonts w:ascii="Verdana" w:eastAsia="Calibri" w:hAnsi="Verdana" w:cs="Arial"/>
                <w:sz w:val="20"/>
                <w:szCs w:val="20"/>
                <w:lang w:val="es-ES"/>
              </w:rPr>
            </w:pPr>
            <w:r w:rsidRPr="00C709DF">
              <w:rPr>
                <w:rFonts w:ascii="Verdana" w:eastAsia="Calibri" w:hAnsi="Verdana" w:cs="Arial"/>
                <w:sz w:val="20"/>
                <w:szCs w:val="20"/>
                <w:lang w:val="es-ES"/>
              </w:rPr>
              <w:t>16</w:t>
            </w:r>
          </w:p>
        </w:tc>
      </w:tr>
    </w:tbl>
    <w:p w:rsidR="00C709DF" w:rsidRDefault="00C709DF" w:rsidP="00113742">
      <w:pPr>
        <w:jc w:val="both"/>
        <w:rPr>
          <w:rFonts w:ascii="Arial Narrow" w:hAnsi="Arial Narrow"/>
          <w:bCs/>
          <w:sz w:val="24"/>
          <w:szCs w:val="24"/>
          <w:lang w:val="es-ES"/>
        </w:rPr>
      </w:pPr>
    </w:p>
    <w:p w:rsidR="00E873FE" w:rsidRPr="009428E9" w:rsidRDefault="00E873FE" w:rsidP="00D41FFA">
      <w:pPr>
        <w:jc w:val="both"/>
        <w:rPr>
          <w:rFonts w:asciiTheme="majorHAnsi" w:eastAsiaTheme="majorEastAsia" w:hAnsiTheme="majorHAnsi" w:cstheme="majorBidi"/>
          <w:b/>
          <w:sz w:val="24"/>
          <w:szCs w:val="24"/>
        </w:rPr>
      </w:pPr>
      <w:r w:rsidRPr="009428E9" w:rsidDel="00F077B3">
        <w:rPr>
          <w:rFonts w:asciiTheme="majorHAnsi" w:eastAsiaTheme="majorEastAsia" w:hAnsiTheme="majorHAnsi" w:cstheme="majorBidi"/>
          <w:b/>
          <w:sz w:val="24"/>
          <w:szCs w:val="24"/>
        </w:rPr>
        <w:t>LA</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MODALIDAD</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DE</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SELECCIÓN</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DEL</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CONTRATISTA</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Y</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SU</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JUSTIFICACIÓN,</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INCLUYENDO</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LOS</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FUNDAMENTOS</w:t>
      </w:r>
      <w:r w:rsidRPr="009428E9">
        <w:rPr>
          <w:rFonts w:asciiTheme="majorHAnsi" w:eastAsiaTheme="majorEastAsia" w:hAnsiTheme="majorHAnsi" w:cstheme="majorBidi"/>
          <w:b/>
          <w:sz w:val="24"/>
          <w:szCs w:val="24"/>
        </w:rPr>
        <w:t xml:space="preserve"> </w:t>
      </w:r>
      <w:r w:rsidRPr="009428E9" w:rsidDel="00F077B3">
        <w:rPr>
          <w:rFonts w:asciiTheme="majorHAnsi" w:eastAsiaTheme="majorEastAsia" w:hAnsiTheme="majorHAnsi" w:cstheme="majorBidi"/>
          <w:b/>
          <w:sz w:val="24"/>
          <w:szCs w:val="24"/>
        </w:rPr>
        <w:t>JURÍDICOS</w:t>
      </w:r>
      <w:r w:rsidR="00701906" w:rsidRPr="009428E9">
        <w:rPr>
          <w:rFonts w:asciiTheme="majorHAnsi" w:eastAsiaTheme="majorEastAsia" w:hAnsiTheme="majorHAnsi" w:cstheme="majorBidi"/>
          <w:b/>
          <w:sz w:val="24"/>
          <w:szCs w:val="24"/>
        </w:rPr>
        <w:t>.</w:t>
      </w:r>
    </w:p>
    <w:p w:rsidR="00B46B67" w:rsidRPr="00165CD7" w:rsidRDefault="00B46B67" w:rsidP="00B46B67">
      <w:pPr>
        <w:jc w:val="both"/>
      </w:pPr>
      <w:r w:rsidRPr="002E1D0D">
        <w:rPr>
          <w:rFonts w:ascii="Arial Narrow" w:hAnsi="Arial Narrow" w:cstheme="minorHAnsi"/>
          <w:sz w:val="24"/>
          <w:szCs w:val="24"/>
        </w:rPr>
        <w:t>La Unidad para la Atención y Reparación Integral a las Víctimas adelantará este proceso de contratación bajo la modalidad de selección abreviada, de acuerdo con las disposiciones del literal h), numeral 2, del artículo 2 de la Ley 1150 de 2007, en concordancia con las del artículo 2.2.1.2.1.2.25 del Decreto 1082 de 2015.</w:t>
      </w:r>
    </w:p>
    <w:p w:rsidR="00B46B67" w:rsidRPr="002E1D0D" w:rsidRDefault="00B46B67" w:rsidP="00B46B67">
      <w:pPr>
        <w:jc w:val="both"/>
        <w:rPr>
          <w:rFonts w:ascii="Arial Narrow" w:hAnsi="Arial Narrow" w:cstheme="minorHAnsi"/>
          <w:sz w:val="24"/>
          <w:szCs w:val="24"/>
        </w:rPr>
      </w:pPr>
      <w:r w:rsidRPr="002E1D0D">
        <w:rPr>
          <w:rFonts w:ascii="Arial Narrow" w:hAnsi="Arial Narrow" w:cstheme="minorHAnsi"/>
          <w:sz w:val="24"/>
          <w:szCs w:val="24"/>
        </w:rPr>
        <w:t>De acuerdo con las disposiciones de la Ley 1150 de 2007, literal h), numeral 2, del artículo 2, pueden celebrarse bajo la modalidad de selección abreviada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rsidR="00B46B67" w:rsidRPr="002E1D0D" w:rsidRDefault="00B46B67" w:rsidP="00B46B67">
      <w:pPr>
        <w:jc w:val="both"/>
        <w:rPr>
          <w:rFonts w:ascii="Arial Narrow" w:hAnsi="Arial Narrow" w:cstheme="minorHAnsi"/>
          <w:sz w:val="24"/>
          <w:szCs w:val="24"/>
        </w:rPr>
      </w:pPr>
      <w:r w:rsidRPr="002E1D0D">
        <w:rPr>
          <w:rFonts w:ascii="Arial Narrow" w:hAnsi="Arial Narrow" w:cstheme="minorHAnsi"/>
          <w:sz w:val="24"/>
          <w:szCs w:val="24"/>
        </w:rPr>
        <w:t>Así mismo, el artículo 2.2.1.2.1.2.25, del Decreto 1082 de 2015, dispone que:</w:t>
      </w:r>
    </w:p>
    <w:p w:rsidR="00B46B67" w:rsidRPr="002E1D0D" w:rsidRDefault="00B46B67" w:rsidP="00B46B67">
      <w:pPr>
        <w:pStyle w:val="Prrafodelista"/>
        <w:ind w:left="360"/>
        <w:jc w:val="both"/>
        <w:rPr>
          <w:rFonts w:ascii="Arial Narrow" w:hAnsi="Arial Narrow"/>
          <w:sz w:val="24"/>
          <w:szCs w:val="24"/>
        </w:rPr>
      </w:pPr>
      <w:r w:rsidRPr="002E1D0D">
        <w:rPr>
          <w:rFonts w:ascii="Arial Narrow" w:hAnsi="Arial Narrow"/>
          <w:i/>
          <w:sz w:val="24"/>
          <w:szCs w:val="24"/>
        </w:rPr>
        <w:t>“(…) Las entidades estatales que tengan a su cargo la ejecución de los programas a los que se refiere el literal h) del numeral 2 del artículo 2° de la Ley 1150 de 2007 deben aplicar el procedimiento establecido para la selección abreviada de menor cuantía</w:t>
      </w:r>
      <w:r w:rsidRPr="002E1D0D">
        <w:rPr>
          <w:rFonts w:ascii="Arial Narrow" w:hAnsi="Arial Narrow"/>
          <w:sz w:val="24"/>
          <w:szCs w:val="24"/>
        </w:rPr>
        <w:t>”.</w:t>
      </w:r>
    </w:p>
    <w:p w:rsidR="006A0AA9" w:rsidRDefault="006A0AA9" w:rsidP="002E1D0D">
      <w:pPr>
        <w:jc w:val="both"/>
        <w:rPr>
          <w:rFonts w:ascii="Arial Narrow" w:hAnsi="Arial Narrow" w:cstheme="minorHAnsi"/>
          <w:sz w:val="24"/>
          <w:szCs w:val="24"/>
        </w:rPr>
      </w:pPr>
    </w:p>
    <w:p w:rsidR="006A0AA9" w:rsidRDefault="006A0AA9" w:rsidP="003F347E">
      <w:pPr>
        <w:pStyle w:val="Ttulo1"/>
        <w:rPr>
          <w:b/>
          <w:color w:val="auto"/>
          <w:sz w:val="24"/>
          <w:szCs w:val="24"/>
        </w:rPr>
      </w:pPr>
    </w:p>
    <w:p w:rsidR="00B46B67" w:rsidRPr="00E809A8" w:rsidRDefault="00B46B67" w:rsidP="00E809A8">
      <w:pPr>
        <w:jc w:val="both"/>
        <w:rPr>
          <w:rFonts w:ascii="Arial Narrow" w:hAnsi="Arial Narrow" w:cstheme="minorHAnsi"/>
          <w:sz w:val="24"/>
          <w:szCs w:val="24"/>
        </w:rPr>
      </w:pPr>
      <w:r w:rsidRPr="00E809A8">
        <w:rPr>
          <w:rFonts w:ascii="Arial Narrow" w:hAnsi="Arial Narrow" w:cstheme="minorHAnsi"/>
          <w:sz w:val="24"/>
          <w:szCs w:val="24"/>
        </w:rPr>
        <w:t>La presente contratación está dirigida al cumplimiento de exigencias legales establecidas en la Ley</w:t>
      </w:r>
      <w:r w:rsidR="006A0AA9" w:rsidRPr="006A0AA9">
        <w:rPr>
          <w:rFonts w:ascii="Arial Narrow" w:hAnsi="Arial Narrow" w:cstheme="minorHAnsi"/>
          <w:sz w:val="24"/>
          <w:szCs w:val="24"/>
        </w:rPr>
        <w:t xml:space="preserve"> 1408 de 2010 en su artículo 7º</w:t>
      </w:r>
      <w:r w:rsidRPr="00E809A8">
        <w:rPr>
          <w:rFonts w:ascii="Arial Narrow" w:hAnsi="Arial Narrow" w:cstheme="minorHAnsi"/>
          <w:sz w:val="24"/>
          <w:szCs w:val="24"/>
        </w:rPr>
        <w:t xml:space="preserve"> que</w:t>
      </w:r>
      <w:r w:rsidR="006A0AA9" w:rsidRPr="006A0AA9">
        <w:rPr>
          <w:rFonts w:ascii="Arial Narrow" w:hAnsi="Arial Narrow" w:cstheme="minorHAnsi"/>
          <w:sz w:val="24"/>
          <w:szCs w:val="24"/>
        </w:rPr>
        <w:t xml:space="preserve"> señala la entrega de recursos para gastos funerarios, de desplazamiento, hospedaje y alimentación durante todo el proceso de entrega de cuerpos o restos a los familiares de las víct</w:t>
      </w:r>
      <w:r w:rsidRPr="00E809A8">
        <w:rPr>
          <w:rFonts w:ascii="Arial Narrow" w:hAnsi="Arial Narrow" w:cstheme="minorHAnsi"/>
          <w:sz w:val="24"/>
          <w:szCs w:val="24"/>
        </w:rPr>
        <w:t>imas que resulten identificadas;</w:t>
      </w:r>
      <w:r w:rsidR="006A0AA9" w:rsidRPr="006A0AA9">
        <w:rPr>
          <w:rFonts w:ascii="Arial Narrow" w:hAnsi="Arial Narrow" w:cstheme="minorHAnsi"/>
          <w:sz w:val="24"/>
          <w:szCs w:val="24"/>
        </w:rPr>
        <w:t xml:space="preserve"> </w:t>
      </w:r>
      <w:r w:rsidRPr="00E809A8">
        <w:rPr>
          <w:rFonts w:ascii="Arial Narrow" w:hAnsi="Arial Narrow" w:cstheme="minorHAnsi"/>
          <w:sz w:val="24"/>
          <w:szCs w:val="24"/>
        </w:rPr>
        <w:t>l</w:t>
      </w:r>
      <w:r w:rsidR="006A0AA9" w:rsidRPr="006A0AA9">
        <w:rPr>
          <w:rFonts w:ascii="Arial Narrow" w:hAnsi="Arial Narrow" w:cstheme="minorHAnsi"/>
          <w:sz w:val="24"/>
          <w:szCs w:val="24"/>
        </w:rPr>
        <w:t xml:space="preserve">a Unidad para la Atención y Reparación Integral a las Víctimas asume las competencias a que hay lugar en esta materia. </w:t>
      </w:r>
    </w:p>
    <w:p w:rsidR="006A0AA9" w:rsidRPr="006A0AA9" w:rsidRDefault="006A0AA9" w:rsidP="00E809A8">
      <w:pPr>
        <w:jc w:val="both"/>
        <w:rPr>
          <w:rFonts w:ascii="Arial Narrow" w:hAnsi="Arial Narrow" w:cstheme="minorHAnsi"/>
          <w:sz w:val="24"/>
          <w:szCs w:val="24"/>
        </w:rPr>
      </w:pPr>
      <w:r w:rsidRPr="006A0AA9">
        <w:rPr>
          <w:rFonts w:ascii="Arial Narrow" w:hAnsi="Arial Narrow" w:cstheme="minorHAnsi"/>
          <w:sz w:val="24"/>
          <w:szCs w:val="24"/>
        </w:rPr>
        <w:t xml:space="preserve">Adicional a esto, el artículo 26 del Decreto 303 de 2015, mediante el cual se desarrolla la Ley 1408 de 2010, dispone que, cuando se trate del hecho </w:t>
      </w:r>
      <w:proofErr w:type="spellStart"/>
      <w:r w:rsidRPr="006A0AA9">
        <w:rPr>
          <w:rFonts w:ascii="Arial Narrow" w:hAnsi="Arial Narrow" w:cstheme="minorHAnsi"/>
          <w:sz w:val="24"/>
          <w:szCs w:val="24"/>
        </w:rPr>
        <w:t>victimizante</w:t>
      </w:r>
      <w:proofErr w:type="spellEnd"/>
      <w:r w:rsidRPr="006A0AA9">
        <w:rPr>
          <w:rFonts w:ascii="Arial Narrow" w:hAnsi="Arial Narrow" w:cstheme="minorHAnsi"/>
          <w:sz w:val="24"/>
          <w:szCs w:val="24"/>
        </w:rPr>
        <w:t xml:space="preserve"> de desaparición forzada, será LA UNIDAD la encargada de asignar el valor del apoyo económico de la asistencia funeraria en favor de los familiares de las víctimas.</w:t>
      </w:r>
    </w:p>
    <w:p w:rsidR="006A0AA9" w:rsidRPr="006A0AA9" w:rsidRDefault="006A0AA9" w:rsidP="00E809A8">
      <w:pPr>
        <w:jc w:val="both"/>
        <w:rPr>
          <w:rFonts w:ascii="Arial Narrow" w:hAnsi="Arial Narrow" w:cstheme="minorHAnsi"/>
          <w:sz w:val="24"/>
          <w:szCs w:val="24"/>
        </w:rPr>
      </w:pPr>
      <w:r w:rsidRPr="006A0AA9">
        <w:rPr>
          <w:rFonts w:ascii="Arial Narrow" w:hAnsi="Arial Narrow" w:cstheme="minorHAnsi"/>
          <w:sz w:val="24"/>
          <w:szCs w:val="24"/>
        </w:rPr>
        <w:t xml:space="preserve">De igual manera, el Decreto 589 de 2017, estableció en su artículo 5 numerales 4 y 5 que la Unidad para las Víctimas conservará su competencia respecto de lo establecido en el artículo 7 de la Ley 1408 de 2010, y </w:t>
      </w:r>
      <w:proofErr w:type="gramStart"/>
      <w:r w:rsidRPr="006A0AA9">
        <w:rPr>
          <w:rFonts w:ascii="Arial Narrow" w:hAnsi="Arial Narrow" w:cstheme="minorHAnsi"/>
          <w:sz w:val="24"/>
          <w:szCs w:val="24"/>
        </w:rPr>
        <w:t>el</w:t>
      </w:r>
      <w:proofErr w:type="gramEnd"/>
      <w:r w:rsidRPr="006A0AA9">
        <w:rPr>
          <w:rFonts w:ascii="Arial Narrow" w:hAnsi="Arial Narrow" w:cstheme="minorHAnsi"/>
          <w:sz w:val="24"/>
          <w:szCs w:val="24"/>
        </w:rPr>
        <w:t xml:space="preserve"> literal i del artículo 139 de la Ley 1448 de 2011. De igual manera lo establecido en el artículo 135 de la Ley 1448 de 2011, el capítulo 4 del título VII del Decreto 4800 de 2011 y el artículo 8 de la Ley 1408 de 2010.</w:t>
      </w:r>
    </w:p>
    <w:p w:rsidR="006A0AA9" w:rsidRPr="006A0AA9" w:rsidRDefault="006A0AA9" w:rsidP="00E809A8">
      <w:pPr>
        <w:jc w:val="both"/>
        <w:rPr>
          <w:rFonts w:ascii="Arial Narrow" w:hAnsi="Arial Narrow" w:cstheme="minorHAnsi"/>
          <w:sz w:val="24"/>
          <w:szCs w:val="24"/>
        </w:rPr>
      </w:pPr>
      <w:r w:rsidRPr="006A0AA9">
        <w:rPr>
          <w:rFonts w:ascii="Arial Narrow" w:hAnsi="Arial Narrow" w:cstheme="minorHAnsi"/>
          <w:sz w:val="24"/>
          <w:szCs w:val="24"/>
        </w:rPr>
        <w:t xml:space="preserve">En razón de lo dispuesto por las normas citadas, la Subdirección de Asistencia y Atención Humanitaria diseña, implementa y ejecuta competencias de LA UNIDAD, en materia de asistencia funeraria, asegurando a la vez el permanente acompañamiento a los familiares de las víctimas durante todo el proceso de entrega y/o búsqueda de cuerpos o restos humanos que adelanta la Autoridad judicial competente, garantizar servicios de transporte desde su lugar de residencia hasta el lugar de la diligencia, internos en el lugar de la diligencia y hasta el lugar de la inhumación, alojamiento y alimentación. </w:t>
      </w:r>
    </w:p>
    <w:p w:rsidR="006A0AA9" w:rsidRPr="006A0AA9" w:rsidRDefault="006A0AA9" w:rsidP="00E809A8">
      <w:pPr>
        <w:jc w:val="both"/>
        <w:rPr>
          <w:rFonts w:ascii="Arial Narrow" w:hAnsi="Arial Narrow" w:cstheme="minorHAnsi"/>
          <w:sz w:val="24"/>
          <w:szCs w:val="24"/>
        </w:rPr>
      </w:pPr>
      <w:r w:rsidRPr="006A0AA9">
        <w:rPr>
          <w:rFonts w:ascii="Arial Narrow" w:hAnsi="Arial Narrow" w:cstheme="minorHAnsi"/>
          <w:sz w:val="24"/>
          <w:szCs w:val="24"/>
        </w:rPr>
        <w:t>Se pretende en consecuencia, además de cumplir con los imperativos legales que le imponen a LA UNIDAD, entregar un apoyo económico que le permita a los familiares de las víctimas de desaparición forzada, asistir a los procesos de entrega de cuerpos o restos humanos, y darle a este proceso un enfoque humanitario, procurando que se constituya también en una medida de satisfacción, a partir del reconocimiento público de la condición de víctima, de su dignificación y de la conclusión definitiva de la espera que durante años las familias han tenido que enfrentar.</w:t>
      </w:r>
    </w:p>
    <w:p w:rsidR="00FA550E" w:rsidRPr="009428E9" w:rsidRDefault="00E873FE" w:rsidP="003F347E">
      <w:pPr>
        <w:pStyle w:val="Ttulo1"/>
        <w:rPr>
          <w:b/>
          <w:color w:val="auto"/>
          <w:sz w:val="24"/>
          <w:szCs w:val="24"/>
        </w:rPr>
      </w:pPr>
      <w:r w:rsidRPr="009428E9">
        <w:rPr>
          <w:b/>
          <w:color w:val="auto"/>
          <w:sz w:val="24"/>
          <w:szCs w:val="24"/>
        </w:rPr>
        <w:t>PLAZO DEL CONTRATO</w:t>
      </w:r>
    </w:p>
    <w:p w:rsidR="00BC4142" w:rsidRPr="00BC4142" w:rsidRDefault="00BC4142" w:rsidP="00BC4142">
      <w:pPr>
        <w:autoSpaceDE w:val="0"/>
        <w:autoSpaceDN w:val="0"/>
        <w:adjustRightInd w:val="0"/>
        <w:jc w:val="both"/>
        <w:rPr>
          <w:rFonts w:ascii="Arial Narrow" w:hAnsi="Arial Narrow" w:cstheme="minorHAnsi"/>
          <w:sz w:val="24"/>
          <w:szCs w:val="24"/>
        </w:rPr>
      </w:pPr>
      <w:r w:rsidRPr="00BC4142">
        <w:rPr>
          <w:rFonts w:ascii="Arial Narrow" w:hAnsi="Arial Narrow" w:cstheme="minorHAnsi"/>
          <w:sz w:val="24"/>
          <w:szCs w:val="24"/>
        </w:rPr>
        <w:t>El contrato se ejecutará a partir del cumplimiento de los requisitos de perfeccion</w:t>
      </w:r>
      <w:r w:rsidR="00DD5C8E">
        <w:rPr>
          <w:rFonts w:ascii="Arial Narrow" w:hAnsi="Arial Narrow" w:cstheme="minorHAnsi"/>
          <w:sz w:val="24"/>
          <w:szCs w:val="24"/>
        </w:rPr>
        <w:t>a</w:t>
      </w:r>
      <w:r w:rsidR="00B46B67">
        <w:rPr>
          <w:rFonts w:ascii="Arial Narrow" w:hAnsi="Arial Narrow" w:cstheme="minorHAnsi"/>
          <w:sz w:val="24"/>
          <w:szCs w:val="24"/>
        </w:rPr>
        <w:t>miento y ejecución y hasta el 8</w:t>
      </w:r>
      <w:r w:rsidRPr="00BC4142">
        <w:rPr>
          <w:rFonts w:ascii="Arial Narrow" w:hAnsi="Arial Narrow" w:cstheme="minorHAnsi"/>
          <w:sz w:val="24"/>
          <w:szCs w:val="24"/>
        </w:rPr>
        <w:t xml:space="preserve"> de diciembre de 2018 o hasta agotar los recursos del contrato, lo que ocurra primero.</w:t>
      </w:r>
    </w:p>
    <w:p w:rsidR="00E809A8" w:rsidRDefault="00E809A8" w:rsidP="003651B4">
      <w:pPr>
        <w:pStyle w:val="Ttulo1"/>
        <w:jc w:val="both"/>
        <w:rPr>
          <w:b/>
          <w:color w:val="auto"/>
          <w:sz w:val="24"/>
          <w:szCs w:val="24"/>
        </w:rPr>
      </w:pPr>
    </w:p>
    <w:p w:rsidR="00E873FE" w:rsidRPr="009428E9" w:rsidRDefault="00E873FE" w:rsidP="003651B4">
      <w:pPr>
        <w:pStyle w:val="Ttulo1"/>
        <w:jc w:val="both"/>
        <w:rPr>
          <w:b/>
          <w:color w:val="auto"/>
          <w:sz w:val="24"/>
          <w:szCs w:val="24"/>
        </w:rPr>
      </w:pPr>
      <w:r w:rsidRPr="009428E9">
        <w:rPr>
          <w:b/>
          <w:color w:val="auto"/>
          <w:sz w:val="24"/>
          <w:szCs w:val="24"/>
        </w:rPr>
        <w:t>FECHA LÍMITE DE PRESENTACIÓN DE LAS OFERTAS, LUGAR Y FORMA DE PRESENTACIÓN DE LAS MISMAS</w:t>
      </w:r>
      <w:r w:rsidR="001F74B7" w:rsidRPr="009428E9">
        <w:rPr>
          <w:b/>
          <w:color w:val="auto"/>
          <w:sz w:val="24"/>
          <w:szCs w:val="24"/>
        </w:rPr>
        <w:t>.</w:t>
      </w:r>
    </w:p>
    <w:p w:rsidR="00E873FE" w:rsidRPr="00BC4142" w:rsidRDefault="00E873FE" w:rsidP="0048774D">
      <w:pPr>
        <w:pStyle w:val="Sinespaciado"/>
        <w:jc w:val="both"/>
        <w:rPr>
          <w:rFonts w:ascii="Arial Narrow" w:hAnsi="Arial Narrow" w:cstheme="minorHAnsi"/>
          <w:sz w:val="24"/>
          <w:szCs w:val="24"/>
        </w:rPr>
      </w:pPr>
      <w:r w:rsidRPr="00BC4142">
        <w:rPr>
          <w:rFonts w:ascii="Arial Narrow" w:hAnsi="Arial Narrow" w:cstheme="minorHAnsi"/>
          <w:b/>
          <w:sz w:val="24"/>
          <w:szCs w:val="24"/>
        </w:rPr>
        <w:t>Fecha aproximada:</w:t>
      </w:r>
      <w:r w:rsidRPr="00BC4142">
        <w:rPr>
          <w:rFonts w:ascii="Arial Narrow" w:hAnsi="Arial Narrow" w:cstheme="minorHAnsi"/>
          <w:sz w:val="24"/>
          <w:szCs w:val="24"/>
        </w:rPr>
        <w:t xml:space="preserve"> </w:t>
      </w:r>
      <w:r w:rsidR="00C7299F">
        <w:rPr>
          <w:rFonts w:ascii="Arial Narrow" w:hAnsi="Arial Narrow" w:cstheme="minorHAnsi"/>
          <w:sz w:val="24"/>
          <w:szCs w:val="24"/>
        </w:rPr>
        <w:t>27</w:t>
      </w:r>
      <w:r w:rsidR="001708C5">
        <w:rPr>
          <w:rFonts w:ascii="Arial Narrow" w:hAnsi="Arial Narrow" w:cstheme="minorHAnsi"/>
          <w:sz w:val="24"/>
          <w:szCs w:val="24"/>
        </w:rPr>
        <w:t xml:space="preserve"> abril</w:t>
      </w:r>
      <w:r w:rsidR="00BC4142" w:rsidRPr="00BC4142">
        <w:rPr>
          <w:rFonts w:ascii="Arial Narrow" w:hAnsi="Arial Narrow" w:cstheme="minorHAnsi"/>
          <w:sz w:val="24"/>
          <w:szCs w:val="24"/>
        </w:rPr>
        <w:t xml:space="preserve"> de 2018.</w:t>
      </w:r>
    </w:p>
    <w:p w:rsidR="00E873FE" w:rsidRPr="00BC4142" w:rsidRDefault="00E873FE" w:rsidP="0048774D">
      <w:pPr>
        <w:pStyle w:val="Sinespaciado"/>
        <w:jc w:val="both"/>
        <w:rPr>
          <w:rFonts w:ascii="Arial Narrow" w:hAnsi="Arial Narrow" w:cstheme="minorHAnsi"/>
          <w:sz w:val="24"/>
          <w:szCs w:val="24"/>
        </w:rPr>
      </w:pPr>
      <w:r w:rsidRPr="00BC4142">
        <w:rPr>
          <w:rFonts w:ascii="Arial Narrow" w:hAnsi="Arial Narrow" w:cstheme="minorHAnsi"/>
          <w:b/>
          <w:sz w:val="24"/>
          <w:szCs w:val="24"/>
        </w:rPr>
        <w:t>Hora:</w:t>
      </w:r>
      <w:r w:rsidRPr="00BC4142">
        <w:rPr>
          <w:rFonts w:ascii="Arial Narrow" w:hAnsi="Arial Narrow" w:cstheme="minorHAnsi"/>
          <w:sz w:val="24"/>
          <w:szCs w:val="24"/>
        </w:rPr>
        <w:t xml:space="preserve"> </w:t>
      </w:r>
      <w:r w:rsidR="00C7299F">
        <w:rPr>
          <w:rFonts w:ascii="Arial Narrow" w:hAnsi="Arial Narrow" w:cstheme="minorHAnsi"/>
          <w:sz w:val="24"/>
          <w:szCs w:val="24"/>
        </w:rPr>
        <w:t>7</w:t>
      </w:r>
      <w:r w:rsidR="00701906" w:rsidRPr="00BC4142">
        <w:rPr>
          <w:rFonts w:ascii="Arial Narrow" w:hAnsi="Arial Narrow" w:cstheme="minorHAnsi"/>
          <w:sz w:val="24"/>
          <w:szCs w:val="24"/>
        </w:rPr>
        <w:t xml:space="preserve">:00 </w:t>
      </w:r>
      <w:r w:rsidR="001500F6">
        <w:rPr>
          <w:rFonts w:ascii="Arial Narrow" w:hAnsi="Arial Narrow" w:cstheme="minorHAnsi"/>
          <w:sz w:val="24"/>
          <w:szCs w:val="24"/>
        </w:rPr>
        <w:t>p</w:t>
      </w:r>
      <w:r w:rsidR="00701906" w:rsidRPr="00BC4142">
        <w:rPr>
          <w:rFonts w:ascii="Arial Narrow" w:hAnsi="Arial Narrow" w:cstheme="minorHAnsi"/>
          <w:sz w:val="24"/>
          <w:szCs w:val="24"/>
        </w:rPr>
        <w:t>.m.</w:t>
      </w:r>
    </w:p>
    <w:p w:rsidR="00797867" w:rsidRPr="00F90D94" w:rsidRDefault="00E873FE" w:rsidP="0048774D">
      <w:pPr>
        <w:pStyle w:val="Sinespaciado"/>
        <w:jc w:val="both"/>
        <w:rPr>
          <w:rFonts w:ascii="Arial Narrow" w:hAnsi="Arial Narrow"/>
          <w:sz w:val="24"/>
          <w:szCs w:val="24"/>
        </w:rPr>
      </w:pPr>
      <w:r w:rsidRPr="00BC4142">
        <w:rPr>
          <w:rFonts w:ascii="Arial Narrow" w:hAnsi="Arial Narrow" w:cstheme="minorHAnsi"/>
          <w:b/>
          <w:sz w:val="24"/>
          <w:szCs w:val="24"/>
        </w:rPr>
        <w:t>Lugar</w:t>
      </w:r>
      <w:r w:rsidR="00BC4142" w:rsidRPr="00BC4142">
        <w:rPr>
          <w:rFonts w:ascii="Arial Narrow" w:hAnsi="Arial Narrow" w:cstheme="minorHAnsi"/>
          <w:b/>
          <w:sz w:val="24"/>
          <w:szCs w:val="24"/>
        </w:rPr>
        <w:t>:</w:t>
      </w:r>
      <w:r w:rsidR="00BC4142">
        <w:t xml:space="preserve"> Los proponentes deberán presentar su oferta, a través del SECOP II </w:t>
      </w:r>
      <w:hyperlink r:id="rId9" w:history="1">
        <w:r w:rsidR="00BC4142" w:rsidRPr="000D3061">
          <w:rPr>
            <w:rStyle w:val="Hipervnculo"/>
          </w:rPr>
          <w:t>https://community.secop.gov.co/STS/Users/Login/Index?SkinName=CCE</w:t>
        </w:r>
      </w:hyperlink>
      <w:r w:rsidRPr="00F90D94">
        <w:rPr>
          <w:rFonts w:ascii="Arial Narrow" w:hAnsi="Arial Narrow"/>
          <w:sz w:val="24"/>
          <w:szCs w:val="24"/>
        </w:rPr>
        <w:t>.</w:t>
      </w:r>
      <w:r w:rsidR="00BC4142">
        <w:rPr>
          <w:rFonts w:ascii="Arial Narrow" w:hAnsi="Arial Narrow"/>
          <w:sz w:val="24"/>
          <w:szCs w:val="24"/>
        </w:rPr>
        <w:t xml:space="preserve"> </w:t>
      </w:r>
      <w:r w:rsidRPr="00F90D94">
        <w:rPr>
          <w:rFonts w:ascii="Arial Narrow" w:hAnsi="Arial Narrow"/>
          <w:sz w:val="24"/>
          <w:szCs w:val="24"/>
        </w:rPr>
        <w:t xml:space="preserve">Las ofertas </w:t>
      </w:r>
      <w:r w:rsidR="00BA76F2" w:rsidRPr="00F90D94">
        <w:rPr>
          <w:rFonts w:ascii="Arial Narrow" w:hAnsi="Arial Narrow"/>
          <w:sz w:val="24"/>
          <w:szCs w:val="24"/>
        </w:rPr>
        <w:t>deben ser</w:t>
      </w:r>
      <w:r w:rsidRPr="00F90D94">
        <w:rPr>
          <w:rFonts w:ascii="Arial Narrow" w:hAnsi="Arial Narrow"/>
          <w:sz w:val="24"/>
          <w:szCs w:val="24"/>
        </w:rPr>
        <w:t xml:space="preserve"> presentadas de conformidad con lo señalado </w:t>
      </w:r>
      <w:r w:rsidR="00836CB5" w:rsidRPr="00F90D94">
        <w:rPr>
          <w:rFonts w:ascii="Arial Narrow" w:hAnsi="Arial Narrow"/>
          <w:sz w:val="24"/>
          <w:szCs w:val="24"/>
        </w:rPr>
        <w:t>en el</w:t>
      </w:r>
      <w:r w:rsidRPr="00F90D94">
        <w:rPr>
          <w:rFonts w:ascii="Arial Narrow" w:hAnsi="Arial Narrow"/>
          <w:sz w:val="24"/>
          <w:szCs w:val="24"/>
        </w:rPr>
        <w:t xml:space="preserve"> pliego de condiciones</w:t>
      </w:r>
      <w:r w:rsidR="009B711A" w:rsidRPr="00F90D94">
        <w:rPr>
          <w:rFonts w:ascii="Arial Narrow" w:hAnsi="Arial Narrow"/>
          <w:sz w:val="24"/>
          <w:szCs w:val="24"/>
        </w:rPr>
        <w:t>.</w:t>
      </w:r>
    </w:p>
    <w:p w:rsidR="00E873FE" w:rsidRPr="009428E9" w:rsidRDefault="00E873FE" w:rsidP="003651B4">
      <w:pPr>
        <w:pStyle w:val="Ttulo1"/>
        <w:jc w:val="both"/>
        <w:rPr>
          <w:b/>
          <w:color w:val="auto"/>
          <w:sz w:val="24"/>
          <w:szCs w:val="24"/>
        </w:rPr>
      </w:pPr>
      <w:r w:rsidRPr="009428E9">
        <w:rPr>
          <w:b/>
          <w:color w:val="auto"/>
          <w:sz w:val="24"/>
          <w:szCs w:val="24"/>
        </w:rPr>
        <w:t>EL VALOR ESTIMADO DEL CONTRATO Y DISPONIBILIDAD PRESUPUESTAL</w:t>
      </w:r>
    </w:p>
    <w:p w:rsidR="00B46B67" w:rsidRPr="00E809A8" w:rsidRDefault="002F0638" w:rsidP="003651B4">
      <w:pPr>
        <w:pStyle w:val="Ttulo1"/>
        <w:jc w:val="both"/>
        <w:rPr>
          <w:rFonts w:ascii="Arial Narrow" w:eastAsiaTheme="minorHAnsi" w:hAnsi="Arial Narrow" w:cstheme="minorHAnsi"/>
          <w:b/>
          <w:color w:val="auto"/>
          <w:sz w:val="24"/>
          <w:szCs w:val="24"/>
        </w:rPr>
      </w:pPr>
      <w:r w:rsidRPr="00E809A8">
        <w:rPr>
          <w:rFonts w:ascii="Arial Narrow" w:eastAsiaTheme="minorHAnsi" w:hAnsi="Arial Narrow" w:cstheme="minorHAnsi"/>
          <w:b/>
          <w:color w:val="auto"/>
          <w:sz w:val="24"/>
          <w:szCs w:val="24"/>
        </w:rPr>
        <w:t>5.1 Definición de presupuesto</w:t>
      </w:r>
    </w:p>
    <w:p w:rsidR="00FB4F16" w:rsidRPr="00E809A8" w:rsidRDefault="00FB4F16" w:rsidP="002F0638">
      <w:pPr>
        <w:jc w:val="both"/>
        <w:rPr>
          <w:rFonts w:ascii="Arial Narrow" w:hAnsi="Arial Narrow" w:cstheme="minorHAnsi"/>
          <w:b/>
          <w:sz w:val="24"/>
          <w:szCs w:val="24"/>
        </w:rPr>
      </w:pPr>
    </w:p>
    <w:p w:rsidR="002F0638" w:rsidRPr="00E809A8" w:rsidRDefault="002F0638" w:rsidP="002F0638">
      <w:pPr>
        <w:jc w:val="both"/>
        <w:rPr>
          <w:rFonts w:ascii="Arial Narrow" w:hAnsi="Arial Narrow" w:cstheme="minorHAnsi"/>
          <w:sz w:val="24"/>
          <w:szCs w:val="24"/>
        </w:rPr>
      </w:pPr>
      <w:r w:rsidRPr="00E809A8">
        <w:rPr>
          <w:rFonts w:ascii="Arial Narrow" w:hAnsi="Arial Narrow" w:cstheme="minorHAnsi"/>
          <w:sz w:val="24"/>
          <w:szCs w:val="24"/>
        </w:rPr>
        <w:t xml:space="preserve">El presupuesto oficial para el presente proceso es hasta por la suma </w:t>
      </w:r>
      <w:r w:rsidRPr="00E809A8">
        <w:rPr>
          <w:rFonts w:ascii="Arial Narrow" w:hAnsi="Arial Narrow" w:cstheme="minorHAnsi"/>
          <w:b/>
          <w:sz w:val="24"/>
          <w:szCs w:val="24"/>
        </w:rPr>
        <w:t xml:space="preserve">de </w:t>
      </w:r>
      <w:r w:rsidR="00B46B67" w:rsidRPr="00E809A8">
        <w:rPr>
          <w:rFonts w:ascii="Arial Narrow" w:hAnsi="Arial Narrow" w:cstheme="minorHAnsi"/>
          <w:b/>
          <w:sz w:val="24"/>
          <w:szCs w:val="24"/>
        </w:rPr>
        <w:t>CUATRO MIL SETECIENTOS NOVENTA Y SEIS MILLONES CUATROCIENTOS DIEZ M</w:t>
      </w:r>
      <w:r w:rsidRPr="00E809A8">
        <w:rPr>
          <w:rFonts w:ascii="Arial Narrow" w:hAnsi="Arial Narrow" w:cstheme="minorHAnsi"/>
          <w:b/>
          <w:sz w:val="24"/>
          <w:szCs w:val="24"/>
        </w:rPr>
        <w:t xml:space="preserve">IL PESOS M/CTE </w:t>
      </w:r>
      <w:r w:rsidR="00E809A8">
        <w:rPr>
          <w:rFonts w:ascii="Arial Narrow" w:hAnsi="Arial Narrow" w:cstheme="minorHAnsi"/>
          <w:b/>
          <w:sz w:val="24"/>
          <w:szCs w:val="24"/>
        </w:rPr>
        <w:t>(</w:t>
      </w:r>
      <w:r w:rsidRPr="00E809A8">
        <w:rPr>
          <w:rFonts w:ascii="Arial Narrow" w:hAnsi="Arial Narrow" w:cstheme="minorHAnsi"/>
          <w:b/>
          <w:sz w:val="24"/>
          <w:szCs w:val="24"/>
        </w:rPr>
        <w:t>$4.796.410.000)</w:t>
      </w:r>
      <w:r w:rsidRPr="00E809A8">
        <w:rPr>
          <w:rFonts w:ascii="Arial Narrow" w:hAnsi="Arial Narrow" w:cstheme="minorHAnsi"/>
          <w:sz w:val="24"/>
          <w:szCs w:val="24"/>
        </w:rPr>
        <w:t>, incluidos todos los impuestos de ley, costos directos e indirectos, y todos los demás requeridos para garantizar el cumplimiento del objeto y obligaciones del contrato.</w:t>
      </w:r>
    </w:p>
    <w:p w:rsidR="002F0638" w:rsidRPr="00E809A8" w:rsidRDefault="002F0638" w:rsidP="002F0638">
      <w:pPr>
        <w:jc w:val="both"/>
        <w:rPr>
          <w:rFonts w:ascii="Arial Narrow" w:hAnsi="Arial Narrow" w:cstheme="minorHAnsi"/>
          <w:b/>
          <w:sz w:val="24"/>
          <w:szCs w:val="24"/>
        </w:rPr>
      </w:pPr>
      <w:r w:rsidRPr="00E809A8">
        <w:rPr>
          <w:rFonts w:ascii="Arial Narrow" w:hAnsi="Arial Narrow" w:cstheme="minorHAnsi"/>
          <w:b/>
          <w:sz w:val="24"/>
          <w:szCs w:val="24"/>
        </w:rPr>
        <w:t>5.2. Imputación presupuestal</w:t>
      </w:r>
    </w:p>
    <w:p w:rsidR="00B46B67" w:rsidRPr="00B46B67" w:rsidRDefault="00B46B67" w:rsidP="00B46B67">
      <w:pPr>
        <w:spacing w:after="0" w:line="240" w:lineRule="auto"/>
        <w:jc w:val="both"/>
        <w:rPr>
          <w:rFonts w:ascii="Arial Narrow" w:hAnsi="Arial Narrow" w:cstheme="minorHAnsi"/>
          <w:sz w:val="24"/>
          <w:szCs w:val="24"/>
        </w:rPr>
      </w:pPr>
      <w:r w:rsidRPr="00B46B67">
        <w:rPr>
          <w:rFonts w:ascii="Arial Narrow" w:hAnsi="Arial Narrow" w:cstheme="minorHAnsi"/>
          <w:sz w:val="24"/>
          <w:szCs w:val="24"/>
        </w:rPr>
        <w:t xml:space="preserve">Para respaldar el presentar proceso de selección, la Entidad cuenta con el certificado de disponibilidad presupuestal número 5918, del 05 de enero de 2018, expedido por el Grupo de Gestión Financiera y Contable de LA UNIDAD; </w:t>
      </w:r>
      <w:r w:rsidRPr="00B46B67">
        <w:rPr>
          <w:rFonts w:ascii="Arial Narrow" w:hAnsi="Arial Narrow" w:cstheme="minorHAnsi"/>
          <w:b/>
          <w:sz w:val="24"/>
          <w:szCs w:val="24"/>
        </w:rPr>
        <w:t>Rubro C-4101-1500-17-0-31 SERVICIO DE ASISTENCIA FUNERARIA</w:t>
      </w:r>
      <w:r w:rsidRPr="00B46B67">
        <w:rPr>
          <w:rFonts w:ascii="Arial Narrow" w:hAnsi="Arial Narrow" w:cstheme="minorHAnsi"/>
          <w:sz w:val="24"/>
          <w:szCs w:val="24"/>
        </w:rPr>
        <w:t xml:space="preserve">, </w:t>
      </w:r>
      <w:r w:rsidRPr="00B46B67">
        <w:rPr>
          <w:rFonts w:ascii="Arial Narrow" w:hAnsi="Arial Narrow" w:cstheme="minorHAnsi"/>
          <w:b/>
          <w:sz w:val="24"/>
          <w:szCs w:val="24"/>
        </w:rPr>
        <w:t>recurso 11</w:t>
      </w:r>
      <w:r w:rsidRPr="00B46B67">
        <w:rPr>
          <w:rFonts w:ascii="Arial Narrow" w:hAnsi="Arial Narrow" w:cstheme="minorHAnsi"/>
          <w:sz w:val="24"/>
          <w:szCs w:val="24"/>
        </w:rPr>
        <w:t xml:space="preserve">, por valor de </w:t>
      </w:r>
      <w:r w:rsidRPr="00B46B67">
        <w:rPr>
          <w:rFonts w:ascii="Arial Narrow" w:hAnsi="Arial Narrow" w:cstheme="minorHAnsi"/>
          <w:b/>
          <w:sz w:val="24"/>
          <w:szCs w:val="24"/>
        </w:rPr>
        <w:t xml:space="preserve">CUATRO MIL SETECIENTOS NOVENTA Y SEIS MILLONES QUINIENTOS VEINTISEIS MIL TRESCIENTOS SESENTA PESOS M/CTE $ </w:t>
      </w:r>
      <w:r w:rsidR="00E809A8">
        <w:rPr>
          <w:rFonts w:ascii="Arial Narrow" w:hAnsi="Arial Narrow" w:cstheme="minorHAnsi"/>
          <w:b/>
          <w:sz w:val="24"/>
          <w:szCs w:val="24"/>
        </w:rPr>
        <w:t>(</w:t>
      </w:r>
      <w:r w:rsidRPr="00B46B67">
        <w:rPr>
          <w:rFonts w:ascii="Arial Narrow" w:hAnsi="Arial Narrow" w:cstheme="minorHAnsi"/>
          <w:b/>
          <w:sz w:val="24"/>
          <w:szCs w:val="24"/>
        </w:rPr>
        <w:t>4.796.526.360)</w:t>
      </w:r>
      <w:r w:rsidRPr="00B46B67">
        <w:rPr>
          <w:rFonts w:ascii="Arial Narrow" w:hAnsi="Arial Narrow" w:cstheme="minorHAnsi"/>
          <w:sz w:val="24"/>
          <w:szCs w:val="24"/>
        </w:rPr>
        <w:t xml:space="preserve">.     </w:t>
      </w:r>
    </w:p>
    <w:p w:rsidR="00E873FE" w:rsidRPr="009428E9" w:rsidRDefault="00E873FE" w:rsidP="003651B4">
      <w:pPr>
        <w:pStyle w:val="Ttulo1"/>
        <w:jc w:val="both"/>
        <w:rPr>
          <w:b/>
          <w:color w:val="auto"/>
          <w:sz w:val="24"/>
          <w:szCs w:val="24"/>
        </w:rPr>
      </w:pPr>
      <w:r w:rsidRPr="009428E9">
        <w:rPr>
          <w:b/>
          <w:color w:val="auto"/>
          <w:sz w:val="24"/>
          <w:szCs w:val="24"/>
        </w:rPr>
        <w:t>ACUERDOS INTERNACIONALES O TRATADOS DE LIBRE COMERCIO VIGENTES</w:t>
      </w:r>
    </w:p>
    <w:p w:rsidR="00FB4F16" w:rsidRDefault="00FB4F16" w:rsidP="00E23A50">
      <w:pPr>
        <w:contextualSpacing/>
        <w:jc w:val="both"/>
        <w:rPr>
          <w:rFonts w:ascii="Arial Narrow" w:hAnsi="Arial Narrow" w:cs="Arial"/>
          <w:sz w:val="24"/>
          <w:szCs w:val="24"/>
        </w:rPr>
      </w:pPr>
    </w:p>
    <w:p w:rsidR="00E23A50" w:rsidRPr="00E23A50" w:rsidRDefault="00E23A50" w:rsidP="00E23A50">
      <w:pPr>
        <w:contextualSpacing/>
        <w:jc w:val="both"/>
        <w:rPr>
          <w:rFonts w:ascii="Arial Narrow" w:hAnsi="Arial Narrow" w:cs="Arial"/>
          <w:sz w:val="24"/>
          <w:szCs w:val="24"/>
        </w:rPr>
      </w:pPr>
      <w:r w:rsidRPr="00E23A50">
        <w:rPr>
          <w:rFonts w:ascii="Arial Narrow" w:hAnsi="Arial Narrow" w:cs="Arial"/>
          <w:sz w:val="24"/>
          <w:szCs w:val="24"/>
        </w:rPr>
        <w:t>De conformidad con el documento “</w:t>
      </w:r>
      <w:r w:rsidRPr="00E23A50">
        <w:rPr>
          <w:rFonts w:ascii="Arial Narrow" w:hAnsi="Arial Narrow" w:cs="Arial"/>
          <w:i/>
          <w:sz w:val="24"/>
          <w:szCs w:val="24"/>
        </w:rPr>
        <w:t>Manual para el Manejo de los Acuerdos Comerciales en Procesos de Contratación</w:t>
      </w:r>
      <w:r>
        <w:rPr>
          <w:rFonts w:ascii="Arial Narrow" w:hAnsi="Arial Narrow" w:cs="Arial"/>
          <w:sz w:val="24"/>
          <w:szCs w:val="24"/>
        </w:rPr>
        <w:t>”</w:t>
      </w:r>
      <w:r w:rsidRPr="00E23A50">
        <w:rPr>
          <w:rFonts w:ascii="Arial Narrow" w:hAnsi="Arial Narrow" w:cs="Arial"/>
          <w:sz w:val="24"/>
          <w:szCs w:val="24"/>
        </w:rPr>
        <w:t xml:space="preserve"> Versión M-MACPC-12, expedido por Colombia Compra Eficiente, no todas las contrataciones de las Entidades Públicas sujetas al Estatuto General de Contratación lo están también a las obligaciones derivadas de los Acuerdos Comerciales.</w:t>
      </w:r>
      <w:r w:rsidRPr="00E23A50">
        <w:rPr>
          <w:rFonts w:ascii="Arial" w:hAnsi="Arial" w:cs="Arial"/>
          <w:color w:val="000000"/>
          <w:shd w:val="clear" w:color="auto" w:fill="FFFFFF"/>
        </w:rPr>
        <w:t xml:space="preserve"> </w:t>
      </w:r>
    </w:p>
    <w:p w:rsidR="00E23A50" w:rsidRPr="00E23A50" w:rsidRDefault="00E23A50" w:rsidP="00E23A50">
      <w:pPr>
        <w:contextualSpacing/>
        <w:jc w:val="both"/>
        <w:rPr>
          <w:rFonts w:ascii="Arial Narrow" w:hAnsi="Arial Narrow" w:cs="Arial"/>
          <w:sz w:val="24"/>
          <w:szCs w:val="24"/>
        </w:rPr>
      </w:pPr>
      <w:r w:rsidRPr="00E23A50">
        <w:rPr>
          <w:rFonts w:ascii="Arial Narrow" w:hAnsi="Arial Narrow" w:cs="Arial"/>
          <w:sz w:val="24"/>
          <w:szCs w:val="24"/>
        </w:rPr>
        <w:t xml:space="preserve"> </w:t>
      </w:r>
    </w:p>
    <w:p w:rsidR="00E23A50" w:rsidRPr="00E23A50" w:rsidRDefault="00E23A50" w:rsidP="00E23A50">
      <w:pPr>
        <w:contextualSpacing/>
        <w:jc w:val="both"/>
        <w:rPr>
          <w:rFonts w:ascii="Arial Narrow" w:hAnsi="Arial Narrow" w:cs="Arial"/>
          <w:sz w:val="24"/>
          <w:szCs w:val="24"/>
        </w:rPr>
      </w:pPr>
      <w:r w:rsidRPr="00E23A50">
        <w:rPr>
          <w:rFonts w:ascii="Arial Narrow" w:hAnsi="Arial Narrow" w:cs="Arial"/>
          <w:sz w:val="24"/>
          <w:szCs w:val="24"/>
        </w:rPr>
        <w:t xml:space="preserve">Para que una determinada contratación pública esté cubierta bajo las obligaciones de tales Acuerdos es necesario que: (i) la entidad pública que realice la contratación se encuentre en los listados de entidades cubiertas; (ii) que se superen los montos mínimos para que las normas de contratación </w:t>
      </w:r>
      <w:r w:rsidRPr="00E23A50">
        <w:rPr>
          <w:rFonts w:ascii="Arial Narrow" w:hAnsi="Arial Narrow" w:cs="Arial"/>
          <w:sz w:val="24"/>
          <w:szCs w:val="24"/>
        </w:rPr>
        <w:lastRenderedPageBreak/>
        <w:t>pública del capítulo sean aplicables, y (iii) que la contratación no se encuentre cubierta bajo alguna excepción.</w:t>
      </w:r>
    </w:p>
    <w:p w:rsidR="00E23A50" w:rsidRPr="00E23A50" w:rsidRDefault="00E23A50" w:rsidP="00E23A50">
      <w:pPr>
        <w:contextualSpacing/>
        <w:jc w:val="both"/>
        <w:rPr>
          <w:rFonts w:ascii="Arial Narrow" w:hAnsi="Arial Narrow" w:cs="Arial"/>
          <w:sz w:val="24"/>
          <w:szCs w:val="24"/>
        </w:rPr>
      </w:pPr>
      <w:r w:rsidRPr="00E23A50">
        <w:rPr>
          <w:rFonts w:ascii="Arial Narrow" w:hAnsi="Arial Narrow" w:cs="Arial"/>
          <w:sz w:val="24"/>
          <w:szCs w:val="24"/>
        </w:rPr>
        <w:t xml:space="preserve"> </w:t>
      </w:r>
    </w:p>
    <w:p w:rsidR="00E23A50" w:rsidRPr="00E23A50" w:rsidRDefault="00E23A50" w:rsidP="00E23A50">
      <w:pPr>
        <w:contextualSpacing/>
        <w:jc w:val="both"/>
        <w:rPr>
          <w:rFonts w:ascii="Arial Narrow" w:hAnsi="Arial Narrow" w:cs="Arial"/>
          <w:sz w:val="24"/>
          <w:szCs w:val="24"/>
        </w:rPr>
      </w:pPr>
      <w:r w:rsidRPr="00E23A50">
        <w:rPr>
          <w:rFonts w:ascii="Arial Narrow" w:hAnsi="Arial Narrow" w:cs="Arial"/>
          <w:sz w:val="24"/>
          <w:szCs w:val="24"/>
        </w:rPr>
        <w:t>Por lo anterior, y previa revisión del citado Manual, a continuación, se establece en qué Acuerdos, la Unidad está o no incluida dentro de las entidades cubiertas por éstos, y en qué Acuerdos, el presente proceso de contratación está o no exceptuado de su aplicación.</w:t>
      </w:r>
    </w:p>
    <w:p w:rsidR="00E23A50" w:rsidRPr="00E23A50" w:rsidRDefault="00E23A50" w:rsidP="00E23A50">
      <w:pPr>
        <w:contextualSpacing/>
        <w:jc w:val="both"/>
        <w:rPr>
          <w:rFonts w:ascii="Arial Narrow" w:hAnsi="Arial Narrow" w:cs="Arial"/>
          <w:sz w:val="24"/>
          <w:szCs w:val="24"/>
        </w:rPr>
      </w:pPr>
    </w:p>
    <w:p w:rsidR="00333B15" w:rsidRPr="00333B15" w:rsidRDefault="00333B15" w:rsidP="00333B15">
      <w:pPr>
        <w:autoSpaceDE w:val="0"/>
        <w:autoSpaceDN w:val="0"/>
        <w:adjustRightInd w:val="0"/>
        <w:spacing w:after="0" w:line="240" w:lineRule="auto"/>
        <w:ind w:left="360"/>
        <w:jc w:val="both"/>
        <w:rPr>
          <w:rFonts w:ascii="Arial Narrow" w:eastAsia="Times New Roman" w:hAnsi="Arial Narrow" w:cs="Arial"/>
          <w:b/>
          <w:bCs/>
          <w:lang w:val="es-ES"/>
        </w:rPr>
      </w:pPr>
      <w:r w:rsidRPr="00333B15">
        <w:rPr>
          <w:rFonts w:ascii="Arial Narrow" w:eastAsia="Times New Roman" w:hAnsi="Arial Narrow" w:cs="Arial"/>
          <w:b/>
          <w:bCs/>
          <w:lang w:val="es-ES"/>
        </w:rPr>
        <w:t xml:space="preserve">Tabla de Cobertura de Acuerdos Comerciales </w:t>
      </w:r>
    </w:p>
    <w:p w:rsidR="00E23A50" w:rsidRDefault="00E23A50" w:rsidP="00E23A50">
      <w:pPr>
        <w:contextualSpacing/>
        <w:jc w:val="both"/>
        <w:rPr>
          <w:rFonts w:ascii="Arial Narrow" w:hAnsi="Arial Narrow" w:cs="Arial"/>
          <w:sz w:val="24"/>
          <w:szCs w:val="24"/>
          <w:lang w:val="es-ES"/>
        </w:rPr>
      </w:pPr>
    </w:p>
    <w:tbl>
      <w:tblPr>
        <w:tblpPr w:leftFromText="141" w:rightFromText="141" w:vertAnchor="text" w:horzAnchor="page" w:tblpX="1400" w:tblpY="328"/>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012"/>
        <w:gridCol w:w="1261"/>
        <w:gridCol w:w="4110"/>
        <w:gridCol w:w="1405"/>
        <w:gridCol w:w="1292"/>
      </w:tblGrid>
      <w:tr w:rsidR="00FB4F16" w:rsidRPr="00FB4F16" w:rsidTr="00FB4F16">
        <w:trPr>
          <w:trHeight w:val="683"/>
          <w:tblHeader/>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b/>
                <w:bCs/>
                <w:color w:val="000000"/>
                <w:sz w:val="16"/>
                <w:szCs w:val="16"/>
                <w:lang w:val="es-ES" w:eastAsia="es-ES"/>
              </w:rPr>
            </w:pPr>
            <w:r w:rsidRPr="00FB4F16">
              <w:rPr>
                <w:rFonts w:ascii="Verdana" w:eastAsia="Times New Roman" w:hAnsi="Verdana" w:cs="Arial"/>
                <w:b/>
                <w:bCs/>
                <w:color w:val="000000"/>
                <w:sz w:val="16"/>
                <w:szCs w:val="16"/>
                <w:lang w:val="es-ES_tradnl" w:eastAsia="es-ES"/>
              </w:rPr>
              <w:t>Acuerdo comercial</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b/>
                <w:bCs/>
                <w:i/>
                <w:color w:val="000000"/>
                <w:sz w:val="16"/>
                <w:szCs w:val="16"/>
                <w:lang w:val="es-ES" w:eastAsia="es-ES"/>
              </w:rPr>
            </w:pPr>
            <w:r w:rsidRPr="00FB4F16">
              <w:rPr>
                <w:rFonts w:ascii="Verdana" w:eastAsia="Times New Roman" w:hAnsi="Verdana" w:cs="Arial"/>
                <w:b/>
                <w:bCs/>
                <w:i/>
                <w:color w:val="000000"/>
                <w:sz w:val="16"/>
                <w:szCs w:val="16"/>
                <w:lang w:val="es-ES_tradnl" w:eastAsia="es-ES"/>
              </w:rPr>
              <w:t>¿La Entidad está en la lista de entidades cubiertas por el Acuerdo?</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b/>
                <w:bCs/>
                <w:color w:val="000000"/>
                <w:sz w:val="16"/>
                <w:szCs w:val="16"/>
                <w:lang w:val="es-ES" w:eastAsia="es-ES"/>
              </w:rPr>
            </w:pPr>
            <w:r w:rsidRPr="00FB4F16">
              <w:rPr>
                <w:rFonts w:ascii="Verdana" w:eastAsia="Times New Roman" w:hAnsi="Verdana" w:cs="Arial"/>
                <w:b/>
                <w:bCs/>
                <w:color w:val="000000"/>
                <w:sz w:val="16"/>
                <w:szCs w:val="16"/>
                <w:lang w:val="es-ES_tradnl" w:eastAsia="es-ES"/>
              </w:rPr>
              <w:t>¿El presente proceso está cubierto en alguna excepción del Acuerdo Comercial? Si la respuesta es afirmativa, ¿Cuál es la excepción?</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b/>
                <w:bCs/>
                <w:color w:val="000000"/>
                <w:sz w:val="16"/>
                <w:szCs w:val="16"/>
                <w:lang w:val="es-ES_tradnl" w:eastAsia="es-ES"/>
              </w:rPr>
            </w:pPr>
            <w:r w:rsidRPr="00FB4F16">
              <w:rPr>
                <w:rFonts w:ascii="Verdana" w:eastAsia="Times New Roman" w:hAnsi="Verdana" w:cs="Arial"/>
                <w:b/>
                <w:bCs/>
                <w:color w:val="000000"/>
                <w:sz w:val="16"/>
                <w:szCs w:val="16"/>
                <w:lang w:val="es-ES_tradnl" w:eastAsia="es-ES"/>
              </w:rPr>
              <w:t>El Presupuesto del Proceso de Contratación es superior al valor del Acuerdo Comercial</w:t>
            </w:r>
            <w:proofErr w:type="gramStart"/>
            <w:r w:rsidRPr="00FB4F16">
              <w:rPr>
                <w:rFonts w:ascii="Verdana" w:eastAsia="Times New Roman" w:hAnsi="Verdana" w:cs="Arial"/>
                <w:b/>
                <w:bCs/>
                <w:color w:val="000000"/>
                <w:sz w:val="16"/>
                <w:szCs w:val="16"/>
                <w:lang w:val="es-ES_tradnl" w:eastAsia="es-ES"/>
              </w:rPr>
              <w:t>?</w:t>
            </w:r>
            <w:proofErr w:type="gramEnd"/>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b/>
                <w:bCs/>
                <w:color w:val="000000"/>
                <w:sz w:val="16"/>
                <w:szCs w:val="16"/>
                <w:lang w:val="es-ES_tradnl" w:eastAsia="es-ES"/>
              </w:rPr>
            </w:pPr>
            <w:r w:rsidRPr="00FB4F16">
              <w:rPr>
                <w:rFonts w:ascii="Verdana" w:eastAsia="Times New Roman" w:hAnsi="Verdana" w:cs="Arial"/>
                <w:b/>
                <w:bCs/>
                <w:color w:val="000000"/>
                <w:sz w:val="16"/>
                <w:szCs w:val="16"/>
                <w:lang w:val="es-ES_tradnl" w:eastAsia="es-ES"/>
              </w:rPr>
              <w:t>El Proceso de Contratación está cubierto por el Acuerdo Comercial</w:t>
            </w:r>
            <w:proofErr w:type="gramStart"/>
            <w:r w:rsidRPr="00FB4F16">
              <w:rPr>
                <w:rFonts w:ascii="Verdana" w:eastAsia="Times New Roman" w:hAnsi="Verdana" w:cs="Arial"/>
                <w:b/>
                <w:bCs/>
                <w:color w:val="000000"/>
                <w:sz w:val="16"/>
                <w:szCs w:val="16"/>
                <w:lang w:val="es-ES_tradnl" w:eastAsia="es-ES"/>
              </w:rPr>
              <w:t>?</w:t>
            </w:r>
            <w:proofErr w:type="gramEnd"/>
          </w:p>
        </w:tc>
      </w:tr>
      <w:tr w:rsidR="00FB4F16" w:rsidRPr="00FB4F16" w:rsidTr="00FB4F16">
        <w:trPr>
          <w:trHeight w:val="893"/>
        </w:trPr>
        <w:tc>
          <w:tcPr>
            <w:tcW w:w="983" w:type="dxa"/>
            <w:vMerge w:val="restart"/>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Alianza del pacifico</w:t>
            </w: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Chile</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i/>
                <w:color w:val="000000"/>
                <w:sz w:val="16"/>
                <w:szCs w:val="16"/>
                <w:lang w:val="es-ES" w:eastAsia="es-ES"/>
              </w:rPr>
            </w:pPr>
            <w:r w:rsidRPr="00FB4F16">
              <w:rPr>
                <w:rFonts w:ascii="Verdana" w:eastAsia="Times New Roman" w:hAnsi="Verdana" w:cs="Arial"/>
                <w:i/>
                <w:color w:val="000000"/>
                <w:sz w:val="16"/>
                <w:szCs w:val="16"/>
                <w:lang w:val="es-ES_tradnl" w:eastAsia="es-ES"/>
              </w:rPr>
              <w:t>SI</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 xml:space="preserve">Sí. “(…) </w:t>
            </w:r>
            <w:r w:rsidRPr="00FB4F16">
              <w:rPr>
                <w:rFonts w:ascii="Verdana" w:eastAsia="Times New Roman" w:hAnsi="Verdana" w:cs="Arial"/>
                <w:color w:val="000000"/>
                <w:sz w:val="16"/>
                <w:szCs w:val="16"/>
                <w:lang w:val="es-ES" w:eastAsia="es-ES"/>
              </w:rPr>
              <w:t>Las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b/>
                <w:bCs/>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933"/>
        </w:trPr>
        <w:tc>
          <w:tcPr>
            <w:tcW w:w="983" w:type="dxa"/>
            <w:vMerge/>
            <w:vAlign w:val="center"/>
            <w:hideMark/>
          </w:tcPr>
          <w:p w:rsidR="00FB4F16" w:rsidRPr="00FB4F16" w:rsidRDefault="00FB4F16" w:rsidP="00FB4F16">
            <w:pPr>
              <w:spacing w:after="0" w:line="240" w:lineRule="auto"/>
              <w:contextualSpacing/>
              <w:rPr>
                <w:rFonts w:ascii="Verdana" w:eastAsia="Times New Roman" w:hAnsi="Verdana" w:cs="Arial"/>
                <w:color w:val="000000"/>
                <w:sz w:val="16"/>
                <w:szCs w:val="16"/>
                <w:lang w:val="es-ES" w:eastAsia="es-ES"/>
              </w:rPr>
            </w:pP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México</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Sí. “(…</w:t>
            </w:r>
            <w:proofErr w:type="gramStart"/>
            <w:r w:rsidRPr="00FB4F16">
              <w:rPr>
                <w:rFonts w:ascii="Verdana" w:eastAsia="Times New Roman" w:hAnsi="Verdana" w:cs="Arial"/>
                <w:color w:val="000000"/>
                <w:sz w:val="16"/>
                <w:szCs w:val="16"/>
                <w:lang w:val="es-ES" w:eastAsia="es-ES"/>
              </w:rPr>
              <w:t>)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i/>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416"/>
        </w:trPr>
        <w:tc>
          <w:tcPr>
            <w:tcW w:w="983" w:type="dxa"/>
            <w:vMerge/>
            <w:vAlign w:val="center"/>
            <w:hideMark/>
          </w:tcPr>
          <w:p w:rsidR="00FB4F16" w:rsidRPr="00FB4F16" w:rsidRDefault="00FB4F16" w:rsidP="00FB4F16">
            <w:pPr>
              <w:spacing w:after="0" w:line="240" w:lineRule="auto"/>
              <w:contextualSpacing/>
              <w:rPr>
                <w:rFonts w:ascii="Verdana" w:eastAsia="Times New Roman" w:hAnsi="Verdana" w:cs="Arial"/>
                <w:color w:val="000000"/>
                <w:sz w:val="16"/>
                <w:szCs w:val="16"/>
                <w:lang w:val="es-ES" w:eastAsia="es-ES"/>
              </w:rPr>
            </w:pP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Perú</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Sí. “(…</w:t>
            </w:r>
            <w:proofErr w:type="gramStart"/>
            <w:r w:rsidRPr="00FB4F16">
              <w:rPr>
                <w:rFonts w:ascii="Verdana" w:eastAsia="Times New Roman" w:hAnsi="Verdana" w:cs="Arial"/>
                <w:color w:val="000000"/>
                <w:sz w:val="16"/>
                <w:szCs w:val="16"/>
                <w:lang w:val="es-ES" w:eastAsia="es-ES"/>
              </w:rPr>
              <w:t>)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i/>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933"/>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Canadá</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 “(…</w:t>
            </w:r>
            <w:proofErr w:type="gramStart"/>
            <w:r w:rsidRPr="00FB4F16">
              <w:rPr>
                <w:rFonts w:ascii="Verdana" w:eastAsia="Times New Roman" w:hAnsi="Verdana" w:cs="Arial"/>
                <w:color w:val="000000"/>
                <w:sz w:val="16"/>
                <w:szCs w:val="16"/>
                <w:lang w:val="es-ES_tradnl" w:eastAsia="es-ES"/>
              </w:rPr>
              <w:t xml:space="preserve">) </w:t>
            </w:r>
            <w:r w:rsidRPr="00FB4F16">
              <w:rPr>
                <w:rFonts w:ascii="Verdana" w:eastAsia="Times New Roman" w:hAnsi="Verdana" w:cs="Arial"/>
                <w:color w:val="000000"/>
                <w:sz w:val="16"/>
                <w:szCs w:val="16"/>
                <w:lang w:val="es-ES" w:eastAsia="es-ES"/>
              </w:rPr>
              <w:t xml:space="preserve">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798"/>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lastRenderedPageBreak/>
              <w:t>Chile</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 “(…</w:t>
            </w:r>
            <w:proofErr w:type="gramStart"/>
            <w:r w:rsidRPr="00FB4F16">
              <w:rPr>
                <w:rFonts w:ascii="Verdana" w:eastAsia="Times New Roman" w:hAnsi="Verdana" w:cs="Arial"/>
                <w:color w:val="000000"/>
                <w:sz w:val="16"/>
                <w:szCs w:val="16"/>
                <w:lang w:val="es-ES_tradnl" w:eastAsia="es-ES"/>
              </w:rPr>
              <w:t xml:space="preserve">) </w:t>
            </w:r>
            <w:r w:rsidRPr="00FB4F16">
              <w:rPr>
                <w:rFonts w:ascii="Verdana" w:eastAsia="Times New Roman" w:hAnsi="Verdana" w:cs="Arial"/>
                <w:color w:val="000000"/>
                <w:sz w:val="16"/>
                <w:szCs w:val="16"/>
                <w:lang w:val="es-ES" w:eastAsia="es-ES"/>
              </w:rPr>
              <w:t xml:space="preserve">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852"/>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Corea</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 “(…</w:t>
            </w:r>
            <w:proofErr w:type="gramStart"/>
            <w:r w:rsidRPr="00FB4F16">
              <w:rPr>
                <w:rFonts w:ascii="Verdana" w:eastAsia="Times New Roman" w:hAnsi="Verdana" w:cs="Arial"/>
                <w:color w:val="000000"/>
                <w:sz w:val="16"/>
                <w:szCs w:val="16"/>
                <w:lang w:val="es-ES_tradnl" w:eastAsia="es-ES"/>
              </w:rPr>
              <w:t xml:space="preserve">) </w:t>
            </w:r>
            <w:r w:rsidRPr="00FB4F16">
              <w:rPr>
                <w:rFonts w:ascii="Verdana" w:eastAsia="Times New Roman" w:hAnsi="Verdana" w:cs="Arial"/>
                <w:color w:val="000000"/>
                <w:sz w:val="16"/>
                <w:szCs w:val="16"/>
                <w:lang w:val="es-ES" w:eastAsia="es-ES"/>
              </w:rPr>
              <w:t xml:space="preserve">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852"/>
        </w:trPr>
        <w:tc>
          <w:tcPr>
            <w:tcW w:w="1995" w:type="dxa"/>
            <w:gridSpan w:val="2"/>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Costa Rica</w:t>
            </w:r>
          </w:p>
        </w:tc>
        <w:tc>
          <w:tcPr>
            <w:tcW w:w="1261"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Sí. “(…</w:t>
            </w:r>
            <w:proofErr w:type="gramStart"/>
            <w:r w:rsidRPr="00FB4F16">
              <w:rPr>
                <w:rFonts w:ascii="Verdana" w:eastAsia="Times New Roman" w:hAnsi="Verdana" w:cs="Arial"/>
                <w:color w:val="000000"/>
                <w:sz w:val="16"/>
                <w:szCs w:val="16"/>
                <w:lang w:val="es-ES_tradnl" w:eastAsia="es-ES"/>
              </w:rPr>
              <w:t xml:space="preserve">) </w:t>
            </w:r>
            <w:r w:rsidRPr="00FB4F16">
              <w:rPr>
                <w:rFonts w:ascii="Verdana" w:eastAsia="Times New Roman" w:hAnsi="Verdana" w:cs="Arial"/>
                <w:color w:val="000000"/>
                <w:sz w:val="16"/>
                <w:szCs w:val="16"/>
                <w:lang w:val="es-ES" w:eastAsia="es-ES"/>
              </w:rPr>
              <w:t xml:space="preserve"> Las</w:t>
            </w:r>
            <w:proofErr w:type="gramEnd"/>
            <w:r w:rsidRPr="00FB4F16">
              <w:rPr>
                <w:rFonts w:ascii="Verdana" w:eastAsia="Times New Roman" w:hAnsi="Verdana" w:cs="Arial"/>
                <w:color w:val="000000"/>
                <w:sz w:val="16"/>
                <w:szCs w:val="16"/>
                <w:lang w:val="es-ES" w:eastAsia="es-ES"/>
              </w:rPr>
              <w:t xml:space="preserve">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918"/>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Estados Unidos</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 xml:space="preserve">Sí. “(…) </w:t>
            </w:r>
            <w:r w:rsidRPr="00FB4F16">
              <w:rPr>
                <w:rFonts w:ascii="Verdana" w:eastAsia="Times New Roman" w:hAnsi="Verdana" w:cs="Arial"/>
                <w:color w:val="000000"/>
                <w:sz w:val="16"/>
                <w:szCs w:val="16"/>
                <w:lang w:val="es-ES" w:eastAsia="es-ES"/>
              </w:rPr>
              <w:t xml:space="preserve">Las contrataciones relacionadas con los programas de reinserción a la vida civil originados en procesos de paz, ayuda a los desplazados por la violencia, apoyo a los pobladores de zonas en conflicto, y en general, los programas derivados de la solución del conflicto </w:t>
            </w:r>
            <w:proofErr w:type="gramStart"/>
            <w:r w:rsidRPr="00FB4F16">
              <w:rPr>
                <w:rFonts w:ascii="Verdana" w:eastAsia="Times New Roman" w:hAnsi="Verdana" w:cs="Arial"/>
                <w:color w:val="000000"/>
                <w:sz w:val="16"/>
                <w:szCs w:val="16"/>
                <w:lang w:val="es-ES" w:eastAsia="es-ES"/>
              </w:rPr>
              <w:t>armado</w:t>
            </w:r>
            <w:r w:rsidRPr="00FB4F16">
              <w:rPr>
                <w:rFonts w:ascii="Verdana" w:eastAsia="Times New Roman" w:hAnsi="Verdana" w:cs="Arial"/>
                <w:color w:val="000000"/>
                <w:sz w:val="16"/>
                <w:szCs w:val="16"/>
                <w:lang w:val="es-ES_tradnl" w:eastAsia="es-ES"/>
              </w:rPr>
              <w:t xml:space="preserve"> .</w:t>
            </w:r>
            <w:proofErr w:type="gramEnd"/>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931"/>
        </w:trPr>
        <w:tc>
          <w:tcPr>
            <w:tcW w:w="1995" w:type="dxa"/>
            <w:gridSpan w:val="2"/>
            <w:shd w:val="clear" w:color="auto" w:fill="auto"/>
            <w:noWrap/>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bookmarkStart w:id="0" w:name="RANGE!A9"/>
            <w:r w:rsidRPr="00FB4F16">
              <w:rPr>
                <w:rFonts w:ascii="Verdana" w:eastAsia="Times New Roman" w:hAnsi="Verdana" w:cs="Arial"/>
                <w:color w:val="000000"/>
                <w:sz w:val="16"/>
                <w:szCs w:val="16"/>
                <w:lang w:val="es-ES_tradnl" w:eastAsia="es-ES"/>
              </w:rPr>
              <w:t>Estados AELC</w:t>
            </w:r>
            <w:bookmarkEnd w:id="0"/>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 xml:space="preserve">Sí. “(…) </w:t>
            </w:r>
            <w:r w:rsidRPr="00FB4F16">
              <w:rPr>
                <w:rFonts w:ascii="Verdana" w:eastAsia="Times New Roman" w:hAnsi="Verdana" w:cs="Arial"/>
                <w:color w:val="000000"/>
                <w:sz w:val="16"/>
                <w:szCs w:val="16"/>
                <w:lang w:val="es-ES" w:eastAsia="es-ES"/>
              </w:rPr>
              <w:t xml:space="preserve"> Las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 xml:space="preserve"> ”</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i/>
                <w:color w:val="000000"/>
                <w:sz w:val="16"/>
                <w:szCs w:val="16"/>
                <w:lang w:val="es-ES_tradnl" w:eastAsia="es-ES"/>
              </w:rPr>
              <w:t>NO</w:t>
            </w:r>
          </w:p>
        </w:tc>
      </w:tr>
      <w:tr w:rsidR="00FB4F16" w:rsidRPr="00FB4F16" w:rsidTr="00FB4F16">
        <w:trPr>
          <w:trHeight w:val="409"/>
        </w:trPr>
        <w:tc>
          <w:tcPr>
            <w:tcW w:w="1995" w:type="dxa"/>
            <w:gridSpan w:val="2"/>
            <w:shd w:val="clear" w:color="auto" w:fill="auto"/>
            <w:noWrap/>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MÉXICO</w:t>
            </w:r>
          </w:p>
        </w:tc>
        <w:tc>
          <w:tcPr>
            <w:tcW w:w="1261"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NO</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r>
      <w:tr w:rsidR="00FB4F16" w:rsidRPr="00FB4F16" w:rsidTr="00FB4F16">
        <w:trPr>
          <w:trHeight w:val="259"/>
        </w:trPr>
        <w:tc>
          <w:tcPr>
            <w:tcW w:w="983" w:type="dxa"/>
            <w:vMerge w:val="restart"/>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El Triángulo Norte</w:t>
            </w: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sz w:val="16"/>
                <w:szCs w:val="16"/>
                <w:lang w:val="es-ES" w:eastAsia="es-ES"/>
              </w:rPr>
            </w:pPr>
            <w:r w:rsidRPr="00FB4F16">
              <w:rPr>
                <w:rFonts w:ascii="Verdana" w:eastAsia="Times New Roman" w:hAnsi="Verdana" w:cs="Arial"/>
                <w:sz w:val="16"/>
                <w:szCs w:val="16"/>
                <w:lang w:val="es-ES" w:eastAsia="es-ES"/>
              </w:rPr>
              <w:t>Salvador</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No</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SI</w:t>
            </w:r>
          </w:p>
        </w:tc>
      </w:tr>
      <w:tr w:rsidR="00FB4F16" w:rsidRPr="00FB4F16" w:rsidTr="00FB4F16">
        <w:trPr>
          <w:trHeight w:val="262"/>
        </w:trPr>
        <w:tc>
          <w:tcPr>
            <w:tcW w:w="983" w:type="dxa"/>
            <w:vMerge/>
            <w:vAlign w:val="center"/>
            <w:hideMark/>
          </w:tcPr>
          <w:p w:rsidR="00FB4F16" w:rsidRPr="00FB4F16" w:rsidRDefault="00FB4F16" w:rsidP="00FB4F16">
            <w:pPr>
              <w:spacing w:after="0" w:line="240" w:lineRule="auto"/>
              <w:contextualSpacing/>
              <w:rPr>
                <w:rFonts w:ascii="Verdana" w:eastAsia="Times New Roman" w:hAnsi="Verdana" w:cs="Arial"/>
                <w:color w:val="000000"/>
                <w:sz w:val="16"/>
                <w:szCs w:val="16"/>
                <w:lang w:val="es-ES" w:eastAsia="es-ES"/>
              </w:rPr>
            </w:pP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Guatemala</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No</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SI</w:t>
            </w:r>
          </w:p>
        </w:tc>
      </w:tr>
      <w:tr w:rsidR="00FB4F16" w:rsidRPr="00FB4F16" w:rsidTr="00FB4F16">
        <w:trPr>
          <w:trHeight w:val="253"/>
        </w:trPr>
        <w:tc>
          <w:tcPr>
            <w:tcW w:w="983" w:type="dxa"/>
            <w:vMerge/>
            <w:vAlign w:val="center"/>
            <w:hideMark/>
          </w:tcPr>
          <w:p w:rsidR="00FB4F16" w:rsidRPr="00FB4F16" w:rsidRDefault="00FB4F16" w:rsidP="00FB4F16">
            <w:pPr>
              <w:spacing w:after="0" w:line="240" w:lineRule="auto"/>
              <w:contextualSpacing/>
              <w:rPr>
                <w:rFonts w:ascii="Verdana" w:eastAsia="Times New Roman" w:hAnsi="Verdana" w:cs="Arial"/>
                <w:color w:val="000000"/>
                <w:sz w:val="16"/>
                <w:szCs w:val="16"/>
                <w:lang w:val="es-ES" w:eastAsia="es-ES"/>
              </w:rPr>
            </w:pPr>
          </w:p>
        </w:tc>
        <w:tc>
          <w:tcPr>
            <w:tcW w:w="1012"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 w:eastAsia="es-ES"/>
              </w:rPr>
              <w:t>Honduras</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NO</w:t>
            </w:r>
          </w:p>
        </w:tc>
        <w:tc>
          <w:tcPr>
            <w:tcW w:w="4110"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No</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shd w:val="clear" w:color="auto" w:fill="auto"/>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SI</w:t>
            </w:r>
          </w:p>
        </w:tc>
      </w:tr>
      <w:tr w:rsidR="00FB4F16" w:rsidRPr="00FB4F16" w:rsidTr="00FB4F16">
        <w:trPr>
          <w:trHeight w:val="797"/>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Unión Europea</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 “(…)</w:t>
            </w:r>
            <w:r w:rsidRPr="00FB4F16">
              <w:rPr>
                <w:rFonts w:ascii="Verdana" w:eastAsia="Times New Roman" w:hAnsi="Verdana" w:cs="Arial"/>
                <w:color w:val="000000"/>
                <w:sz w:val="16"/>
                <w:szCs w:val="16"/>
                <w:lang w:val="es-ES" w:eastAsia="es-ES"/>
              </w:rPr>
              <w:t xml:space="preserve"> Las contrataciones relacionadas con los programas de reinserción a la vida civil originados en procesos de paz, ayuda a los desplazados por la violencia, apoyo a los pobladores de zonas en conflicto, y en general, los programas derivados de la solución del conflicto armado</w:t>
            </w:r>
            <w:r w:rsidRPr="00FB4F16">
              <w:rPr>
                <w:rFonts w:ascii="Verdana" w:eastAsia="Times New Roman" w:hAnsi="Verdana" w:cs="Arial"/>
                <w:color w:val="000000"/>
                <w:sz w:val="16"/>
                <w:szCs w:val="16"/>
                <w:lang w:val="es-ES_tradnl" w:eastAsia="es-ES"/>
              </w:rPr>
              <w:t>.</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NO</w:t>
            </w:r>
          </w:p>
        </w:tc>
      </w:tr>
      <w:tr w:rsidR="00FB4F16" w:rsidRPr="00FB4F16" w:rsidTr="00FB4F16">
        <w:trPr>
          <w:trHeight w:val="284"/>
        </w:trPr>
        <w:tc>
          <w:tcPr>
            <w:tcW w:w="1995" w:type="dxa"/>
            <w:gridSpan w:val="2"/>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Comunidad Andina de Naciones</w:t>
            </w:r>
          </w:p>
        </w:tc>
        <w:tc>
          <w:tcPr>
            <w:tcW w:w="1261"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Sí</w:t>
            </w:r>
          </w:p>
        </w:tc>
        <w:tc>
          <w:tcPr>
            <w:tcW w:w="4110" w:type="dxa"/>
            <w:shd w:val="clear" w:color="auto" w:fill="auto"/>
            <w:vAlign w:val="center"/>
            <w:hideMark/>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 w:eastAsia="es-ES"/>
              </w:rPr>
            </w:pPr>
            <w:r w:rsidRPr="00FB4F16">
              <w:rPr>
                <w:rFonts w:ascii="Verdana" w:eastAsia="Times New Roman" w:hAnsi="Verdana" w:cs="Arial"/>
                <w:color w:val="000000"/>
                <w:sz w:val="16"/>
                <w:szCs w:val="16"/>
                <w:lang w:val="es-ES_tradnl" w:eastAsia="es-ES"/>
              </w:rPr>
              <w:t>No.</w:t>
            </w:r>
          </w:p>
        </w:tc>
        <w:tc>
          <w:tcPr>
            <w:tcW w:w="1405"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c>
          <w:tcPr>
            <w:tcW w:w="1292" w:type="dxa"/>
            <w:vAlign w:val="center"/>
          </w:tcPr>
          <w:p w:rsidR="00FB4F16" w:rsidRPr="00FB4F16" w:rsidRDefault="00FB4F16" w:rsidP="00FB4F16">
            <w:pPr>
              <w:spacing w:after="0" w:line="240" w:lineRule="auto"/>
              <w:contextualSpacing/>
              <w:jc w:val="center"/>
              <w:rPr>
                <w:rFonts w:ascii="Verdana" w:eastAsia="Times New Roman" w:hAnsi="Verdana" w:cs="Arial"/>
                <w:color w:val="000000"/>
                <w:sz w:val="16"/>
                <w:szCs w:val="16"/>
                <w:lang w:val="es-ES_tradnl" w:eastAsia="es-ES"/>
              </w:rPr>
            </w:pPr>
            <w:r w:rsidRPr="00FB4F16">
              <w:rPr>
                <w:rFonts w:ascii="Verdana" w:eastAsia="Times New Roman" w:hAnsi="Verdana" w:cs="Arial"/>
                <w:color w:val="000000"/>
                <w:sz w:val="16"/>
                <w:szCs w:val="16"/>
                <w:lang w:val="es-ES_tradnl" w:eastAsia="es-ES"/>
              </w:rPr>
              <w:t>SI</w:t>
            </w:r>
          </w:p>
        </w:tc>
      </w:tr>
    </w:tbl>
    <w:p w:rsidR="00E809A8" w:rsidRDefault="00E809A8" w:rsidP="003651B4">
      <w:pPr>
        <w:pStyle w:val="Ttulo1"/>
        <w:jc w:val="both"/>
        <w:rPr>
          <w:b/>
          <w:color w:val="auto"/>
          <w:sz w:val="24"/>
          <w:szCs w:val="24"/>
        </w:rPr>
      </w:pPr>
    </w:p>
    <w:p w:rsidR="00E873FE" w:rsidRPr="009428E9" w:rsidRDefault="00E873FE" w:rsidP="003651B4">
      <w:pPr>
        <w:pStyle w:val="Ttulo1"/>
        <w:jc w:val="both"/>
        <w:rPr>
          <w:b/>
          <w:color w:val="auto"/>
          <w:sz w:val="24"/>
          <w:szCs w:val="24"/>
        </w:rPr>
      </w:pPr>
      <w:r w:rsidRPr="009428E9">
        <w:rPr>
          <w:b/>
          <w:color w:val="auto"/>
          <w:sz w:val="24"/>
          <w:szCs w:val="24"/>
        </w:rPr>
        <w:t>MENCIÓN SI LA CONVOCATORIA ES SUCEPTIBLE DE SER LIMITADA A MIPYME Y SI HAY LUGAR PRECALIFICACIÓN</w:t>
      </w:r>
    </w:p>
    <w:p w:rsidR="008C41F2" w:rsidRPr="00F90D94" w:rsidRDefault="006468D4" w:rsidP="0048774D">
      <w:pPr>
        <w:autoSpaceDE w:val="0"/>
        <w:autoSpaceDN w:val="0"/>
        <w:adjustRightInd w:val="0"/>
        <w:ind w:right="23"/>
        <w:jc w:val="both"/>
        <w:rPr>
          <w:rFonts w:ascii="Arial Narrow" w:hAnsi="Arial Narrow" w:cs="Arial"/>
          <w:bCs/>
          <w:sz w:val="24"/>
          <w:szCs w:val="24"/>
        </w:rPr>
      </w:pPr>
      <w:r w:rsidRPr="00F90D94">
        <w:rPr>
          <w:rFonts w:ascii="Arial Narrow" w:hAnsi="Arial Narrow" w:cs="Arial"/>
          <w:bCs/>
          <w:sz w:val="24"/>
          <w:szCs w:val="24"/>
        </w:rPr>
        <w:t xml:space="preserve">De conformidad con lo señalado en </w:t>
      </w:r>
      <w:r w:rsidR="00EA0CEB" w:rsidRPr="00F90D94">
        <w:rPr>
          <w:rFonts w:ascii="Arial Narrow" w:hAnsi="Arial Narrow"/>
          <w:sz w:val="24"/>
          <w:szCs w:val="24"/>
        </w:rPr>
        <w:t xml:space="preserve">la Ley 1150 de 2007, los artículos 32 y 43 de la Ley 1450 de 2011 y </w:t>
      </w:r>
      <w:r w:rsidRPr="00F90D94">
        <w:rPr>
          <w:rFonts w:ascii="Arial Narrow" w:hAnsi="Arial Narrow" w:cs="Arial"/>
          <w:bCs/>
          <w:sz w:val="24"/>
          <w:szCs w:val="24"/>
        </w:rPr>
        <w:t>el numeral</w:t>
      </w:r>
      <w:r w:rsidR="00E23A50">
        <w:rPr>
          <w:rFonts w:ascii="Arial Narrow" w:hAnsi="Arial Narrow" w:cs="Arial"/>
          <w:bCs/>
          <w:sz w:val="24"/>
          <w:szCs w:val="24"/>
        </w:rPr>
        <w:t xml:space="preserve"> 1 del artículo 2.2.1.2.4.2.2 d</w:t>
      </w:r>
      <w:r w:rsidRPr="00F90D94">
        <w:rPr>
          <w:rFonts w:ascii="Arial Narrow" w:hAnsi="Arial Narrow" w:cs="Arial"/>
          <w:bCs/>
          <w:sz w:val="24"/>
          <w:szCs w:val="24"/>
        </w:rPr>
        <w:t>el Decreto1082 de 2015, la cuantía del presente proceso de selección</w:t>
      </w:r>
      <w:r w:rsidR="00F1047A" w:rsidRPr="00F1047A">
        <w:rPr>
          <w:rFonts w:asciiTheme="majorHAnsi" w:eastAsiaTheme="majorEastAsia" w:hAnsiTheme="majorHAnsi" w:cstheme="majorBidi"/>
          <w:b/>
          <w:sz w:val="32"/>
          <w:szCs w:val="32"/>
        </w:rPr>
        <w:t xml:space="preserve"> </w:t>
      </w:r>
      <w:r w:rsidR="00DA6AAF">
        <w:rPr>
          <w:rFonts w:ascii="Arial Narrow" w:hAnsi="Arial Narrow" w:cs="Arial"/>
          <w:b/>
          <w:bCs/>
          <w:sz w:val="24"/>
          <w:szCs w:val="24"/>
        </w:rPr>
        <w:t>No. UARIV-SA-004</w:t>
      </w:r>
      <w:bookmarkStart w:id="1" w:name="_GoBack"/>
      <w:bookmarkEnd w:id="1"/>
      <w:r w:rsidR="00F1047A" w:rsidRPr="00F1047A">
        <w:rPr>
          <w:rFonts w:ascii="Arial Narrow" w:hAnsi="Arial Narrow" w:cs="Arial"/>
          <w:b/>
          <w:bCs/>
          <w:sz w:val="24"/>
          <w:szCs w:val="24"/>
        </w:rPr>
        <w:t>-2018</w:t>
      </w:r>
      <w:r w:rsidRPr="00F90D94">
        <w:rPr>
          <w:rFonts w:ascii="Arial Narrow" w:hAnsi="Arial Narrow" w:cs="Arial"/>
          <w:bCs/>
          <w:sz w:val="24"/>
          <w:szCs w:val="24"/>
        </w:rPr>
        <w:t xml:space="preserve"> es mayor a US$125.000, por lo tanto, </w:t>
      </w:r>
      <w:r w:rsidR="00EA0CEB" w:rsidRPr="00BE2C7E">
        <w:rPr>
          <w:rFonts w:ascii="Arial Narrow" w:hAnsi="Arial Narrow" w:cs="Arial"/>
          <w:b/>
          <w:bCs/>
          <w:sz w:val="24"/>
          <w:szCs w:val="24"/>
        </w:rPr>
        <w:t>NO</w:t>
      </w:r>
      <w:r w:rsidRPr="00F90D94">
        <w:rPr>
          <w:rFonts w:ascii="Arial Narrow" w:hAnsi="Arial Narrow" w:cs="Arial"/>
          <w:bCs/>
          <w:sz w:val="24"/>
          <w:szCs w:val="24"/>
        </w:rPr>
        <w:t xml:space="preserve"> es susceptible de ser limitada a MIPYMES.</w:t>
      </w:r>
    </w:p>
    <w:p w:rsidR="00F475D3" w:rsidRPr="009428E9" w:rsidRDefault="00F4602C" w:rsidP="003651B4">
      <w:pPr>
        <w:pStyle w:val="Ttulo1"/>
        <w:jc w:val="both"/>
        <w:rPr>
          <w:b/>
          <w:color w:val="auto"/>
          <w:sz w:val="24"/>
          <w:szCs w:val="24"/>
        </w:rPr>
      </w:pPr>
      <w:r w:rsidRPr="009428E9">
        <w:rPr>
          <w:b/>
          <w:color w:val="auto"/>
          <w:sz w:val="24"/>
          <w:szCs w:val="24"/>
        </w:rPr>
        <w:t>ENUMERACIÓN Y BREVE DESCRIPCIÓN DE LAS CONDICIONES PARA PARTICIPAR EN EL PROCESO DE CONTRATACIÓN</w:t>
      </w:r>
    </w:p>
    <w:p w:rsidR="00F1047A" w:rsidRDefault="006468D4" w:rsidP="0048774D">
      <w:pPr>
        <w:autoSpaceDE w:val="0"/>
        <w:autoSpaceDN w:val="0"/>
        <w:adjustRightInd w:val="0"/>
        <w:ind w:right="23"/>
        <w:jc w:val="both"/>
        <w:rPr>
          <w:rFonts w:ascii="Arial Narrow" w:hAnsi="Arial Narrow" w:cs="Arial"/>
          <w:bCs/>
          <w:sz w:val="24"/>
          <w:szCs w:val="24"/>
        </w:rPr>
      </w:pPr>
      <w:r w:rsidRPr="00F90D94">
        <w:rPr>
          <w:rFonts w:ascii="Arial Narrow" w:hAnsi="Arial Narrow" w:cs="Arial"/>
          <w:bCs/>
          <w:sz w:val="24"/>
          <w:szCs w:val="24"/>
        </w:rPr>
        <w:t>La totalidad de condiciones de participación en el proceso de selección</w:t>
      </w:r>
      <w:r w:rsidR="00F1047A" w:rsidRPr="00F1047A">
        <w:rPr>
          <w:rFonts w:asciiTheme="majorHAnsi" w:eastAsiaTheme="majorEastAsia" w:hAnsiTheme="majorHAnsi" w:cstheme="majorBidi"/>
          <w:b/>
          <w:sz w:val="32"/>
          <w:szCs w:val="32"/>
        </w:rPr>
        <w:t xml:space="preserve"> </w:t>
      </w:r>
      <w:r w:rsidR="00C7299F">
        <w:rPr>
          <w:rFonts w:ascii="Arial Narrow" w:hAnsi="Arial Narrow" w:cs="Arial"/>
          <w:b/>
          <w:bCs/>
          <w:sz w:val="24"/>
          <w:szCs w:val="24"/>
        </w:rPr>
        <w:t>No. UARIV-SA-004</w:t>
      </w:r>
      <w:r w:rsidR="00F1047A" w:rsidRPr="00F1047A">
        <w:rPr>
          <w:rFonts w:ascii="Arial Narrow" w:hAnsi="Arial Narrow" w:cs="Arial"/>
          <w:b/>
          <w:bCs/>
          <w:sz w:val="24"/>
          <w:szCs w:val="24"/>
        </w:rPr>
        <w:t>-2018</w:t>
      </w:r>
      <w:r w:rsidRPr="00F90D94">
        <w:rPr>
          <w:rFonts w:ascii="Arial Narrow" w:hAnsi="Arial Narrow" w:cs="Arial"/>
          <w:bCs/>
          <w:sz w:val="24"/>
          <w:szCs w:val="24"/>
        </w:rPr>
        <w:t xml:space="preserve"> se encuentran incluidas en el proyecto de pliego de condiciones que será publicado en </w:t>
      </w:r>
      <w:r w:rsidR="005F647C">
        <w:rPr>
          <w:rFonts w:ascii="Arial Narrow" w:hAnsi="Arial Narrow" w:cs="Arial"/>
          <w:bCs/>
          <w:sz w:val="24"/>
          <w:szCs w:val="24"/>
        </w:rPr>
        <w:t xml:space="preserve">la plataforma del SECOP II de Colombia Compra Eficiente </w:t>
      </w:r>
      <w:r w:rsidRPr="00F90D94">
        <w:rPr>
          <w:rFonts w:ascii="Arial Narrow" w:hAnsi="Arial Narrow" w:cs="Arial"/>
          <w:bCs/>
          <w:sz w:val="24"/>
          <w:szCs w:val="24"/>
        </w:rPr>
        <w:t xml:space="preserve">junto con el presente Aviso de convocatoria. </w:t>
      </w:r>
    </w:p>
    <w:p w:rsidR="00F4602C" w:rsidRPr="00F90D94" w:rsidRDefault="006468D4" w:rsidP="0048774D">
      <w:pPr>
        <w:autoSpaceDE w:val="0"/>
        <w:autoSpaceDN w:val="0"/>
        <w:adjustRightInd w:val="0"/>
        <w:ind w:right="23"/>
        <w:jc w:val="both"/>
        <w:rPr>
          <w:rFonts w:ascii="Arial Narrow" w:hAnsi="Arial Narrow"/>
          <w:sz w:val="24"/>
          <w:szCs w:val="24"/>
        </w:rPr>
      </w:pPr>
      <w:r w:rsidRPr="00F90D94">
        <w:rPr>
          <w:rFonts w:ascii="Arial Narrow" w:hAnsi="Arial Narrow" w:cs="Arial"/>
          <w:bCs/>
          <w:sz w:val="24"/>
          <w:szCs w:val="24"/>
        </w:rPr>
        <w:t xml:space="preserve">No obstante, de forma general se enuncian </w:t>
      </w:r>
      <w:r w:rsidR="00F4602C" w:rsidRPr="00F90D94">
        <w:rPr>
          <w:rFonts w:ascii="Arial Narrow" w:hAnsi="Arial Narrow"/>
          <w:sz w:val="24"/>
          <w:szCs w:val="24"/>
        </w:rPr>
        <w:t>los requisitos habilitantes y factores de evaluación, que</w:t>
      </w:r>
      <w:r w:rsidRPr="00F90D94">
        <w:rPr>
          <w:rFonts w:ascii="Arial Narrow" w:hAnsi="Arial Narrow"/>
          <w:sz w:val="24"/>
          <w:szCs w:val="24"/>
        </w:rPr>
        <w:t xml:space="preserve"> los</w:t>
      </w:r>
      <w:r w:rsidR="00F4602C" w:rsidRPr="00F90D94">
        <w:rPr>
          <w:rFonts w:ascii="Arial Narrow" w:hAnsi="Arial Narrow"/>
          <w:sz w:val="24"/>
          <w:szCs w:val="24"/>
        </w:rPr>
        <w:t xml:space="preserve"> </w:t>
      </w:r>
      <w:r w:rsidRPr="00F90D94">
        <w:rPr>
          <w:rFonts w:ascii="Arial Narrow" w:hAnsi="Arial Narrow"/>
          <w:sz w:val="24"/>
          <w:szCs w:val="24"/>
        </w:rPr>
        <w:t>interesados en participar en este proceso de selección deben acreditar en su propuesta:</w:t>
      </w:r>
    </w:p>
    <w:p w:rsidR="0010313B" w:rsidRPr="003651B4" w:rsidRDefault="00F4602C" w:rsidP="001A2105">
      <w:pPr>
        <w:pStyle w:val="Ttulo2"/>
        <w:rPr>
          <w:b/>
          <w:color w:val="auto"/>
        </w:rPr>
      </w:pPr>
      <w:r w:rsidRPr="003651B4">
        <w:rPr>
          <w:b/>
          <w:color w:val="auto"/>
        </w:rPr>
        <w:t>VERIFICACION DE REQUISITOS HABILITANTES</w:t>
      </w:r>
    </w:p>
    <w:p w:rsidR="00F4602C" w:rsidRPr="00F90D94" w:rsidRDefault="006468D4" w:rsidP="0048774D">
      <w:pPr>
        <w:pStyle w:val="Sinespaciado"/>
        <w:numPr>
          <w:ilvl w:val="0"/>
          <w:numId w:val="6"/>
        </w:numPr>
        <w:jc w:val="both"/>
        <w:rPr>
          <w:rFonts w:ascii="Arial Narrow" w:hAnsi="Arial Narrow"/>
          <w:sz w:val="24"/>
          <w:szCs w:val="24"/>
        </w:rPr>
      </w:pPr>
      <w:r w:rsidRPr="00F90D94">
        <w:rPr>
          <w:rFonts w:ascii="Arial Narrow" w:hAnsi="Arial Narrow"/>
          <w:sz w:val="24"/>
          <w:szCs w:val="24"/>
        </w:rPr>
        <w:t xml:space="preserve">De capacidad </w:t>
      </w:r>
      <w:r w:rsidR="0010313B" w:rsidRPr="00F90D94">
        <w:rPr>
          <w:rFonts w:ascii="Arial Narrow" w:hAnsi="Arial Narrow"/>
          <w:sz w:val="24"/>
          <w:szCs w:val="24"/>
        </w:rPr>
        <w:t>Jurídica</w:t>
      </w:r>
      <w:r w:rsidR="005823D3" w:rsidRPr="00F90D94">
        <w:rPr>
          <w:rFonts w:ascii="Arial Narrow" w:hAnsi="Arial Narrow"/>
          <w:sz w:val="24"/>
          <w:szCs w:val="24"/>
        </w:rPr>
        <w:t xml:space="preserve"> y requisitos jurídicos</w:t>
      </w:r>
    </w:p>
    <w:p w:rsidR="008A17E8" w:rsidRDefault="008A17E8" w:rsidP="0048774D">
      <w:pPr>
        <w:pStyle w:val="Sinespaciado"/>
        <w:numPr>
          <w:ilvl w:val="0"/>
          <w:numId w:val="6"/>
        </w:numPr>
        <w:jc w:val="both"/>
        <w:rPr>
          <w:rFonts w:ascii="Arial Narrow" w:hAnsi="Arial Narrow"/>
          <w:sz w:val="24"/>
          <w:szCs w:val="24"/>
        </w:rPr>
      </w:pPr>
      <w:r>
        <w:rPr>
          <w:rFonts w:ascii="Arial Narrow" w:hAnsi="Arial Narrow"/>
          <w:sz w:val="24"/>
          <w:szCs w:val="24"/>
        </w:rPr>
        <w:t>Condiciones de experiencia</w:t>
      </w:r>
    </w:p>
    <w:p w:rsidR="00F4602C" w:rsidRPr="00F90D94" w:rsidRDefault="006468D4" w:rsidP="0048774D">
      <w:pPr>
        <w:pStyle w:val="Sinespaciado"/>
        <w:numPr>
          <w:ilvl w:val="0"/>
          <w:numId w:val="6"/>
        </w:numPr>
        <w:jc w:val="both"/>
        <w:rPr>
          <w:rFonts w:ascii="Arial Narrow" w:hAnsi="Arial Narrow"/>
          <w:sz w:val="24"/>
          <w:szCs w:val="24"/>
        </w:rPr>
      </w:pPr>
      <w:r w:rsidRPr="00F90D94">
        <w:rPr>
          <w:rFonts w:ascii="Arial Narrow" w:hAnsi="Arial Narrow"/>
          <w:sz w:val="24"/>
          <w:szCs w:val="24"/>
        </w:rPr>
        <w:t xml:space="preserve">De Capacidad </w:t>
      </w:r>
      <w:r w:rsidR="0010313B" w:rsidRPr="00F90D94">
        <w:rPr>
          <w:rFonts w:ascii="Arial Narrow" w:hAnsi="Arial Narrow"/>
          <w:sz w:val="24"/>
          <w:szCs w:val="24"/>
        </w:rPr>
        <w:t>Financiera</w:t>
      </w:r>
      <w:r w:rsidRPr="00F90D94">
        <w:rPr>
          <w:rFonts w:ascii="Arial Narrow" w:hAnsi="Arial Narrow"/>
          <w:sz w:val="24"/>
          <w:szCs w:val="24"/>
        </w:rPr>
        <w:t xml:space="preserve"> y Organizacional</w:t>
      </w:r>
    </w:p>
    <w:p w:rsidR="00B02A45" w:rsidRPr="003651B4" w:rsidRDefault="00B02A45" w:rsidP="0048774D">
      <w:pPr>
        <w:pStyle w:val="Sinespaciado"/>
        <w:jc w:val="both"/>
        <w:rPr>
          <w:rFonts w:ascii="Arial Narrow" w:hAnsi="Arial Narrow"/>
        </w:rPr>
      </w:pPr>
    </w:p>
    <w:p w:rsidR="0010313B" w:rsidRDefault="00F4602C" w:rsidP="00E809A8">
      <w:pPr>
        <w:pStyle w:val="Ttulo2"/>
        <w:rPr>
          <w:b/>
          <w:color w:val="auto"/>
        </w:rPr>
      </w:pPr>
      <w:r w:rsidRPr="003651B4">
        <w:rPr>
          <w:b/>
          <w:color w:val="auto"/>
        </w:rPr>
        <w:t>EVALUACIÓN DE PROPUESTAS</w:t>
      </w:r>
    </w:p>
    <w:p w:rsidR="00E809A8" w:rsidRPr="00E809A8" w:rsidRDefault="00E809A8" w:rsidP="00E809A8">
      <w:pPr>
        <w:rPr>
          <w:sz w:val="12"/>
        </w:rPr>
      </w:pPr>
    </w:p>
    <w:tbl>
      <w:tblPr>
        <w:tblW w:w="8567" w:type="dxa"/>
        <w:tblInd w:w="70" w:type="dxa"/>
        <w:tblCellMar>
          <w:left w:w="70" w:type="dxa"/>
          <w:right w:w="70" w:type="dxa"/>
        </w:tblCellMar>
        <w:tblLook w:val="04A0" w:firstRow="1" w:lastRow="0" w:firstColumn="1" w:lastColumn="0" w:noHBand="0" w:noVBand="1"/>
      </w:tblPr>
      <w:tblGrid>
        <w:gridCol w:w="6157"/>
        <w:gridCol w:w="2410"/>
      </w:tblGrid>
      <w:tr w:rsidR="00944C4E" w:rsidRPr="00944C4E" w:rsidTr="00F539E8">
        <w:trPr>
          <w:trHeight w:val="315"/>
        </w:trPr>
        <w:tc>
          <w:tcPr>
            <w:tcW w:w="61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4C4E" w:rsidRPr="00944C4E" w:rsidRDefault="00944C4E" w:rsidP="00944C4E">
            <w:pPr>
              <w:numPr>
                <w:ilvl w:val="1"/>
                <w:numId w:val="12"/>
              </w:numPr>
              <w:spacing w:after="0" w:line="240" w:lineRule="auto"/>
              <w:jc w:val="both"/>
              <w:rPr>
                <w:rFonts w:ascii="Arial Narrow" w:hAnsi="Arial Narrow" w:cs="Arial"/>
                <w:sz w:val="24"/>
                <w:szCs w:val="24"/>
              </w:rPr>
            </w:pPr>
            <w:r w:rsidRPr="00944C4E">
              <w:rPr>
                <w:rFonts w:ascii="Arial Narrow" w:hAnsi="Arial Narrow" w:cs="Arial"/>
                <w:sz w:val="24"/>
                <w:szCs w:val="24"/>
              </w:rPr>
              <w:t>Evaluación Técnica ( Calidad)</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944C4E" w:rsidRPr="00944C4E" w:rsidRDefault="001B333C" w:rsidP="00F539E8">
            <w:pPr>
              <w:jc w:val="both"/>
              <w:rPr>
                <w:rFonts w:ascii="Arial Narrow" w:hAnsi="Arial Narrow" w:cs="Arial"/>
                <w:sz w:val="24"/>
                <w:szCs w:val="24"/>
              </w:rPr>
            </w:pPr>
            <w:r>
              <w:rPr>
                <w:rFonts w:ascii="Arial Narrow" w:hAnsi="Arial Narrow" w:cs="Arial"/>
                <w:sz w:val="24"/>
                <w:szCs w:val="24"/>
              </w:rPr>
              <w:t>3</w:t>
            </w:r>
            <w:r w:rsidR="00944C4E" w:rsidRPr="00944C4E">
              <w:rPr>
                <w:rFonts w:ascii="Arial Narrow" w:hAnsi="Arial Narrow" w:cs="Arial"/>
                <w:sz w:val="24"/>
                <w:szCs w:val="24"/>
              </w:rPr>
              <w:t>00 PUNTOS</w:t>
            </w:r>
          </w:p>
        </w:tc>
      </w:tr>
      <w:tr w:rsidR="00944C4E" w:rsidRPr="00944C4E" w:rsidTr="00F539E8">
        <w:trPr>
          <w:trHeight w:val="315"/>
        </w:trPr>
        <w:tc>
          <w:tcPr>
            <w:tcW w:w="6157" w:type="dxa"/>
            <w:tcBorders>
              <w:top w:val="nil"/>
              <w:left w:val="single" w:sz="8" w:space="0" w:color="auto"/>
              <w:bottom w:val="single" w:sz="8" w:space="0" w:color="auto"/>
              <w:right w:val="single" w:sz="8" w:space="0" w:color="auto"/>
            </w:tcBorders>
            <w:shd w:val="clear" w:color="auto" w:fill="auto"/>
            <w:vAlign w:val="center"/>
            <w:hideMark/>
          </w:tcPr>
          <w:p w:rsidR="00944C4E" w:rsidRPr="00944C4E" w:rsidRDefault="00944C4E" w:rsidP="00944C4E">
            <w:pPr>
              <w:numPr>
                <w:ilvl w:val="1"/>
                <w:numId w:val="12"/>
              </w:numPr>
              <w:spacing w:after="0" w:line="240" w:lineRule="auto"/>
              <w:jc w:val="both"/>
              <w:rPr>
                <w:rFonts w:ascii="Arial Narrow" w:hAnsi="Arial Narrow" w:cs="Arial"/>
                <w:sz w:val="24"/>
                <w:szCs w:val="24"/>
              </w:rPr>
            </w:pPr>
            <w:r w:rsidRPr="00944C4E">
              <w:rPr>
                <w:rFonts w:ascii="Arial Narrow" w:hAnsi="Arial Narrow" w:cs="Arial"/>
                <w:sz w:val="24"/>
                <w:szCs w:val="24"/>
              </w:rPr>
              <w:t>Evaluación Económica</w:t>
            </w:r>
          </w:p>
        </w:tc>
        <w:tc>
          <w:tcPr>
            <w:tcW w:w="2410" w:type="dxa"/>
            <w:tcBorders>
              <w:top w:val="nil"/>
              <w:left w:val="nil"/>
              <w:bottom w:val="single" w:sz="8" w:space="0" w:color="auto"/>
              <w:right w:val="single" w:sz="8" w:space="0" w:color="auto"/>
            </w:tcBorders>
            <w:shd w:val="clear" w:color="auto" w:fill="auto"/>
            <w:vAlign w:val="center"/>
            <w:hideMark/>
          </w:tcPr>
          <w:p w:rsidR="00944C4E" w:rsidRPr="00944C4E" w:rsidRDefault="001B333C" w:rsidP="00F539E8">
            <w:pPr>
              <w:jc w:val="both"/>
              <w:rPr>
                <w:rFonts w:ascii="Arial Narrow" w:hAnsi="Arial Narrow" w:cs="Arial"/>
                <w:sz w:val="24"/>
                <w:szCs w:val="24"/>
              </w:rPr>
            </w:pPr>
            <w:r>
              <w:rPr>
                <w:rFonts w:ascii="Arial Narrow" w:hAnsi="Arial Narrow" w:cs="Arial"/>
                <w:sz w:val="24"/>
                <w:szCs w:val="24"/>
              </w:rPr>
              <w:t>6</w:t>
            </w:r>
            <w:r w:rsidR="00944C4E" w:rsidRPr="00944C4E">
              <w:rPr>
                <w:rFonts w:ascii="Arial Narrow" w:hAnsi="Arial Narrow" w:cs="Arial"/>
                <w:sz w:val="24"/>
                <w:szCs w:val="24"/>
              </w:rPr>
              <w:t>00 PUNTOS</w:t>
            </w:r>
          </w:p>
        </w:tc>
      </w:tr>
      <w:tr w:rsidR="00944C4E" w:rsidRPr="00944C4E" w:rsidTr="00F539E8">
        <w:trPr>
          <w:trHeight w:val="315"/>
        </w:trPr>
        <w:tc>
          <w:tcPr>
            <w:tcW w:w="6157" w:type="dxa"/>
            <w:tcBorders>
              <w:top w:val="nil"/>
              <w:left w:val="single" w:sz="8" w:space="0" w:color="auto"/>
              <w:bottom w:val="single" w:sz="8" w:space="0" w:color="auto"/>
              <w:right w:val="single" w:sz="8" w:space="0" w:color="auto"/>
            </w:tcBorders>
            <w:shd w:val="clear" w:color="auto" w:fill="auto"/>
            <w:vAlign w:val="center"/>
            <w:hideMark/>
          </w:tcPr>
          <w:p w:rsidR="00944C4E" w:rsidRPr="00944C4E" w:rsidRDefault="00944C4E" w:rsidP="00944C4E">
            <w:pPr>
              <w:numPr>
                <w:ilvl w:val="1"/>
                <w:numId w:val="12"/>
              </w:numPr>
              <w:spacing w:after="0" w:line="240" w:lineRule="auto"/>
              <w:jc w:val="both"/>
              <w:rPr>
                <w:rFonts w:ascii="Arial Narrow" w:hAnsi="Arial Narrow" w:cs="Arial"/>
                <w:sz w:val="24"/>
                <w:szCs w:val="24"/>
              </w:rPr>
            </w:pPr>
            <w:r w:rsidRPr="00944C4E">
              <w:rPr>
                <w:rFonts w:ascii="Arial Narrow" w:hAnsi="Arial Narrow" w:cs="Arial"/>
                <w:sz w:val="24"/>
                <w:szCs w:val="24"/>
              </w:rPr>
              <w:t>Apoyo a la industria nacional</w:t>
            </w:r>
          </w:p>
        </w:tc>
        <w:tc>
          <w:tcPr>
            <w:tcW w:w="2410" w:type="dxa"/>
            <w:tcBorders>
              <w:top w:val="nil"/>
              <w:left w:val="nil"/>
              <w:bottom w:val="single" w:sz="8" w:space="0" w:color="auto"/>
              <w:right w:val="single" w:sz="8" w:space="0" w:color="auto"/>
            </w:tcBorders>
            <w:shd w:val="clear" w:color="auto" w:fill="auto"/>
            <w:vAlign w:val="center"/>
            <w:hideMark/>
          </w:tcPr>
          <w:p w:rsidR="00944C4E" w:rsidRPr="00944C4E" w:rsidRDefault="00944C4E" w:rsidP="00F539E8">
            <w:pPr>
              <w:jc w:val="both"/>
              <w:rPr>
                <w:rFonts w:ascii="Arial Narrow" w:hAnsi="Arial Narrow" w:cs="Arial"/>
                <w:sz w:val="24"/>
                <w:szCs w:val="24"/>
              </w:rPr>
            </w:pPr>
            <w:r w:rsidRPr="00944C4E">
              <w:rPr>
                <w:rFonts w:ascii="Arial Narrow" w:hAnsi="Arial Narrow" w:cs="Arial"/>
                <w:sz w:val="24"/>
                <w:szCs w:val="24"/>
              </w:rPr>
              <w:t>100 PUNTOS</w:t>
            </w:r>
          </w:p>
        </w:tc>
      </w:tr>
      <w:tr w:rsidR="00944C4E" w:rsidRPr="00944C4E" w:rsidTr="00F539E8">
        <w:trPr>
          <w:trHeight w:val="315"/>
        </w:trPr>
        <w:tc>
          <w:tcPr>
            <w:tcW w:w="6157" w:type="dxa"/>
            <w:tcBorders>
              <w:top w:val="nil"/>
              <w:left w:val="single" w:sz="8" w:space="0" w:color="auto"/>
              <w:bottom w:val="single" w:sz="8" w:space="0" w:color="auto"/>
              <w:right w:val="single" w:sz="8" w:space="0" w:color="auto"/>
            </w:tcBorders>
            <w:shd w:val="clear" w:color="auto" w:fill="auto"/>
            <w:vAlign w:val="center"/>
            <w:hideMark/>
          </w:tcPr>
          <w:p w:rsidR="00944C4E" w:rsidRPr="00944C4E" w:rsidRDefault="00944C4E" w:rsidP="00F539E8">
            <w:pPr>
              <w:jc w:val="both"/>
              <w:rPr>
                <w:rFonts w:ascii="Arial Narrow" w:hAnsi="Arial Narrow" w:cs="Arial"/>
                <w:b/>
                <w:bCs/>
                <w:sz w:val="24"/>
                <w:szCs w:val="24"/>
              </w:rPr>
            </w:pPr>
            <w:r w:rsidRPr="00944C4E">
              <w:rPr>
                <w:rFonts w:ascii="Arial Narrow" w:hAnsi="Arial Narrow" w:cs="Arial"/>
                <w:b/>
                <w:bCs/>
                <w:sz w:val="24"/>
                <w:szCs w:val="24"/>
              </w:rPr>
              <w:t>TOTAL</w:t>
            </w:r>
          </w:p>
        </w:tc>
        <w:tc>
          <w:tcPr>
            <w:tcW w:w="2410" w:type="dxa"/>
            <w:tcBorders>
              <w:top w:val="nil"/>
              <w:left w:val="nil"/>
              <w:bottom w:val="single" w:sz="8" w:space="0" w:color="auto"/>
              <w:right w:val="single" w:sz="8" w:space="0" w:color="auto"/>
            </w:tcBorders>
            <w:shd w:val="clear" w:color="auto" w:fill="auto"/>
            <w:vAlign w:val="center"/>
            <w:hideMark/>
          </w:tcPr>
          <w:p w:rsidR="00944C4E" w:rsidRPr="00944C4E" w:rsidRDefault="00944C4E" w:rsidP="005F647C">
            <w:pPr>
              <w:numPr>
                <w:ilvl w:val="0"/>
                <w:numId w:val="13"/>
              </w:numPr>
              <w:spacing w:after="0" w:line="240" w:lineRule="auto"/>
              <w:rPr>
                <w:rFonts w:ascii="Arial Narrow" w:hAnsi="Arial Narrow" w:cs="Arial"/>
                <w:b/>
                <w:bCs/>
                <w:sz w:val="24"/>
                <w:szCs w:val="24"/>
              </w:rPr>
            </w:pPr>
            <w:r w:rsidRPr="00944C4E">
              <w:rPr>
                <w:rFonts w:ascii="Arial Narrow" w:hAnsi="Arial Narrow" w:cs="Arial"/>
                <w:b/>
                <w:bCs/>
                <w:sz w:val="24"/>
                <w:szCs w:val="24"/>
              </w:rPr>
              <w:t>puntos</w:t>
            </w:r>
          </w:p>
        </w:tc>
      </w:tr>
    </w:tbl>
    <w:p w:rsidR="001C5D6E" w:rsidRPr="003651B4" w:rsidRDefault="001C5D6E" w:rsidP="0048774D">
      <w:pPr>
        <w:pStyle w:val="Sinespaciado"/>
        <w:jc w:val="both"/>
        <w:rPr>
          <w:rFonts w:ascii="Arial Narrow" w:hAnsi="Arial Narrow"/>
        </w:rPr>
      </w:pPr>
    </w:p>
    <w:p w:rsidR="001C424F" w:rsidRPr="009428E9" w:rsidRDefault="001C424F" w:rsidP="003651B4">
      <w:pPr>
        <w:pStyle w:val="Ttulo1"/>
        <w:jc w:val="both"/>
        <w:rPr>
          <w:b/>
          <w:color w:val="auto"/>
          <w:sz w:val="24"/>
          <w:szCs w:val="24"/>
        </w:rPr>
      </w:pPr>
      <w:r w:rsidRPr="009428E9">
        <w:rPr>
          <w:b/>
          <w:color w:val="auto"/>
          <w:sz w:val="24"/>
          <w:szCs w:val="24"/>
        </w:rPr>
        <w:t>INDICAR SI EN EL PROCESO DE CONTRATACIÓN HAY LUGAR A PRECALIFICACIÓN</w:t>
      </w:r>
    </w:p>
    <w:p w:rsidR="001C424F" w:rsidRPr="00F90D94" w:rsidRDefault="001C424F" w:rsidP="0048774D">
      <w:pPr>
        <w:jc w:val="both"/>
        <w:rPr>
          <w:rFonts w:ascii="Arial Narrow" w:hAnsi="Arial Narrow"/>
          <w:sz w:val="24"/>
          <w:szCs w:val="24"/>
        </w:rPr>
      </w:pPr>
      <w:r w:rsidRPr="00F90D94">
        <w:rPr>
          <w:rFonts w:ascii="Arial Narrow" w:hAnsi="Arial Narrow"/>
          <w:sz w:val="24"/>
          <w:szCs w:val="24"/>
        </w:rPr>
        <w:t xml:space="preserve">En este proceso de selección </w:t>
      </w:r>
      <w:r w:rsidR="008A183C" w:rsidRPr="008A183C">
        <w:rPr>
          <w:rFonts w:ascii="Arial Narrow" w:hAnsi="Arial Narrow"/>
          <w:b/>
          <w:sz w:val="24"/>
          <w:szCs w:val="24"/>
        </w:rPr>
        <w:t>NO</w:t>
      </w:r>
      <w:r w:rsidRPr="00F90D94">
        <w:rPr>
          <w:rFonts w:ascii="Arial Narrow" w:hAnsi="Arial Narrow"/>
          <w:sz w:val="24"/>
          <w:szCs w:val="24"/>
        </w:rPr>
        <w:t xml:space="preserve"> hay lugar a precalificación</w:t>
      </w:r>
      <w:r w:rsidR="00FD2EBB" w:rsidRPr="00F90D94">
        <w:rPr>
          <w:rFonts w:ascii="Arial Narrow" w:hAnsi="Arial Narrow"/>
          <w:sz w:val="24"/>
          <w:szCs w:val="24"/>
        </w:rPr>
        <w:t xml:space="preserve"> en virtud de que no es un Concurso de Méritos.</w:t>
      </w:r>
    </w:p>
    <w:p w:rsidR="00A51E01" w:rsidRPr="009428E9" w:rsidRDefault="00E873FE" w:rsidP="00DD5C8E">
      <w:pPr>
        <w:pStyle w:val="Ttulo1"/>
        <w:jc w:val="center"/>
        <w:rPr>
          <w:b/>
          <w:color w:val="auto"/>
          <w:sz w:val="24"/>
          <w:szCs w:val="24"/>
        </w:rPr>
      </w:pPr>
      <w:r w:rsidRPr="009428E9">
        <w:rPr>
          <w:b/>
          <w:color w:val="auto"/>
          <w:sz w:val="24"/>
          <w:szCs w:val="24"/>
        </w:rPr>
        <w:lastRenderedPageBreak/>
        <w:t>CRONOGRAMA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5"/>
        <w:gridCol w:w="4243"/>
        <w:gridCol w:w="90"/>
      </w:tblGrid>
      <w:tr w:rsidR="00C7299F" w:rsidRPr="00C7299F" w:rsidTr="00C7299F">
        <w:trPr>
          <w:tblCellSpacing w:w="0" w:type="dxa"/>
        </w:trPr>
        <w:tc>
          <w:tcPr>
            <w:tcW w:w="0" w:type="auto"/>
            <w:vAlign w:val="center"/>
            <w:hideMark/>
          </w:tcPr>
          <w:p w:rsidR="00C7299F" w:rsidRDefault="00C7299F" w:rsidP="00C7299F">
            <w:pPr>
              <w:spacing w:after="0" w:line="240" w:lineRule="auto"/>
              <w:rPr>
                <w:rFonts w:ascii="Times New Roman" w:eastAsia="Times New Roman" w:hAnsi="Times New Roman" w:cs="Times New Roman"/>
                <w:sz w:val="24"/>
                <w:szCs w:val="24"/>
                <w:lang w:val="es-ES" w:eastAsia="es-ES"/>
              </w:rPr>
            </w:pPr>
          </w:p>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Zona horaria</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Publicación del aviso de convocatoria pública</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11 horas de tiempo transcurrido (03/04/2018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Publicación de estudios previos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11 horas de tiempo transcurrido (03/04/2018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Fecha de Publicación del Proyecto de Pliego de Condiciones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12 horas de tiempo transcurrido (03/04/2018 10:43:08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Plazo para presentar observaciones al proyecto de Pliego de Condiciones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6 días para terminar (10/04/2018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xml:space="preserve">Plazo para manifestación de interés de limitar la convocatoria a </w:t>
            </w:r>
            <w:proofErr w:type="spellStart"/>
            <w:r w:rsidRPr="00C7299F">
              <w:rPr>
                <w:rFonts w:ascii="Times New Roman" w:eastAsia="Times New Roman" w:hAnsi="Times New Roman" w:cs="Times New Roman"/>
                <w:sz w:val="24"/>
                <w:szCs w:val="24"/>
                <w:lang w:val="es-ES" w:eastAsia="es-ES"/>
              </w:rPr>
              <w:t>Mypes</w:t>
            </w:r>
            <w:proofErr w:type="spellEnd"/>
            <w:r w:rsidRPr="00C7299F">
              <w:rPr>
                <w:rFonts w:ascii="Times New Roman" w:eastAsia="Times New Roman" w:hAnsi="Times New Roman" w:cs="Times New Roman"/>
                <w:sz w:val="24"/>
                <w:szCs w:val="24"/>
                <w:lang w:val="es-ES" w:eastAsia="es-ES"/>
              </w:rPr>
              <w:t xml:space="preserve"> y/o </w:t>
            </w:r>
            <w:proofErr w:type="spellStart"/>
            <w:r w:rsidRPr="00C7299F">
              <w:rPr>
                <w:rFonts w:ascii="Times New Roman" w:eastAsia="Times New Roman" w:hAnsi="Times New Roman" w:cs="Times New Roman"/>
                <w:sz w:val="24"/>
                <w:szCs w:val="24"/>
                <w:lang w:val="es-ES" w:eastAsia="es-ES"/>
              </w:rPr>
              <w:t>Mipymes</w:t>
            </w:r>
            <w:proofErr w:type="spellEnd"/>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xml:space="preserve">- </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Respuesta a las observaciones al Pliego de Condiciones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9 días para terminar (13/04/2018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Fecha Prevista de Publicación del Pliego de Condiciones Definitivo y Demonstración de Interés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12 días para terminar (16/04/2018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Expedición y publicación acto administrativo de apertura del proceso de selección</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12 días para terminar (16/04/2018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Plazo para manifestación de Interés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15 días para terminar (19/04/2018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Realización del sorteo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15 días para terminar (20/04/2018 10:00:00 AM(UTC-05:00)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Publicación de la lista de precalificados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16 días para terminar (20/04/2018 02:00:00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Presentación de Observaciones a los Pliego de Condiciones definitivos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19 días para terminar (23/04/2018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Respuesta a las observaciones al Pliego de Condiciones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22 días para terminar (26/04/2018 07:00:00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Plazo máximo para expedir adendas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22 días para terminar (26/04/2018 07:00:00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lastRenderedPageBreak/>
              <w:t>Presentación de Ofertas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23 días para terminar (27/04/2018 07:00:00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Apertura de Ofertas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25 días para terminar (30/04/2018 10:00:00 AM(UTC-05:00)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Informe de presentación de Ofertas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26 días para terminar (30/04/2018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Publicación del informe de evaluación de las Ofertas</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26 días para terminar (30/04/2018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Presentación de observaciones al informe de verificación o evaluación</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30 días para terminar (04/05/2018 11:59:00 PM(UTC-05:00)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Publicación Acto Administrativo de adjudicación o de Declaratoria de Desierto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07/05/2018 11:59:00 PM ((UTC-05:00)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Firma del Contrato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08/05/2018 11:59:00 PM ((UTC-05:00)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Entrega de la garantía única de cumplimiento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09/05/2018 11:59:00 PM ((UTC-05:00)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Aprobación de Póliza e inicio de ejecución del contrato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15/05/2018 11:59:00 PM ((UTC-05:00) Bogotá, Lima, Quito)</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 </w:t>
            </w:r>
          </w:p>
        </w:tc>
      </w:tr>
    </w:tbl>
    <w:p w:rsidR="00C7299F" w:rsidRPr="00C7299F" w:rsidRDefault="00C7299F" w:rsidP="00C7299F">
      <w:pPr>
        <w:spacing w:after="0" w:line="240" w:lineRule="auto"/>
        <w:rPr>
          <w:rFonts w:ascii="Times New Roman" w:eastAsia="Times New Roman" w:hAnsi="Times New Roman" w:cs="Times New Roman"/>
          <w:vanish/>
          <w:sz w:val="24"/>
          <w:szCs w:val="24"/>
          <w:lang w:val="es-ES" w:eastAsia="es-ES"/>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929"/>
        <w:gridCol w:w="770"/>
        <w:gridCol w:w="36"/>
      </w:tblGrid>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Plazo de validez de las ofertas</w:t>
            </w:r>
          </w:p>
        </w:tc>
        <w:tc>
          <w:tcPr>
            <w:tcW w:w="0" w:type="auto"/>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70"/>
              <w:gridCol w:w="470"/>
            </w:tblGrid>
            <w:tr w:rsidR="00C7299F" w:rsidRP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90</w:t>
                  </w: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r w:rsidRPr="00C7299F">
                    <w:rPr>
                      <w:rFonts w:ascii="Times New Roman" w:eastAsia="Times New Roman" w:hAnsi="Times New Roman" w:cs="Times New Roman"/>
                      <w:sz w:val="24"/>
                      <w:szCs w:val="24"/>
                      <w:lang w:val="es-ES" w:eastAsia="es-ES"/>
                    </w:rPr>
                    <w:t>Días</w:t>
                  </w:r>
                </w:p>
              </w:tc>
            </w:tr>
          </w:tbl>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p>
        </w:tc>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0"/>
                <w:szCs w:val="20"/>
                <w:lang w:val="es-ES" w:eastAsia="es-ES"/>
              </w:rPr>
            </w:pPr>
          </w:p>
        </w:tc>
      </w:tr>
    </w:tbl>
    <w:p w:rsidR="00C7299F" w:rsidRPr="00C7299F" w:rsidRDefault="00C7299F" w:rsidP="00C7299F">
      <w:pPr>
        <w:spacing w:after="0" w:line="240" w:lineRule="auto"/>
        <w:rPr>
          <w:rFonts w:ascii="Times New Roman" w:eastAsia="Times New Roman" w:hAnsi="Times New Roman" w:cs="Times New Roman"/>
          <w:vanish/>
          <w:sz w:val="24"/>
          <w:szCs w:val="24"/>
          <w:lang w:val="es-ES" w:eastAsia="es-ES"/>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C7299F" w:rsidRPr="00C7299F" w:rsidTr="00C7299F">
        <w:trPr>
          <w:tblCellSpacing w:w="0" w:type="dxa"/>
        </w:trPr>
        <w:tc>
          <w:tcPr>
            <w:tcW w:w="0" w:type="auto"/>
            <w:vAlign w:val="center"/>
            <w:hideMark/>
          </w:tcPr>
          <w:p w:rsidR="00C7299F" w:rsidRPr="00C7299F" w:rsidRDefault="00C7299F" w:rsidP="00C7299F">
            <w:pPr>
              <w:spacing w:after="0" w:line="240" w:lineRule="auto"/>
              <w:rPr>
                <w:rFonts w:ascii="Times New Roman" w:eastAsia="Times New Roman" w:hAnsi="Times New Roman" w:cs="Times New Roman"/>
                <w:sz w:val="24"/>
                <w:szCs w:val="24"/>
                <w:lang w:val="es-ES" w:eastAsia="es-ES"/>
              </w:rPr>
            </w:pPr>
          </w:p>
        </w:tc>
      </w:tr>
    </w:tbl>
    <w:p w:rsidR="002B249C" w:rsidRPr="002B249C" w:rsidRDefault="002B249C" w:rsidP="002B249C"/>
    <w:p w:rsidR="00F4602C" w:rsidRPr="003651B4" w:rsidRDefault="00F4602C" w:rsidP="00E809A8">
      <w:pPr>
        <w:pStyle w:val="Ttulo1"/>
        <w:spacing w:before="0" w:line="240" w:lineRule="auto"/>
        <w:jc w:val="both"/>
        <w:rPr>
          <w:b/>
          <w:color w:val="auto"/>
        </w:rPr>
      </w:pPr>
      <w:r w:rsidRPr="00E809A8">
        <w:rPr>
          <w:b/>
          <w:color w:val="auto"/>
          <w:sz w:val="24"/>
          <w:szCs w:val="24"/>
        </w:rPr>
        <w:t>LA FORMA COMO LOS INTERESADOS PUEDEN CONSU</w:t>
      </w:r>
      <w:r w:rsidR="0048774D" w:rsidRPr="00E809A8">
        <w:rPr>
          <w:b/>
          <w:color w:val="auto"/>
          <w:sz w:val="24"/>
          <w:szCs w:val="24"/>
        </w:rPr>
        <w:t>LTAR LOS DOCUMENTOS DEL PROCESO</w:t>
      </w:r>
      <w:r w:rsidR="0048774D" w:rsidRPr="003651B4">
        <w:rPr>
          <w:b/>
          <w:color w:val="auto"/>
        </w:rPr>
        <w:t>.</w:t>
      </w:r>
    </w:p>
    <w:p w:rsidR="00E809A8" w:rsidRDefault="00E809A8" w:rsidP="0048774D">
      <w:pPr>
        <w:pStyle w:val="Sinespaciado"/>
        <w:jc w:val="both"/>
        <w:rPr>
          <w:rFonts w:ascii="Arial Narrow" w:hAnsi="Arial Narrow"/>
          <w:sz w:val="24"/>
          <w:szCs w:val="24"/>
        </w:rPr>
      </w:pPr>
    </w:p>
    <w:p w:rsidR="00F4602C" w:rsidRDefault="00F4602C" w:rsidP="0048774D">
      <w:pPr>
        <w:pStyle w:val="Sinespaciado"/>
        <w:jc w:val="both"/>
        <w:rPr>
          <w:rFonts w:ascii="Arial Narrow" w:hAnsi="Arial Narrow"/>
          <w:sz w:val="24"/>
          <w:szCs w:val="24"/>
        </w:rPr>
      </w:pPr>
      <w:r w:rsidRPr="00A40D78">
        <w:rPr>
          <w:rFonts w:ascii="Arial Narrow" w:hAnsi="Arial Narrow"/>
          <w:sz w:val="24"/>
          <w:szCs w:val="24"/>
        </w:rPr>
        <w:t xml:space="preserve">Los estudios previos y el proyecto del pliego de condiciones podrán ser consultados por los interesados </w:t>
      </w:r>
      <w:r w:rsidR="00014EBA" w:rsidRPr="002E1D0D">
        <w:rPr>
          <w:rFonts w:ascii="Arial Narrow" w:hAnsi="Arial Narrow"/>
          <w:sz w:val="24"/>
          <w:szCs w:val="24"/>
        </w:rPr>
        <w:t>a través de la plataforma del SECOP II</w:t>
      </w:r>
      <w:r w:rsidR="00014EBA">
        <w:rPr>
          <w:rFonts w:ascii="Arial Narrow" w:hAnsi="Arial Narrow"/>
          <w:sz w:val="24"/>
          <w:szCs w:val="24"/>
        </w:rPr>
        <w:t>.</w:t>
      </w:r>
    </w:p>
    <w:p w:rsidR="00F1047A" w:rsidRDefault="00F1047A" w:rsidP="0048774D">
      <w:pPr>
        <w:pStyle w:val="Sinespaciado"/>
        <w:jc w:val="both"/>
        <w:rPr>
          <w:rFonts w:ascii="Arial Narrow" w:hAnsi="Arial Narrow"/>
          <w:sz w:val="24"/>
          <w:szCs w:val="24"/>
        </w:rPr>
      </w:pPr>
    </w:p>
    <w:p w:rsidR="00F1047A" w:rsidRDefault="00F1047A" w:rsidP="0048774D">
      <w:pPr>
        <w:pStyle w:val="Sinespaciado"/>
        <w:jc w:val="both"/>
        <w:rPr>
          <w:rFonts w:ascii="Arial Narrow" w:hAnsi="Arial Narrow"/>
          <w:sz w:val="24"/>
          <w:szCs w:val="24"/>
        </w:rPr>
      </w:pPr>
    </w:p>
    <w:p w:rsidR="00F1047A" w:rsidRDefault="00F1047A" w:rsidP="0048774D">
      <w:pPr>
        <w:pStyle w:val="Sinespaciado"/>
        <w:jc w:val="both"/>
        <w:rPr>
          <w:rFonts w:ascii="Arial Narrow" w:hAnsi="Arial Narrow"/>
          <w:sz w:val="24"/>
          <w:szCs w:val="24"/>
        </w:rPr>
      </w:pPr>
      <w:r>
        <w:rPr>
          <w:rFonts w:ascii="Arial Narrow" w:hAnsi="Arial Narrow"/>
          <w:sz w:val="24"/>
          <w:szCs w:val="24"/>
        </w:rPr>
        <w:t>El presente aviso se publica en cumplimiento de lo dispuesto en el artículo 2.2.1.1.2.1.2 del Decreto 1082 de 2015.</w:t>
      </w:r>
    </w:p>
    <w:p w:rsidR="00F1047A" w:rsidRDefault="00F1047A" w:rsidP="0048774D">
      <w:pPr>
        <w:pStyle w:val="Sinespaciado"/>
        <w:jc w:val="both"/>
        <w:rPr>
          <w:rFonts w:ascii="Arial Narrow" w:hAnsi="Arial Narrow"/>
          <w:sz w:val="24"/>
          <w:szCs w:val="24"/>
        </w:rPr>
      </w:pPr>
    </w:p>
    <w:p w:rsidR="00F1047A" w:rsidRDefault="00F1047A" w:rsidP="0048774D">
      <w:pPr>
        <w:pStyle w:val="Sinespaciado"/>
        <w:jc w:val="both"/>
        <w:rPr>
          <w:rFonts w:ascii="Arial Narrow" w:hAnsi="Arial Narrow"/>
          <w:sz w:val="24"/>
          <w:szCs w:val="24"/>
        </w:rPr>
      </w:pPr>
    </w:p>
    <w:p w:rsidR="00F1047A" w:rsidRDefault="00F1047A" w:rsidP="0048774D">
      <w:pPr>
        <w:pStyle w:val="Sinespaciado"/>
        <w:jc w:val="both"/>
        <w:rPr>
          <w:rFonts w:ascii="Arial Narrow" w:hAnsi="Arial Narrow"/>
          <w:sz w:val="24"/>
          <w:szCs w:val="24"/>
        </w:rPr>
      </w:pPr>
    </w:p>
    <w:p w:rsidR="00F1047A" w:rsidRPr="00A40D78" w:rsidRDefault="00083C17" w:rsidP="0048774D">
      <w:pPr>
        <w:pStyle w:val="Sinespaciado"/>
        <w:jc w:val="both"/>
        <w:rPr>
          <w:rFonts w:ascii="Arial Narrow" w:hAnsi="Arial Narrow"/>
          <w:sz w:val="24"/>
          <w:szCs w:val="24"/>
        </w:rPr>
      </w:pPr>
      <w:r>
        <w:rPr>
          <w:rFonts w:ascii="Arial Narrow" w:hAnsi="Arial Narrow"/>
          <w:sz w:val="24"/>
          <w:szCs w:val="24"/>
        </w:rPr>
        <w:t>Bogotá D.C., 03</w:t>
      </w:r>
      <w:r w:rsidR="00F1047A">
        <w:rPr>
          <w:rFonts w:ascii="Arial Narrow" w:hAnsi="Arial Narrow"/>
          <w:sz w:val="24"/>
          <w:szCs w:val="24"/>
        </w:rPr>
        <w:t xml:space="preserve"> de </w:t>
      </w:r>
      <w:r>
        <w:rPr>
          <w:rFonts w:ascii="Arial Narrow" w:hAnsi="Arial Narrow"/>
          <w:sz w:val="24"/>
          <w:szCs w:val="24"/>
        </w:rPr>
        <w:t>abril</w:t>
      </w:r>
      <w:r w:rsidR="00F1047A">
        <w:rPr>
          <w:rFonts w:ascii="Arial Narrow" w:hAnsi="Arial Narrow"/>
          <w:sz w:val="24"/>
          <w:szCs w:val="24"/>
        </w:rPr>
        <w:t xml:space="preserve"> de 2018.</w:t>
      </w:r>
    </w:p>
    <w:sectPr w:rsidR="00F1047A" w:rsidRPr="00A40D78" w:rsidSect="002E1D0D">
      <w:headerReference w:type="even" r:id="rId10"/>
      <w:headerReference w:type="default" r:id="rId11"/>
      <w:footerReference w:type="even" r:id="rId12"/>
      <w:footerReference w:type="default" r:id="rId13"/>
      <w:headerReference w:type="first" r:id="rId14"/>
      <w:footerReference w:type="first" r:id="rId15"/>
      <w:pgSz w:w="12240" w:h="15840"/>
      <w:pgMar w:top="2091" w:right="1701" w:bottom="1702" w:left="1701" w:header="1394"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34" w:rsidRDefault="00A62B34" w:rsidP="00FC2FA5">
      <w:pPr>
        <w:spacing w:after="0" w:line="240" w:lineRule="auto"/>
      </w:pPr>
      <w:r>
        <w:separator/>
      </w:r>
    </w:p>
  </w:endnote>
  <w:endnote w:type="continuationSeparator" w:id="0">
    <w:p w:rsidR="00A62B34" w:rsidRDefault="00A62B34" w:rsidP="00FC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7A" w:rsidRDefault="00F104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7A" w:rsidRDefault="00F96924">
    <w:pPr>
      <w:pStyle w:val="Piedepgina"/>
    </w:pPr>
    <w:r>
      <w:rPr>
        <w:noProof/>
        <w:lang w:val="es-ES" w:eastAsia="es-ES"/>
      </w:rPr>
      <w:drawing>
        <wp:inline distT="0" distB="0" distL="0" distR="0" wp14:anchorId="62614DD5">
          <wp:extent cx="6389370" cy="6584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65849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7A" w:rsidRDefault="00F104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34" w:rsidRDefault="00A62B34" w:rsidP="00FC2FA5">
      <w:pPr>
        <w:spacing w:after="0" w:line="240" w:lineRule="auto"/>
      </w:pPr>
      <w:r>
        <w:separator/>
      </w:r>
    </w:p>
  </w:footnote>
  <w:footnote w:type="continuationSeparator" w:id="0">
    <w:p w:rsidR="00A62B34" w:rsidRDefault="00A62B34" w:rsidP="00FC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A5" w:rsidRDefault="00A62B3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8" o:spid="_x0000_s2050" type="#_x0000_t75" style="position:absolute;margin-left:0;margin-top:0;width:612pt;height:11in;z-index:-251657216;mso-position-horizontal:center;mso-position-horizontal-relative:margin;mso-position-vertical:center;mso-position-vertical-relative:margin" o:allowincell="f">
          <v:imagedata r:id="rId1" o:title="FORMATO RESOLUCION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A5" w:rsidRDefault="00F96924">
    <w:pPr>
      <w:pStyle w:val="Encabezado"/>
    </w:pPr>
    <w:r>
      <w:rPr>
        <w:noProof/>
        <w:lang w:val="es-ES" w:eastAsia="es-ES"/>
      </w:rPr>
      <w:drawing>
        <wp:inline distT="0" distB="0" distL="0" distR="0" wp14:anchorId="2C26203F">
          <wp:extent cx="6373766" cy="775778"/>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225" cy="8117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A5" w:rsidRDefault="00A62B3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161017" o:spid="_x0000_s2049" type="#_x0000_t75" style="position:absolute;margin-left:0;margin-top:0;width:612pt;height:11in;z-index:-251658240;mso-position-horizontal:center;mso-position-horizontal-relative:margin;mso-position-vertical:center;mso-position-vertical-relative:margin" o:allowincell="f">
          <v:imagedata r:id="rId1" o:title="FORMATO RESOLUCION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3E21"/>
    <w:multiLevelType w:val="hybridMultilevel"/>
    <w:tmpl w:val="893AEBF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C2AB1"/>
    <w:multiLevelType w:val="hybridMultilevel"/>
    <w:tmpl w:val="118EBD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910EC1"/>
    <w:multiLevelType w:val="multilevel"/>
    <w:tmpl w:val="79843B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49D27ED"/>
    <w:multiLevelType w:val="hybridMultilevel"/>
    <w:tmpl w:val="77A80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09020B"/>
    <w:multiLevelType w:val="hybridMultilevel"/>
    <w:tmpl w:val="3A8A09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4A1567"/>
    <w:multiLevelType w:val="hybridMultilevel"/>
    <w:tmpl w:val="74AA2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C54294"/>
    <w:multiLevelType w:val="hybridMultilevel"/>
    <w:tmpl w:val="B0AC5300"/>
    <w:lvl w:ilvl="0" w:tplc="23223CFA">
      <w:start w:val="1000"/>
      <w:numFmt w:val="decimal"/>
      <w:lvlText w:val="%1"/>
      <w:lvlJc w:val="left"/>
      <w:pPr>
        <w:ind w:left="840" w:hanging="4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392587A"/>
    <w:multiLevelType w:val="hybridMultilevel"/>
    <w:tmpl w:val="521A1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2F403B"/>
    <w:multiLevelType w:val="multilevel"/>
    <w:tmpl w:val="7324BF60"/>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1DC7EE2"/>
    <w:multiLevelType w:val="hybridMultilevel"/>
    <w:tmpl w:val="FB442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B113C11"/>
    <w:multiLevelType w:val="hybridMultilevel"/>
    <w:tmpl w:val="9D0EC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681D79"/>
    <w:multiLevelType w:val="hybridMultilevel"/>
    <w:tmpl w:val="FEC09F22"/>
    <w:lvl w:ilvl="0" w:tplc="5CD85CD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9262E0"/>
    <w:multiLevelType w:val="hybridMultilevel"/>
    <w:tmpl w:val="0CA67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7"/>
  </w:num>
  <w:num w:numId="5">
    <w:abstractNumId w:val="10"/>
  </w:num>
  <w:num w:numId="6">
    <w:abstractNumId w:val="11"/>
  </w:num>
  <w:num w:numId="7">
    <w:abstractNumId w:val="0"/>
  </w:num>
  <w:num w:numId="8">
    <w:abstractNumId w:val="8"/>
  </w:num>
  <w:num w:numId="9">
    <w:abstractNumId w:val="1"/>
  </w:num>
  <w:num w:numId="10">
    <w:abstractNumId w:val="9"/>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A5"/>
    <w:rsid w:val="00014EBA"/>
    <w:rsid w:val="000612B6"/>
    <w:rsid w:val="0007413E"/>
    <w:rsid w:val="00083B53"/>
    <w:rsid w:val="00083C17"/>
    <w:rsid w:val="0009218E"/>
    <w:rsid w:val="00094BB7"/>
    <w:rsid w:val="000B55C5"/>
    <w:rsid w:val="000C177F"/>
    <w:rsid w:val="000D5B43"/>
    <w:rsid w:val="0010313B"/>
    <w:rsid w:val="00113742"/>
    <w:rsid w:val="00121F35"/>
    <w:rsid w:val="001367B4"/>
    <w:rsid w:val="001441EC"/>
    <w:rsid w:val="00147105"/>
    <w:rsid w:val="001500F6"/>
    <w:rsid w:val="00156A17"/>
    <w:rsid w:val="0017062F"/>
    <w:rsid w:val="001706DE"/>
    <w:rsid w:val="001708C5"/>
    <w:rsid w:val="001717EB"/>
    <w:rsid w:val="001A2105"/>
    <w:rsid w:val="001B333C"/>
    <w:rsid w:val="001B58F7"/>
    <w:rsid w:val="001B6652"/>
    <w:rsid w:val="001C424F"/>
    <w:rsid w:val="001C5D6E"/>
    <w:rsid w:val="001E4A01"/>
    <w:rsid w:val="001E58E5"/>
    <w:rsid w:val="001F3F1B"/>
    <w:rsid w:val="001F74B7"/>
    <w:rsid w:val="00207329"/>
    <w:rsid w:val="00294AF6"/>
    <w:rsid w:val="002A1B59"/>
    <w:rsid w:val="002A52A6"/>
    <w:rsid w:val="002B249C"/>
    <w:rsid w:val="002C2E28"/>
    <w:rsid w:val="002C73EE"/>
    <w:rsid w:val="002D62C6"/>
    <w:rsid w:val="002E1D0D"/>
    <w:rsid w:val="002F0638"/>
    <w:rsid w:val="003151C3"/>
    <w:rsid w:val="00333B15"/>
    <w:rsid w:val="00350313"/>
    <w:rsid w:val="003651B4"/>
    <w:rsid w:val="00380240"/>
    <w:rsid w:val="003900BD"/>
    <w:rsid w:val="003A0BAA"/>
    <w:rsid w:val="003F347E"/>
    <w:rsid w:val="003F6502"/>
    <w:rsid w:val="00403198"/>
    <w:rsid w:val="00413EB6"/>
    <w:rsid w:val="00426418"/>
    <w:rsid w:val="004427AB"/>
    <w:rsid w:val="004472DF"/>
    <w:rsid w:val="00453148"/>
    <w:rsid w:val="0047616F"/>
    <w:rsid w:val="0048605F"/>
    <w:rsid w:val="0048774D"/>
    <w:rsid w:val="00493C37"/>
    <w:rsid w:val="004A2B84"/>
    <w:rsid w:val="004A4052"/>
    <w:rsid w:val="004A5143"/>
    <w:rsid w:val="004A5CE1"/>
    <w:rsid w:val="004B0608"/>
    <w:rsid w:val="004B7BF5"/>
    <w:rsid w:val="004D7ED2"/>
    <w:rsid w:val="004F6D49"/>
    <w:rsid w:val="005054E5"/>
    <w:rsid w:val="00524DB5"/>
    <w:rsid w:val="00542CEA"/>
    <w:rsid w:val="0054515D"/>
    <w:rsid w:val="00560AA8"/>
    <w:rsid w:val="005823D3"/>
    <w:rsid w:val="00583132"/>
    <w:rsid w:val="0058445C"/>
    <w:rsid w:val="00591F36"/>
    <w:rsid w:val="005D1029"/>
    <w:rsid w:val="005F2304"/>
    <w:rsid w:val="005F2F6B"/>
    <w:rsid w:val="005F3565"/>
    <w:rsid w:val="005F647C"/>
    <w:rsid w:val="00616FA3"/>
    <w:rsid w:val="00617330"/>
    <w:rsid w:val="00617B6B"/>
    <w:rsid w:val="00623B7A"/>
    <w:rsid w:val="006305B5"/>
    <w:rsid w:val="006453B8"/>
    <w:rsid w:val="006468D4"/>
    <w:rsid w:val="0065300F"/>
    <w:rsid w:val="006A0AA9"/>
    <w:rsid w:val="006A2ED4"/>
    <w:rsid w:val="006B0019"/>
    <w:rsid w:val="006C662E"/>
    <w:rsid w:val="00701906"/>
    <w:rsid w:val="00743ED7"/>
    <w:rsid w:val="00744632"/>
    <w:rsid w:val="007509FB"/>
    <w:rsid w:val="00760AAD"/>
    <w:rsid w:val="00797867"/>
    <w:rsid w:val="007C0903"/>
    <w:rsid w:val="00836CB5"/>
    <w:rsid w:val="008515D4"/>
    <w:rsid w:val="008862B9"/>
    <w:rsid w:val="008A17E8"/>
    <w:rsid w:val="008A183C"/>
    <w:rsid w:val="008B104D"/>
    <w:rsid w:val="008C1E68"/>
    <w:rsid w:val="008C3D56"/>
    <w:rsid w:val="008C41F2"/>
    <w:rsid w:val="008D5F30"/>
    <w:rsid w:val="009217AF"/>
    <w:rsid w:val="009428E9"/>
    <w:rsid w:val="009435B1"/>
    <w:rsid w:val="00944C4E"/>
    <w:rsid w:val="00963FEB"/>
    <w:rsid w:val="009B0825"/>
    <w:rsid w:val="009B65E1"/>
    <w:rsid w:val="009B711A"/>
    <w:rsid w:val="00A21147"/>
    <w:rsid w:val="00A40D78"/>
    <w:rsid w:val="00A43262"/>
    <w:rsid w:val="00A44E82"/>
    <w:rsid w:val="00A45052"/>
    <w:rsid w:val="00A45BCD"/>
    <w:rsid w:val="00A51E01"/>
    <w:rsid w:val="00A53BE9"/>
    <w:rsid w:val="00A62B34"/>
    <w:rsid w:val="00A932C9"/>
    <w:rsid w:val="00AA5D15"/>
    <w:rsid w:val="00AA6F23"/>
    <w:rsid w:val="00B02A45"/>
    <w:rsid w:val="00B1382F"/>
    <w:rsid w:val="00B173B3"/>
    <w:rsid w:val="00B31C27"/>
    <w:rsid w:val="00B46B67"/>
    <w:rsid w:val="00B82759"/>
    <w:rsid w:val="00B92958"/>
    <w:rsid w:val="00BA4FD4"/>
    <w:rsid w:val="00BA76F2"/>
    <w:rsid w:val="00BB1347"/>
    <w:rsid w:val="00BC4142"/>
    <w:rsid w:val="00BE2C7E"/>
    <w:rsid w:val="00BE2FE6"/>
    <w:rsid w:val="00C116A8"/>
    <w:rsid w:val="00C21811"/>
    <w:rsid w:val="00C64D57"/>
    <w:rsid w:val="00C709DF"/>
    <w:rsid w:val="00C7299F"/>
    <w:rsid w:val="00C8409C"/>
    <w:rsid w:val="00C85603"/>
    <w:rsid w:val="00CA15CA"/>
    <w:rsid w:val="00CC50B9"/>
    <w:rsid w:val="00CC5CE5"/>
    <w:rsid w:val="00D0066C"/>
    <w:rsid w:val="00D12207"/>
    <w:rsid w:val="00D1303F"/>
    <w:rsid w:val="00D172D9"/>
    <w:rsid w:val="00D175A8"/>
    <w:rsid w:val="00D31AB2"/>
    <w:rsid w:val="00D40972"/>
    <w:rsid w:val="00D41FFA"/>
    <w:rsid w:val="00D64375"/>
    <w:rsid w:val="00D72085"/>
    <w:rsid w:val="00D82591"/>
    <w:rsid w:val="00DA6AAF"/>
    <w:rsid w:val="00DA7BC7"/>
    <w:rsid w:val="00DD5C8E"/>
    <w:rsid w:val="00DE101D"/>
    <w:rsid w:val="00DE776E"/>
    <w:rsid w:val="00DF7221"/>
    <w:rsid w:val="00DF77A3"/>
    <w:rsid w:val="00E02646"/>
    <w:rsid w:val="00E03449"/>
    <w:rsid w:val="00E04064"/>
    <w:rsid w:val="00E1573F"/>
    <w:rsid w:val="00E23A50"/>
    <w:rsid w:val="00E23FF1"/>
    <w:rsid w:val="00E67623"/>
    <w:rsid w:val="00E809A8"/>
    <w:rsid w:val="00E83C75"/>
    <w:rsid w:val="00E873FE"/>
    <w:rsid w:val="00E95DE8"/>
    <w:rsid w:val="00EA0CEB"/>
    <w:rsid w:val="00EA7AE4"/>
    <w:rsid w:val="00ED1747"/>
    <w:rsid w:val="00ED4609"/>
    <w:rsid w:val="00EE7BD1"/>
    <w:rsid w:val="00F1047A"/>
    <w:rsid w:val="00F216DE"/>
    <w:rsid w:val="00F245E7"/>
    <w:rsid w:val="00F4516B"/>
    <w:rsid w:val="00F4602C"/>
    <w:rsid w:val="00F475D3"/>
    <w:rsid w:val="00F605A6"/>
    <w:rsid w:val="00F90D94"/>
    <w:rsid w:val="00F96924"/>
    <w:rsid w:val="00FA550E"/>
    <w:rsid w:val="00FA6FFB"/>
    <w:rsid w:val="00FB4F16"/>
    <w:rsid w:val="00FB6129"/>
    <w:rsid w:val="00FC2FA5"/>
    <w:rsid w:val="00FD2E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60FBADB-716A-4B55-AE6D-7767D7A2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75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17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46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FA5"/>
  </w:style>
  <w:style w:type="paragraph" w:styleId="Piedepgina">
    <w:name w:val="footer"/>
    <w:basedOn w:val="Normal"/>
    <w:link w:val="PiedepginaCar"/>
    <w:uiPriority w:val="99"/>
    <w:unhideWhenUsed/>
    <w:rsid w:val="00FC2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FA5"/>
  </w:style>
  <w:style w:type="character" w:customStyle="1" w:styleId="Ttulo1Car">
    <w:name w:val="Título 1 Car"/>
    <w:basedOn w:val="Fuentedeprrafopredeter"/>
    <w:link w:val="Ttulo1"/>
    <w:uiPriority w:val="9"/>
    <w:rsid w:val="00D175A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175A8"/>
    <w:rPr>
      <w:rFonts w:asciiTheme="majorHAnsi" w:eastAsiaTheme="majorEastAsia" w:hAnsiTheme="majorHAnsi" w:cstheme="majorBidi"/>
      <w:color w:val="2E74B5" w:themeColor="accent1" w:themeShade="BF"/>
      <w:sz w:val="26"/>
      <w:szCs w:val="26"/>
    </w:rPr>
  </w:style>
  <w:style w:type="paragraph" w:customStyle="1" w:styleId="Default">
    <w:name w:val="Default"/>
    <w:link w:val="DefaultCar"/>
    <w:qFormat/>
    <w:rsid w:val="00D175A8"/>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basedOn w:val="Fuentedeprrafopredeter"/>
    <w:link w:val="Default"/>
    <w:locked/>
    <w:rsid w:val="00D175A8"/>
    <w:rPr>
      <w:rFonts w:ascii="Calibri" w:eastAsia="Times New Roman" w:hAnsi="Calibri" w:cs="Calibri"/>
      <w:color w:val="000000"/>
      <w:sz w:val="24"/>
      <w:szCs w:val="24"/>
      <w:lang w:eastAsia="es-CO"/>
    </w:rPr>
  </w:style>
  <w:style w:type="table" w:customStyle="1" w:styleId="Tabladecuadrcula1clara-nfasis11">
    <w:name w:val="Tabla de cuadrícula 1 clara - Énfasis 11"/>
    <w:basedOn w:val="Tablanormal"/>
    <w:uiPriority w:val="46"/>
    <w:rsid w:val="00F4602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F4602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F4602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rsid w:val="00F4602C"/>
    <w:rPr>
      <w:rFonts w:asciiTheme="majorHAnsi" w:eastAsiaTheme="majorEastAsia" w:hAnsiTheme="majorHAnsi" w:cstheme="majorBidi"/>
      <w:color w:val="1F4D78" w:themeColor="accent1" w:themeShade="7F"/>
      <w:sz w:val="24"/>
      <w:szCs w:val="24"/>
    </w:rPr>
  </w:style>
  <w:style w:type="paragraph" w:styleId="Prrafodelista">
    <w:name w:val="List Paragraph"/>
    <w:aliases w:val="List Paragraph1,Betulia Título 1,VIÑETA,VIÑETAS,Párrafo de lista2,Viñetas,Lista vistosa - Énfasis 13,Bullets"/>
    <w:basedOn w:val="Normal"/>
    <w:uiPriority w:val="34"/>
    <w:qFormat/>
    <w:rsid w:val="00F4602C"/>
    <w:pPr>
      <w:ind w:left="720"/>
      <w:contextualSpacing/>
    </w:pPr>
  </w:style>
  <w:style w:type="table" w:styleId="Tablaconcuadrcula">
    <w:name w:val="Table Grid"/>
    <w:basedOn w:val="Tablanormal"/>
    <w:uiPriority w:val="39"/>
    <w:rsid w:val="00F4602C"/>
    <w:pPr>
      <w:spacing w:after="0" w:line="240" w:lineRule="auto"/>
    </w:pPr>
    <w:rPr>
      <w:rFonts w:ascii="Times New Roman" w:eastAsia="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F4602C"/>
    <w:rPr>
      <w:color w:val="0000FF"/>
      <w:u w:val="single"/>
    </w:rPr>
  </w:style>
  <w:style w:type="table" w:customStyle="1" w:styleId="Tablaconcuadrcula1">
    <w:name w:val="Tabla con cuadrícula1"/>
    <w:basedOn w:val="Tablanormal"/>
    <w:next w:val="Tablaconcuadrcula"/>
    <w:uiPriority w:val="39"/>
    <w:rsid w:val="00E873FE"/>
    <w:pPr>
      <w:spacing w:after="0" w:line="240" w:lineRule="auto"/>
    </w:pPr>
    <w:rPr>
      <w:rFonts w:ascii="Times New Roman" w:eastAsia="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Appel note de bas de page,Footnotes refss,Footnote Text Char1 Car Car Car Car,f,Nota a pie"/>
    <w:basedOn w:val="Fuentedeprrafopredeter"/>
    <w:uiPriority w:val="99"/>
    <w:unhideWhenUsed/>
    <w:rsid w:val="00E873FE"/>
    <w:rPr>
      <w:rFonts w:cs="Times New Roman"/>
      <w:vertAlign w:val="superscript"/>
    </w:rPr>
  </w:style>
  <w:style w:type="paragraph" w:styleId="Subttulo">
    <w:name w:val="Subtitle"/>
    <w:basedOn w:val="Normal"/>
    <w:next w:val="Normal"/>
    <w:link w:val="SubttuloCar"/>
    <w:uiPriority w:val="11"/>
    <w:qFormat/>
    <w:rsid w:val="00121F3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21F35"/>
    <w:rPr>
      <w:rFonts w:eastAsiaTheme="minorEastAsia"/>
      <w:color w:val="5A5A5A" w:themeColor="text1" w:themeTint="A5"/>
      <w:spacing w:val="15"/>
    </w:rPr>
  </w:style>
  <w:style w:type="paragraph" w:styleId="Sinespaciado">
    <w:name w:val="No Spacing"/>
    <w:link w:val="SinespaciadoCar"/>
    <w:uiPriority w:val="1"/>
    <w:qFormat/>
    <w:rsid w:val="00B02A45"/>
    <w:pPr>
      <w:spacing w:after="0" w:line="240" w:lineRule="auto"/>
    </w:pPr>
  </w:style>
  <w:style w:type="paragraph" w:styleId="Puesto">
    <w:name w:val="Title"/>
    <w:basedOn w:val="Normal"/>
    <w:next w:val="Normal"/>
    <w:link w:val="PuestoCar"/>
    <w:uiPriority w:val="10"/>
    <w:qFormat/>
    <w:rsid w:val="00B02A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02A45"/>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2A52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2A6"/>
    <w:rPr>
      <w:rFonts w:ascii="Segoe UI" w:hAnsi="Segoe UI" w:cs="Segoe UI"/>
      <w:sz w:val="18"/>
      <w:szCs w:val="18"/>
    </w:rPr>
  </w:style>
  <w:style w:type="character" w:customStyle="1" w:styleId="SinespaciadoCar">
    <w:name w:val="Sin espaciado Car"/>
    <w:link w:val="Sinespaciado"/>
    <w:uiPriority w:val="1"/>
    <w:rsid w:val="00C85603"/>
  </w:style>
  <w:style w:type="paragraph" w:customStyle="1" w:styleId="Listavistosa-nfasis12">
    <w:name w:val="Lista vistosa - Énfasis 12"/>
    <w:aliases w:val="titulo 3,Lista multicolor - Énfasis 11,Bullet List,FooterText,numbered,Paragraphe de liste1,lp1,Bulletr List Paragraph,Foot,列出段落,列出段落1,List Paragraph2,List Paragraph21,Parágrafo da Lista1,リスト段落1,Listeafsnit1,List Paragraph,Ha"/>
    <w:basedOn w:val="Normal"/>
    <w:link w:val="Listavistosa-nfasis1Car"/>
    <w:uiPriority w:val="34"/>
    <w:qFormat/>
    <w:rsid w:val="00701906"/>
    <w:pPr>
      <w:spacing w:after="0" w:line="240" w:lineRule="auto"/>
      <w:ind w:left="708"/>
    </w:pPr>
    <w:rPr>
      <w:rFonts w:ascii="Arial" w:eastAsia="Times New Roman" w:hAnsi="Arial" w:cs="Times New Roman"/>
      <w:i/>
      <w:sz w:val="24"/>
      <w:szCs w:val="24"/>
      <w:lang w:val="es-ES" w:eastAsia="es-ES"/>
    </w:rPr>
  </w:style>
  <w:style w:type="character" w:customStyle="1" w:styleId="Listavistosa-nfasis1Car">
    <w:name w:val="Lista vistosa - Énfasis 1 Car"/>
    <w:aliases w:val="titulo 3 Car,Lista multicolor - Énfasis 11 Car,Bullet List Car,FooterText Car,numbered Car,Paragraphe de liste1 Car,lp1 Car,Bulletr List Paragraph Car,Foot Car,列出段落 Car,列出段落1 Car,List Paragraph2 Car,List Paragraph21 Car"/>
    <w:link w:val="Listavistosa-nfasis12"/>
    <w:uiPriority w:val="34"/>
    <w:locked/>
    <w:rsid w:val="00701906"/>
    <w:rPr>
      <w:rFonts w:ascii="Arial" w:eastAsia="Times New Roman" w:hAnsi="Arial" w:cs="Times New Roman"/>
      <w:i/>
      <w:sz w:val="24"/>
      <w:szCs w:val="24"/>
      <w:lang w:val="es-ES" w:eastAsia="es-ES"/>
    </w:rPr>
  </w:style>
  <w:style w:type="character" w:styleId="Refdecomentario">
    <w:name w:val="annotation reference"/>
    <w:basedOn w:val="Fuentedeprrafopredeter"/>
    <w:uiPriority w:val="99"/>
    <w:semiHidden/>
    <w:unhideWhenUsed/>
    <w:rsid w:val="001C424F"/>
    <w:rPr>
      <w:sz w:val="16"/>
      <w:szCs w:val="16"/>
    </w:rPr>
  </w:style>
  <w:style w:type="paragraph" w:styleId="Textocomentario">
    <w:name w:val="annotation text"/>
    <w:basedOn w:val="Normal"/>
    <w:link w:val="TextocomentarioCar"/>
    <w:uiPriority w:val="99"/>
    <w:semiHidden/>
    <w:unhideWhenUsed/>
    <w:rsid w:val="001C424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1C424F"/>
    <w:rPr>
      <w:rFonts w:ascii="Times New Roman" w:eastAsia="Times New Roman" w:hAnsi="Times New Roman" w:cs="Times New Roman"/>
      <w:sz w:val="20"/>
      <w:szCs w:val="20"/>
      <w:lang w:val="es-ES" w:eastAsia="es-ES"/>
    </w:rPr>
  </w:style>
  <w:style w:type="table" w:customStyle="1" w:styleId="Tabladecuadrcula4-nfasis111">
    <w:name w:val="Tabla de cuadrícula 4 - Énfasis 111"/>
    <w:basedOn w:val="Tablanormal"/>
    <w:next w:val="Tabladecuadrcula4-nfasis11"/>
    <w:uiPriority w:val="49"/>
    <w:rsid w:val="001C5D6E"/>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1">
    <w:name w:val="Grid Table 4 Accent 1"/>
    <w:basedOn w:val="Tablanormal"/>
    <w:uiPriority w:val="49"/>
    <w:rsid w:val="001C5D6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destacada">
    <w:name w:val="Intense Quote"/>
    <w:basedOn w:val="Normal"/>
    <w:next w:val="Normal"/>
    <w:link w:val="CitadestacadaCar"/>
    <w:uiPriority w:val="30"/>
    <w:qFormat/>
    <w:rsid w:val="004877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8774D"/>
    <w:rPr>
      <w:i/>
      <w:iCs/>
      <w:color w:val="5B9BD5" w:themeColor="accent1"/>
    </w:rPr>
  </w:style>
  <w:style w:type="character" w:styleId="Referenciaintensa">
    <w:name w:val="Intense Reference"/>
    <w:basedOn w:val="Fuentedeprrafopredeter"/>
    <w:uiPriority w:val="32"/>
    <w:qFormat/>
    <w:rsid w:val="0048774D"/>
    <w:rPr>
      <w:b/>
      <w:bCs/>
      <w:smallCaps/>
      <w:color w:val="5B9BD5" w:themeColor="accent1"/>
      <w:spacing w:val="5"/>
    </w:rPr>
  </w:style>
  <w:style w:type="table" w:styleId="Tabladecuadrcula4-nfasis5">
    <w:name w:val="Grid Table 4 Accent 5"/>
    <w:basedOn w:val="Tablanormal"/>
    <w:uiPriority w:val="49"/>
    <w:rsid w:val="00DA7BC7"/>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51">
    <w:name w:val="Tabla de cuadrícula 4 - Énfasis 51"/>
    <w:basedOn w:val="Tablanormal"/>
    <w:uiPriority w:val="49"/>
    <w:rsid w:val="00DA7BC7"/>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notapie">
    <w:name w:val="footnote text"/>
    <w:aliases w:val="Car,Texto nota pie Car1,Texto nota pie Car Car,Car1 Car Car,Car1 Car2,Car1,ft Car,Texto nota pie Car11,Texto nota pie Car Car1,Car1 Car Car1,Car1 Car21,Car11 Car Car,Car11 Car,texto de nota al pie,Nota a pie/Bibliog,ft Car Car,ft,FA Fu,C"/>
    <w:basedOn w:val="Normal"/>
    <w:link w:val="TextonotapieCar"/>
    <w:unhideWhenUsed/>
    <w:qFormat/>
    <w:rsid w:val="003651B4"/>
    <w:pPr>
      <w:spacing w:after="0" w:line="240" w:lineRule="auto"/>
    </w:pPr>
    <w:rPr>
      <w:sz w:val="20"/>
      <w:szCs w:val="20"/>
    </w:rPr>
  </w:style>
  <w:style w:type="character" w:customStyle="1" w:styleId="TextonotapieCar">
    <w:name w:val="Texto nota pie Car"/>
    <w:aliases w:val="Car Car,Texto nota pie Car1 Car,Texto nota pie Car Car Car,Car1 Car Car Car,Car1 Car2 Car,Car1 Car,ft Car Car1,Texto nota pie Car11 Car,Texto nota pie Car Car1 Car,Car1 Car Car1 Car,Car1 Car21 Car,Car11 Car Car Car,Car11 Car Car1"/>
    <w:basedOn w:val="Fuentedeprrafopredeter"/>
    <w:link w:val="Textonotapie"/>
    <w:rsid w:val="003651B4"/>
    <w:rPr>
      <w:sz w:val="20"/>
      <w:szCs w:val="20"/>
    </w:rPr>
  </w:style>
  <w:style w:type="character" w:styleId="Hipervnculovisitado">
    <w:name w:val="FollowedHyperlink"/>
    <w:basedOn w:val="Fuentedeprrafopredeter"/>
    <w:uiPriority w:val="99"/>
    <w:semiHidden/>
    <w:unhideWhenUsed/>
    <w:rsid w:val="002E1D0D"/>
    <w:rPr>
      <w:color w:val="954F72" w:themeColor="followedHyperlink"/>
      <w:u w:val="single"/>
    </w:rPr>
  </w:style>
  <w:style w:type="character" w:styleId="nfasis">
    <w:name w:val="Emphasis"/>
    <w:basedOn w:val="Fuentedeprrafopredeter"/>
    <w:uiPriority w:val="20"/>
    <w:qFormat/>
    <w:rsid w:val="00C21811"/>
    <w:rPr>
      <w:i/>
      <w:iCs/>
    </w:rPr>
  </w:style>
  <w:style w:type="table" w:customStyle="1" w:styleId="Tablaconcuadrcula2">
    <w:name w:val="Tabla con cuadrícula2"/>
    <w:basedOn w:val="Tablanormal"/>
    <w:next w:val="Tablaconcuadrcula"/>
    <w:uiPriority w:val="39"/>
    <w:rsid w:val="00C7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635">
      <w:bodyDiv w:val="1"/>
      <w:marLeft w:val="0"/>
      <w:marRight w:val="0"/>
      <w:marTop w:val="0"/>
      <w:marBottom w:val="0"/>
      <w:divBdr>
        <w:top w:val="none" w:sz="0" w:space="0" w:color="auto"/>
        <w:left w:val="none" w:sz="0" w:space="0" w:color="auto"/>
        <w:bottom w:val="none" w:sz="0" w:space="0" w:color="auto"/>
        <w:right w:val="none" w:sz="0" w:space="0" w:color="auto"/>
      </w:divBdr>
    </w:div>
    <w:div w:id="195506454">
      <w:bodyDiv w:val="1"/>
      <w:marLeft w:val="0"/>
      <w:marRight w:val="0"/>
      <w:marTop w:val="0"/>
      <w:marBottom w:val="0"/>
      <w:divBdr>
        <w:top w:val="none" w:sz="0" w:space="0" w:color="auto"/>
        <w:left w:val="none" w:sz="0" w:space="0" w:color="auto"/>
        <w:bottom w:val="none" w:sz="0" w:space="0" w:color="auto"/>
        <w:right w:val="none" w:sz="0" w:space="0" w:color="auto"/>
      </w:divBdr>
      <w:divsChild>
        <w:div w:id="369915633">
          <w:marLeft w:val="0"/>
          <w:marRight w:val="0"/>
          <w:marTop w:val="0"/>
          <w:marBottom w:val="0"/>
          <w:divBdr>
            <w:top w:val="none" w:sz="0" w:space="0" w:color="auto"/>
            <w:left w:val="none" w:sz="0" w:space="0" w:color="auto"/>
            <w:bottom w:val="none" w:sz="0" w:space="0" w:color="auto"/>
            <w:right w:val="none" w:sz="0" w:space="0" w:color="auto"/>
          </w:divBdr>
        </w:div>
        <w:div w:id="1012757395">
          <w:marLeft w:val="0"/>
          <w:marRight w:val="0"/>
          <w:marTop w:val="0"/>
          <w:marBottom w:val="0"/>
          <w:divBdr>
            <w:top w:val="none" w:sz="0" w:space="0" w:color="auto"/>
            <w:left w:val="none" w:sz="0" w:space="0" w:color="auto"/>
            <w:bottom w:val="none" w:sz="0" w:space="0" w:color="auto"/>
            <w:right w:val="none" w:sz="0" w:space="0" w:color="auto"/>
          </w:divBdr>
          <w:divsChild>
            <w:div w:id="1260602571">
              <w:marLeft w:val="0"/>
              <w:marRight w:val="0"/>
              <w:marTop w:val="0"/>
              <w:marBottom w:val="0"/>
              <w:divBdr>
                <w:top w:val="none" w:sz="0" w:space="0" w:color="auto"/>
                <w:left w:val="none" w:sz="0" w:space="0" w:color="auto"/>
                <w:bottom w:val="none" w:sz="0" w:space="0" w:color="auto"/>
                <w:right w:val="none" w:sz="0" w:space="0" w:color="auto"/>
              </w:divBdr>
            </w:div>
            <w:div w:id="956326720">
              <w:marLeft w:val="0"/>
              <w:marRight w:val="0"/>
              <w:marTop w:val="0"/>
              <w:marBottom w:val="0"/>
              <w:divBdr>
                <w:top w:val="none" w:sz="0" w:space="0" w:color="auto"/>
                <w:left w:val="none" w:sz="0" w:space="0" w:color="auto"/>
                <w:bottom w:val="none" w:sz="0" w:space="0" w:color="auto"/>
                <w:right w:val="none" w:sz="0" w:space="0" w:color="auto"/>
              </w:divBdr>
            </w:div>
            <w:div w:id="584729148">
              <w:marLeft w:val="0"/>
              <w:marRight w:val="0"/>
              <w:marTop w:val="0"/>
              <w:marBottom w:val="0"/>
              <w:divBdr>
                <w:top w:val="none" w:sz="0" w:space="0" w:color="auto"/>
                <w:left w:val="none" w:sz="0" w:space="0" w:color="auto"/>
                <w:bottom w:val="none" w:sz="0" w:space="0" w:color="auto"/>
                <w:right w:val="none" w:sz="0" w:space="0" w:color="auto"/>
              </w:divBdr>
            </w:div>
            <w:div w:id="43989598">
              <w:marLeft w:val="0"/>
              <w:marRight w:val="0"/>
              <w:marTop w:val="0"/>
              <w:marBottom w:val="0"/>
              <w:divBdr>
                <w:top w:val="none" w:sz="0" w:space="0" w:color="auto"/>
                <w:left w:val="none" w:sz="0" w:space="0" w:color="auto"/>
                <w:bottom w:val="none" w:sz="0" w:space="0" w:color="auto"/>
                <w:right w:val="none" w:sz="0" w:space="0" w:color="auto"/>
              </w:divBdr>
            </w:div>
            <w:div w:id="1277061452">
              <w:marLeft w:val="0"/>
              <w:marRight w:val="0"/>
              <w:marTop w:val="0"/>
              <w:marBottom w:val="0"/>
              <w:divBdr>
                <w:top w:val="none" w:sz="0" w:space="0" w:color="auto"/>
                <w:left w:val="none" w:sz="0" w:space="0" w:color="auto"/>
                <w:bottom w:val="none" w:sz="0" w:space="0" w:color="auto"/>
                <w:right w:val="none" w:sz="0" w:space="0" w:color="auto"/>
              </w:divBdr>
            </w:div>
            <w:div w:id="804352274">
              <w:marLeft w:val="0"/>
              <w:marRight w:val="0"/>
              <w:marTop w:val="0"/>
              <w:marBottom w:val="0"/>
              <w:divBdr>
                <w:top w:val="none" w:sz="0" w:space="0" w:color="auto"/>
                <w:left w:val="none" w:sz="0" w:space="0" w:color="auto"/>
                <w:bottom w:val="none" w:sz="0" w:space="0" w:color="auto"/>
                <w:right w:val="none" w:sz="0" w:space="0" w:color="auto"/>
              </w:divBdr>
            </w:div>
            <w:div w:id="1936671393">
              <w:marLeft w:val="0"/>
              <w:marRight w:val="0"/>
              <w:marTop w:val="0"/>
              <w:marBottom w:val="0"/>
              <w:divBdr>
                <w:top w:val="none" w:sz="0" w:space="0" w:color="auto"/>
                <w:left w:val="none" w:sz="0" w:space="0" w:color="auto"/>
                <w:bottom w:val="none" w:sz="0" w:space="0" w:color="auto"/>
                <w:right w:val="none" w:sz="0" w:space="0" w:color="auto"/>
              </w:divBdr>
            </w:div>
            <w:div w:id="1208449422">
              <w:marLeft w:val="0"/>
              <w:marRight w:val="0"/>
              <w:marTop w:val="0"/>
              <w:marBottom w:val="0"/>
              <w:divBdr>
                <w:top w:val="none" w:sz="0" w:space="0" w:color="auto"/>
                <w:left w:val="none" w:sz="0" w:space="0" w:color="auto"/>
                <w:bottom w:val="none" w:sz="0" w:space="0" w:color="auto"/>
                <w:right w:val="none" w:sz="0" w:space="0" w:color="auto"/>
              </w:divBdr>
            </w:div>
            <w:div w:id="1849369876">
              <w:marLeft w:val="0"/>
              <w:marRight w:val="0"/>
              <w:marTop w:val="0"/>
              <w:marBottom w:val="0"/>
              <w:divBdr>
                <w:top w:val="none" w:sz="0" w:space="0" w:color="auto"/>
                <w:left w:val="none" w:sz="0" w:space="0" w:color="auto"/>
                <w:bottom w:val="none" w:sz="0" w:space="0" w:color="auto"/>
                <w:right w:val="none" w:sz="0" w:space="0" w:color="auto"/>
              </w:divBdr>
            </w:div>
            <w:div w:id="2002730385">
              <w:marLeft w:val="0"/>
              <w:marRight w:val="0"/>
              <w:marTop w:val="0"/>
              <w:marBottom w:val="0"/>
              <w:divBdr>
                <w:top w:val="none" w:sz="0" w:space="0" w:color="auto"/>
                <w:left w:val="none" w:sz="0" w:space="0" w:color="auto"/>
                <w:bottom w:val="none" w:sz="0" w:space="0" w:color="auto"/>
                <w:right w:val="none" w:sz="0" w:space="0" w:color="auto"/>
              </w:divBdr>
            </w:div>
            <w:div w:id="210388759">
              <w:marLeft w:val="0"/>
              <w:marRight w:val="0"/>
              <w:marTop w:val="0"/>
              <w:marBottom w:val="0"/>
              <w:divBdr>
                <w:top w:val="none" w:sz="0" w:space="0" w:color="auto"/>
                <w:left w:val="none" w:sz="0" w:space="0" w:color="auto"/>
                <w:bottom w:val="none" w:sz="0" w:space="0" w:color="auto"/>
                <w:right w:val="none" w:sz="0" w:space="0" w:color="auto"/>
              </w:divBdr>
            </w:div>
            <w:div w:id="1784302405">
              <w:marLeft w:val="0"/>
              <w:marRight w:val="0"/>
              <w:marTop w:val="0"/>
              <w:marBottom w:val="0"/>
              <w:divBdr>
                <w:top w:val="none" w:sz="0" w:space="0" w:color="auto"/>
                <w:left w:val="none" w:sz="0" w:space="0" w:color="auto"/>
                <w:bottom w:val="none" w:sz="0" w:space="0" w:color="auto"/>
                <w:right w:val="none" w:sz="0" w:space="0" w:color="auto"/>
              </w:divBdr>
            </w:div>
            <w:div w:id="1089346772">
              <w:marLeft w:val="0"/>
              <w:marRight w:val="0"/>
              <w:marTop w:val="0"/>
              <w:marBottom w:val="0"/>
              <w:divBdr>
                <w:top w:val="none" w:sz="0" w:space="0" w:color="auto"/>
                <w:left w:val="none" w:sz="0" w:space="0" w:color="auto"/>
                <w:bottom w:val="none" w:sz="0" w:space="0" w:color="auto"/>
                <w:right w:val="none" w:sz="0" w:space="0" w:color="auto"/>
              </w:divBdr>
            </w:div>
            <w:div w:id="31805963">
              <w:marLeft w:val="0"/>
              <w:marRight w:val="0"/>
              <w:marTop w:val="0"/>
              <w:marBottom w:val="0"/>
              <w:divBdr>
                <w:top w:val="none" w:sz="0" w:space="0" w:color="auto"/>
                <w:left w:val="none" w:sz="0" w:space="0" w:color="auto"/>
                <w:bottom w:val="none" w:sz="0" w:space="0" w:color="auto"/>
                <w:right w:val="none" w:sz="0" w:space="0" w:color="auto"/>
              </w:divBdr>
            </w:div>
            <w:div w:id="480538346">
              <w:marLeft w:val="0"/>
              <w:marRight w:val="0"/>
              <w:marTop w:val="0"/>
              <w:marBottom w:val="0"/>
              <w:divBdr>
                <w:top w:val="none" w:sz="0" w:space="0" w:color="auto"/>
                <w:left w:val="none" w:sz="0" w:space="0" w:color="auto"/>
                <w:bottom w:val="none" w:sz="0" w:space="0" w:color="auto"/>
                <w:right w:val="none" w:sz="0" w:space="0" w:color="auto"/>
              </w:divBdr>
            </w:div>
            <w:div w:id="833448609">
              <w:marLeft w:val="0"/>
              <w:marRight w:val="0"/>
              <w:marTop w:val="0"/>
              <w:marBottom w:val="0"/>
              <w:divBdr>
                <w:top w:val="none" w:sz="0" w:space="0" w:color="auto"/>
                <w:left w:val="none" w:sz="0" w:space="0" w:color="auto"/>
                <w:bottom w:val="none" w:sz="0" w:space="0" w:color="auto"/>
                <w:right w:val="none" w:sz="0" w:space="0" w:color="auto"/>
              </w:divBdr>
            </w:div>
            <w:div w:id="1341859713">
              <w:marLeft w:val="0"/>
              <w:marRight w:val="0"/>
              <w:marTop w:val="0"/>
              <w:marBottom w:val="0"/>
              <w:divBdr>
                <w:top w:val="none" w:sz="0" w:space="0" w:color="auto"/>
                <w:left w:val="none" w:sz="0" w:space="0" w:color="auto"/>
                <w:bottom w:val="none" w:sz="0" w:space="0" w:color="auto"/>
                <w:right w:val="none" w:sz="0" w:space="0" w:color="auto"/>
              </w:divBdr>
            </w:div>
            <w:div w:id="195697210">
              <w:marLeft w:val="0"/>
              <w:marRight w:val="0"/>
              <w:marTop w:val="0"/>
              <w:marBottom w:val="0"/>
              <w:divBdr>
                <w:top w:val="none" w:sz="0" w:space="0" w:color="auto"/>
                <w:left w:val="none" w:sz="0" w:space="0" w:color="auto"/>
                <w:bottom w:val="none" w:sz="0" w:space="0" w:color="auto"/>
                <w:right w:val="none" w:sz="0" w:space="0" w:color="auto"/>
              </w:divBdr>
            </w:div>
            <w:div w:id="710689025">
              <w:marLeft w:val="0"/>
              <w:marRight w:val="0"/>
              <w:marTop w:val="0"/>
              <w:marBottom w:val="0"/>
              <w:divBdr>
                <w:top w:val="none" w:sz="0" w:space="0" w:color="auto"/>
                <w:left w:val="none" w:sz="0" w:space="0" w:color="auto"/>
                <w:bottom w:val="none" w:sz="0" w:space="0" w:color="auto"/>
                <w:right w:val="none" w:sz="0" w:space="0" w:color="auto"/>
              </w:divBdr>
            </w:div>
            <w:div w:id="1490294659">
              <w:marLeft w:val="0"/>
              <w:marRight w:val="0"/>
              <w:marTop w:val="0"/>
              <w:marBottom w:val="0"/>
              <w:divBdr>
                <w:top w:val="none" w:sz="0" w:space="0" w:color="auto"/>
                <w:left w:val="none" w:sz="0" w:space="0" w:color="auto"/>
                <w:bottom w:val="none" w:sz="0" w:space="0" w:color="auto"/>
                <w:right w:val="none" w:sz="0" w:space="0" w:color="auto"/>
              </w:divBdr>
            </w:div>
            <w:div w:id="2097900290">
              <w:marLeft w:val="0"/>
              <w:marRight w:val="0"/>
              <w:marTop w:val="0"/>
              <w:marBottom w:val="0"/>
              <w:divBdr>
                <w:top w:val="none" w:sz="0" w:space="0" w:color="auto"/>
                <w:left w:val="none" w:sz="0" w:space="0" w:color="auto"/>
                <w:bottom w:val="none" w:sz="0" w:space="0" w:color="auto"/>
                <w:right w:val="none" w:sz="0" w:space="0" w:color="auto"/>
              </w:divBdr>
            </w:div>
            <w:div w:id="1262881690">
              <w:marLeft w:val="0"/>
              <w:marRight w:val="0"/>
              <w:marTop w:val="0"/>
              <w:marBottom w:val="0"/>
              <w:divBdr>
                <w:top w:val="none" w:sz="0" w:space="0" w:color="auto"/>
                <w:left w:val="none" w:sz="0" w:space="0" w:color="auto"/>
                <w:bottom w:val="none" w:sz="0" w:space="0" w:color="auto"/>
                <w:right w:val="none" w:sz="0" w:space="0" w:color="auto"/>
              </w:divBdr>
            </w:div>
            <w:div w:id="3839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8220">
      <w:bodyDiv w:val="1"/>
      <w:marLeft w:val="0"/>
      <w:marRight w:val="0"/>
      <w:marTop w:val="0"/>
      <w:marBottom w:val="0"/>
      <w:divBdr>
        <w:top w:val="none" w:sz="0" w:space="0" w:color="auto"/>
        <w:left w:val="none" w:sz="0" w:space="0" w:color="auto"/>
        <w:bottom w:val="none" w:sz="0" w:space="0" w:color="auto"/>
        <w:right w:val="none" w:sz="0" w:space="0" w:color="auto"/>
      </w:divBdr>
    </w:div>
    <w:div w:id="610556788">
      <w:bodyDiv w:val="1"/>
      <w:marLeft w:val="0"/>
      <w:marRight w:val="0"/>
      <w:marTop w:val="0"/>
      <w:marBottom w:val="0"/>
      <w:divBdr>
        <w:top w:val="none" w:sz="0" w:space="0" w:color="auto"/>
        <w:left w:val="none" w:sz="0" w:space="0" w:color="auto"/>
        <w:bottom w:val="none" w:sz="0" w:space="0" w:color="auto"/>
        <w:right w:val="none" w:sz="0" w:space="0" w:color="auto"/>
      </w:divBdr>
    </w:div>
    <w:div w:id="794835570">
      <w:bodyDiv w:val="1"/>
      <w:marLeft w:val="0"/>
      <w:marRight w:val="0"/>
      <w:marTop w:val="0"/>
      <w:marBottom w:val="0"/>
      <w:divBdr>
        <w:top w:val="none" w:sz="0" w:space="0" w:color="auto"/>
        <w:left w:val="none" w:sz="0" w:space="0" w:color="auto"/>
        <w:bottom w:val="none" w:sz="0" w:space="0" w:color="auto"/>
        <w:right w:val="none" w:sz="0" w:space="0" w:color="auto"/>
      </w:divBdr>
    </w:div>
    <w:div w:id="867568771">
      <w:bodyDiv w:val="1"/>
      <w:marLeft w:val="0"/>
      <w:marRight w:val="0"/>
      <w:marTop w:val="0"/>
      <w:marBottom w:val="0"/>
      <w:divBdr>
        <w:top w:val="none" w:sz="0" w:space="0" w:color="auto"/>
        <w:left w:val="none" w:sz="0" w:space="0" w:color="auto"/>
        <w:bottom w:val="none" w:sz="0" w:space="0" w:color="auto"/>
        <w:right w:val="none" w:sz="0" w:space="0" w:color="auto"/>
      </w:divBdr>
    </w:div>
    <w:div w:id="1032923980">
      <w:bodyDiv w:val="1"/>
      <w:marLeft w:val="0"/>
      <w:marRight w:val="0"/>
      <w:marTop w:val="0"/>
      <w:marBottom w:val="0"/>
      <w:divBdr>
        <w:top w:val="none" w:sz="0" w:space="0" w:color="auto"/>
        <w:left w:val="none" w:sz="0" w:space="0" w:color="auto"/>
        <w:bottom w:val="none" w:sz="0" w:space="0" w:color="auto"/>
        <w:right w:val="none" w:sz="0" w:space="0" w:color="auto"/>
      </w:divBdr>
    </w:div>
    <w:div w:id="1194228970">
      <w:bodyDiv w:val="1"/>
      <w:marLeft w:val="0"/>
      <w:marRight w:val="0"/>
      <w:marTop w:val="0"/>
      <w:marBottom w:val="0"/>
      <w:divBdr>
        <w:top w:val="none" w:sz="0" w:space="0" w:color="auto"/>
        <w:left w:val="none" w:sz="0" w:space="0" w:color="auto"/>
        <w:bottom w:val="none" w:sz="0" w:space="0" w:color="auto"/>
        <w:right w:val="none" w:sz="0" w:space="0" w:color="auto"/>
      </w:divBdr>
    </w:div>
    <w:div w:id="1202787397">
      <w:bodyDiv w:val="1"/>
      <w:marLeft w:val="0"/>
      <w:marRight w:val="0"/>
      <w:marTop w:val="0"/>
      <w:marBottom w:val="0"/>
      <w:divBdr>
        <w:top w:val="none" w:sz="0" w:space="0" w:color="auto"/>
        <w:left w:val="none" w:sz="0" w:space="0" w:color="auto"/>
        <w:bottom w:val="none" w:sz="0" w:space="0" w:color="auto"/>
        <w:right w:val="none" w:sz="0" w:space="0" w:color="auto"/>
      </w:divBdr>
    </w:div>
    <w:div w:id="1401055822">
      <w:bodyDiv w:val="1"/>
      <w:marLeft w:val="0"/>
      <w:marRight w:val="0"/>
      <w:marTop w:val="0"/>
      <w:marBottom w:val="0"/>
      <w:divBdr>
        <w:top w:val="none" w:sz="0" w:space="0" w:color="auto"/>
        <w:left w:val="none" w:sz="0" w:space="0" w:color="auto"/>
        <w:bottom w:val="none" w:sz="0" w:space="0" w:color="auto"/>
        <w:right w:val="none" w:sz="0" w:space="0" w:color="auto"/>
      </w:divBdr>
    </w:div>
    <w:div w:id="1603298697">
      <w:bodyDiv w:val="1"/>
      <w:marLeft w:val="0"/>
      <w:marRight w:val="0"/>
      <w:marTop w:val="0"/>
      <w:marBottom w:val="0"/>
      <w:divBdr>
        <w:top w:val="none" w:sz="0" w:space="0" w:color="auto"/>
        <w:left w:val="none" w:sz="0" w:space="0" w:color="auto"/>
        <w:bottom w:val="none" w:sz="0" w:space="0" w:color="auto"/>
        <w:right w:val="none" w:sz="0" w:space="0" w:color="auto"/>
      </w:divBdr>
    </w:div>
    <w:div w:id="1908304107">
      <w:bodyDiv w:val="1"/>
      <w:marLeft w:val="0"/>
      <w:marRight w:val="0"/>
      <w:marTop w:val="0"/>
      <w:marBottom w:val="0"/>
      <w:divBdr>
        <w:top w:val="none" w:sz="0" w:space="0" w:color="auto"/>
        <w:left w:val="none" w:sz="0" w:space="0" w:color="auto"/>
        <w:bottom w:val="none" w:sz="0" w:space="0" w:color="auto"/>
        <w:right w:val="none" w:sz="0" w:space="0" w:color="auto"/>
      </w:divBdr>
    </w:div>
    <w:div w:id="1990670673">
      <w:bodyDiv w:val="1"/>
      <w:marLeft w:val="0"/>
      <w:marRight w:val="0"/>
      <w:marTop w:val="0"/>
      <w:marBottom w:val="0"/>
      <w:divBdr>
        <w:top w:val="none" w:sz="0" w:space="0" w:color="auto"/>
        <w:left w:val="none" w:sz="0" w:space="0" w:color="auto"/>
        <w:bottom w:val="none" w:sz="0" w:space="0" w:color="auto"/>
        <w:right w:val="none" w:sz="0" w:space="0" w:color="auto"/>
      </w:divBdr>
    </w:div>
    <w:div w:id="20897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secop.gov.co/STS/Users/Login/Index?SkinName=C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unity.secop.gov.co/STS/Users/Login/Index?SkinName=C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814D-A0CC-406E-9387-5F1E2F3E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2672</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Vanessa Palomeque Bohorquez</cp:lastModifiedBy>
  <cp:revision>3</cp:revision>
  <cp:lastPrinted>2018-04-04T17:16:00Z</cp:lastPrinted>
  <dcterms:created xsi:type="dcterms:W3CDTF">2018-04-04T17:07:00Z</dcterms:created>
  <dcterms:modified xsi:type="dcterms:W3CDTF">2018-04-04T17:18:00Z</dcterms:modified>
</cp:coreProperties>
</file>